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Default Extension="jpeg" ContentType="image/jpeg"/>
  <Override PartName="/word/footer2.xml" ContentType="application/vnd.openxmlformats-officedocument.wordprocessingml.footer+xml"/>
  <Default Extension="png" ContentType="image/png"/>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25"/>
          <w:szCs w:val="25"/>
        </w:rPr>
      </w:pPr>
    </w:p>
    <w:p>
      <w:pPr>
        <w:spacing w:line="679" w:lineRule="exact" w:before="0"/>
        <w:ind w:left="0" w:right="978" w:firstLine="0"/>
        <w:jc w:val="center"/>
        <w:rPr>
          <w:rFonts w:ascii="Microsoft JhengHei" w:hAnsi="Microsoft JhengHei" w:cs="Microsoft JhengHei" w:eastAsia="Microsoft JhengHei" w:hint="default"/>
          <w:sz w:val="52"/>
          <w:szCs w:val="52"/>
        </w:rPr>
      </w:pPr>
      <w:r>
        <w:rPr/>
        <w:pict>
          <v:group style="position:absolute;margin-left:55.200001pt;margin-top:-99.71344pt;width:485pt;height:.1pt;mso-position-horizontal-relative:page;mso-position-vertical-relative:paragraph;z-index:0" coordorigin="1104,-1994" coordsize="9700,2">
            <v:shape style="position:absolute;left:1104;top:-1994;width:9700;height:2" coordorigin="1104,-1994" coordsize="9700,0" path="m1104,-1994l10804,-1994e" filled="false" stroked="true" strokeweight=".72pt" strokecolor="#000000">
              <v:path arrowok="t"/>
            </v:shape>
            <w10:wrap type="none"/>
          </v:group>
        </w:pict>
      </w:r>
      <w:r>
        <w:rPr>
          <w:rFonts w:ascii="Microsoft JhengHei" w:hAnsi="Microsoft JhengHei" w:cs="Microsoft JhengHei" w:eastAsia="Microsoft JhengHei" w:hint="default"/>
          <w:b/>
          <w:bCs/>
          <w:sz w:val="52"/>
          <w:szCs w:val="52"/>
        </w:rPr>
        <w:t>新开普电子股份有限公司</w:t>
      </w:r>
      <w:r>
        <w:rPr>
          <w:rFonts w:ascii="Microsoft JhengHei" w:hAnsi="Microsoft JhengHei" w:cs="Microsoft JhengHei" w:eastAsia="Microsoft JhengHei" w:hint="default"/>
          <w:sz w:val="52"/>
          <w:szCs w:val="52"/>
        </w:rPr>
      </w:r>
    </w:p>
    <w:p>
      <w:pPr>
        <w:spacing w:before="418"/>
        <w:ind w:left="0" w:right="978" w:firstLine="0"/>
        <w:jc w:val="center"/>
        <w:rPr>
          <w:rFonts w:ascii="Times New Roman" w:hAnsi="Times New Roman" w:cs="Times New Roman" w:eastAsia="Times New Roman" w:hint="default"/>
          <w:sz w:val="30"/>
          <w:szCs w:val="30"/>
        </w:rPr>
      </w:pPr>
      <w:r>
        <w:rPr>
          <w:rFonts w:ascii="Times New Roman"/>
          <w:sz w:val="30"/>
        </w:rPr>
        <w:t>Newcapec Electronics Co.,</w:t>
      </w:r>
      <w:r>
        <w:rPr>
          <w:rFonts w:ascii="Times New Roman"/>
          <w:spacing w:val="-6"/>
          <w:sz w:val="30"/>
        </w:rPr>
        <w:t> </w:t>
      </w:r>
      <w:r>
        <w:rPr>
          <w:rFonts w:ascii="Times New Roman"/>
          <w:sz w:val="30"/>
        </w:rPr>
        <w:t>Ltd.</w:t>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25"/>
          <w:szCs w:val="25"/>
        </w:rPr>
      </w:pPr>
    </w:p>
    <w:p>
      <w:pPr>
        <w:spacing w:line="1874" w:lineRule="exact"/>
        <w:ind w:left="3623"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36"/>
          <w:sz w:val="20"/>
          <w:szCs w:val="20"/>
        </w:rPr>
        <w:drawing>
          <wp:inline distT="0" distB="0" distL="0" distR="0">
            <wp:extent cx="1727821" cy="1190148"/>
            <wp:effectExtent l="0" t="0" r="0" b="0"/>
            <wp:docPr id="1" name="image2.jpeg" descr=""/>
            <wp:cNvGraphicFramePr>
              <a:graphicFrameLocks noChangeAspect="1"/>
            </wp:cNvGraphicFramePr>
            <a:graphic>
              <a:graphicData uri="http://schemas.openxmlformats.org/drawingml/2006/picture">
                <pic:pic>
                  <pic:nvPicPr>
                    <pic:cNvPr id="2" name="image2.jpeg"/>
                    <pic:cNvPicPr/>
                  </pic:nvPicPr>
                  <pic:blipFill>
                    <a:blip r:embed="rId7" cstate="print"/>
                    <a:stretch>
                      <a:fillRect/>
                    </a:stretch>
                  </pic:blipFill>
                  <pic:spPr>
                    <a:xfrm>
                      <a:off x="0" y="0"/>
                      <a:ext cx="1727821" cy="1190148"/>
                    </a:xfrm>
                    <a:prstGeom prst="rect">
                      <a:avLst/>
                    </a:prstGeom>
                  </pic:spPr>
                </pic:pic>
              </a:graphicData>
            </a:graphic>
          </wp:inline>
        </w:drawing>
      </w:r>
      <w:r>
        <w:rPr>
          <w:rFonts w:ascii="Times New Roman" w:hAnsi="Times New Roman" w:cs="Times New Roman" w:eastAsia="Times New Roman" w:hint="default"/>
          <w:position w:val="-36"/>
          <w:sz w:val="20"/>
          <w:szCs w:val="20"/>
        </w:rPr>
      </w:r>
    </w:p>
    <w:p>
      <w:pPr>
        <w:spacing w:line="240" w:lineRule="auto" w:before="6"/>
        <w:rPr>
          <w:rFonts w:ascii="Times New Roman" w:hAnsi="Times New Roman" w:cs="Times New Roman" w:eastAsia="Times New Roman" w:hint="default"/>
          <w:sz w:val="28"/>
          <w:szCs w:val="28"/>
        </w:rPr>
      </w:pPr>
    </w:p>
    <w:p>
      <w:pPr>
        <w:spacing w:before="0"/>
        <w:ind w:left="0" w:right="978" w:firstLine="0"/>
        <w:jc w:val="center"/>
        <w:rPr>
          <w:rFonts w:ascii="黑体" w:hAnsi="黑体" w:cs="黑体" w:eastAsia="黑体" w:hint="default"/>
          <w:sz w:val="36"/>
          <w:szCs w:val="36"/>
        </w:rPr>
      </w:pPr>
      <w:r>
        <w:rPr>
          <w:rFonts w:ascii="黑体" w:hAnsi="黑体" w:cs="黑体" w:eastAsia="黑体" w:hint="default"/>
          <w:b/>
          <w:bCs/>
          <w:sz w:val="36"/>
          <w:szCs w:val="36"/>
        </w:rPr>
        <w:t>有开放，有生态；有连接，有未来</w:t>
      </w:r>
      <w:r>
        <w:rPr>
          <w:rFonts w:ascii="黑体" w:hAnsi="黑体" w:cs="黑体" w:eastAsia="黑体" w:hint="default"/>
          <w:sz w:val="36"/>
          <w:szCs w:val="36"/>
        </w:rPr>
      </w:r>
    </w:p>
    <w:p>
      <w:pPr>
        <w:spacing w:line="240" w:lineRule="auto" w:before="0"/>
        <w:rPr>
          <w:rFonts w:ascii="黑体" w:hAnsi="黑体" w:cs="黑体" w:eastAsia="黑体" w:hint="default"/>
          <w:b/>
          <w:bCs/>
          <w:sz w:val="36"/>
          <w:szCs w:val="36"/>
        </w:rPr>
      </w:pPr>
    </w:p>
    <w:p>
      <w:pPr>
        <w:spacing w:before="293"/>
        <w:ind w:left="0" w:right="978" w:firstLine="0"/>
        <w:jc w:val="center"/>
        <w:rPr>
          <w:rFonts w:ascii="Microsoft JhengHei" w:hAnsi="Microsoft JhengHei" w:cs="Microsoft JhengHei" w:eastAsia="Microsoft JhengHei" w:hint="default"/>
          <w:sz w:val="52"/>
          <w:szCs w:val="52"/>
        </w:rPr>
      </w:pPr>
      <w:r>
        <w:rPr>
          <w:rFonts w:ascii="Times New Roman" w:hAnsi="Times New Roman" w:cs="Times New Roman" w:eastAsia="Times New Roman" w:hint="default"/>
          <w:b/>
          <w:bCs/>
          <w:sz w:val="52"/>
          <w:szCs w:val="52"/>
        </w:rPr>
        <w:t>2018</w:t>
      </w:r>
      <w:r>
        <w:rPr>
          <w:rFonts w:ascii="Times New Roman" w:hAnsi="Times New Roman" w:cs="Times New Roman" w:eastAsia="Times New Roman" w:hint="default"/>
          <w:b/>
          <w:bCs/>
          <w:spacing w:val="14"/>
          <w:sz w:val="52"/>
          <w:szCs w:val="52"/>
        </w:rPr>
        <w:t> </w:t>
      </w:r>
      <w:r>
        <w:rPr>
          <w:rFonts w:ascii="Microsoft JhengHei" w:hAnsi="Microsoft JhengHei" w:cs="Microsoft JhengHei" w:eastAsia="Microsoft JhengHei" w:hint="default"/>
          <w:b/>
          <w:bCs/>
          <w:sz w:val="52"/>
          <w:szCs w:val="52"/>
        </w:rPr>
        <w:t>年年度报告</w:t>
      </w:r>
      <w:r>
        <w:rPr>
          <w:rFonts w:ascii="Microsoft JhengHei" w:hAnsi="Microsoft JhengHei" w:cs="Microsoft JhengHei" w:eastAsia="Microsoft JhengHei" w:hint="default"/>
          <w:sz w:val="52"/>
          <w:szCs w:val="52"/>
        </w:rPr>
      </w:r>
    </w:p>
    <w:p>
      <w:pPr>
        <w:spacing w:line="240" w:lineRule="auto" w:before="17"/>
        <w:rPr>
          <w:rFonts w:ascii="Microsoft JhengHei" w:hAnsi="Microsoft JhengHei" w:cs="Microsoft JhengHei" w:eastAsia="Microsoft JhengHei" w:hint="default"/>
          <w:b/>
          <w:bCs/>
          <w:sz w:val="35"/>
          <w:szCs w:val="35"/>
        </w:rPr>
      </w:pPr>
    </w:p>
    <w:p>
      <w:pPr>
        <w:spacing w:line="283" w:lineRule="auto" w:before="0"/>
        <w:ind w:left="2892" w:right="3872" w:hanging="4"/>
        <w:jc w:val="center"/>
        <w:rPr>
          <w:rFonts w:ascii="Microsoft JhengHei" w:hAnsi="Microsoft JhengHei" w:cs="Microsoft JhengHei" w:eastAsia="Microsoft JhengHei" w:hint="default"/>
          <w:sz w:val="36"/>
          <w:szCs w:val="36"/>
        </w:rPr>
      </w:pPr>
      <w:r>
        <w:rPr>
          <w:rFonts w:ascii="Microsoft JhengHei" w:hAnsi="Microsoft JhengHei" w:cs="Microsoft JhengHei" w:eastAsia="Microsoft JhengHei" w:hint="default"/>
          <w:b/>
          <w:bCs/>
          <w:sz w:val="36"/>
          <w:szCs w:val="36"/>
        </w:rPr>
        <w:t>股票代码：</w:t>
      </w:r>
      <w:r>
        <w:rPr>
          <w:rFonts w:ascii="Times New Roman" w:hAnsi="Times New Roman" w:cs="Times New Roman" w:eastAsia="Times New Roman" w:hint="default"/>
          <w:b/>
          <w:bCs/>
          <w:sz w:val="36"/>
          <w:szCs w:val="36"/>
        </w:rPr>
        <w:t>300248 </w:t>
      </w:r>
      <w:r>
        <w:rPr>
          <w:rFonts w:ascii="Microsoft JhengHei" w:hAnsi="Microsoft JhengHei" w:cs="Microsoft JhengHei" w:eastAsia="Microsoft JhengHei" w:hint="default"/>
          <w:b/>
          <w:bCs/>
          <w:sz w:val="36"/>
          <w:szCs w:val="36"/>
        </w:rPr>
        <w:t>股票简称：新开普</w:t>
      </w:r>
      <w:r>
        <w:rPr>
          <w:rFonts w:ascii="Microsoft JhengHei" w:hAnsi="Microsoft JhengHei" w:cs="Microsoft JhengHei" w:eastAsia="Microsoft JhengHei" w:hint="default"/>
          <w:sz w:val="36"/>
          <w:szCs w:val="36"/>
        </w:rPr>
      </w:r>
    </w:p>
    <w:p>
      <w:pPr>
        <w:spacing w:line="240" w:lineRule="auto" w:before="0"/>
        <w:rPr>
          <w:rFonts w:ascii="Microsoft JhengHei" w:hAnsi="Microsoft JhengHei" w:cs="Microsoft JhengHei" w:eastAsia="Microsoft JhengHei" w:hint="default"/>
          <w:b/>
          <w:bCs/>
          <w:sz w:val="36"/>
          <w:szCs w:val="36"/>
        </w:rPr>
      </w:pPr>
    </w:p>
    <w:p>
      <w:pPr>
        <w:spacing w:line="240" w:lineRule="auto" w:before="12"/>
        <w:rPr>
          <w:rFonts w:ascii="Microsoft JhengHei" w:hAnsi="Microsoft JhengHei" w:cs="Microsoft JhengHei" w:eastAsia="Microsoft JhengHei" w:hint="default"/>
          <w:b/>
          <w:bCs/>
          <w:sz w:val="50"/>
          <w:szCs w:val="50"/>
        </w:rPr>
      </w:pPr>
    </w:p>
    <w:p>
      <w:pPr>
        <w:spacing w:before="0"/>
        <w:ind w:left="0" w:right="979" w:firstLine="0"/>
        <w:jc w:val="center"/>
        <w:rPr>
          <w:rFonts w:ascii="Microsoft JhengHei" w:hAnsi="Microsoft JhengHei" w:cs="Microsoft JhengHei" w:eastAsia="Microsoft JhengHei" w:hint="default"/>
          <w:sz w:val="36"/>
          <w:szCs w:val="36"/>
        </w:rPr>
      </w:pPr>
      <w:r>
        <w:rPr>
          <w:rFonts w:ascii="Microsoft JhengHei" w:hAnsi="Microsoft JhengHei" w:cs="Microsoft JhengHei" w:eastAsia="Microsoft JhengHei" w:hint="default"/>
          <w:b/>
          <w:bCs/>
          <w:sz w:val="36"/>
          <w:szCs w:val="36"/>
        </w:rPr>
        <w:t>披露日期：</w:t>
      </w:r>
      <w:r>
        <w:rPr>
          <w:rFonts w:ascii="Times New Roman" w:hAnsi="Times New Roman" w:cs="Times New Roman" w:eastAsia="Times New Roman" w:hint="default"/>
          <w:b/>
          <w:bCs/>
          <w:sz w:val="36"/>
          <w:szCs w:val="36"/>
        </w:rPr>
        <w:t>2019</w:t>
      </w:r>
      <w:r>
        <w:rPr>
          <w:rFonts w:ascii="Microsoft JhengHei" w:hAnsi="Microsoft JhengHei" w:cs="Microsoft JhengHei" w:eastAsia="Microsoft JhengHei" w:hint="default"/>
          <w:b/>
          <w:bCs/>
          <w:sz w:val="36"/>
          <w:szCs w:val="36"/>
        </w:rPr>
        <w:t>年</w:t>
      </w:r>
      <w:r>
        <w:rPr>
          <w:rFonts w:ascii="Times New Roman" w:hAnsi="Times New Roman" w:cs="Times New Roman" w:eastAsia="Times New Roman" w:hint="default"/>
          <w:b/>
          <w:bCs/>
          <w:sz w:val="36"/>
          <w:szCs w:val="36"/>
        </w:rPr>
        <w:t>3</w:t>
      </w:r>
      <w:r>
        <w:rPr>
          <w:rFonts w:ascii="Microsoft JhengHei" w:hAnsi="Microsoft JhengHei" w:cs="Microsoft JhengHei" w:eastAsia="Microsoft JhengHei" w:hint="default"/>
          <w:b/>
          <w:bCs/>
          <w:sz w:val="36"/>
          <w:szCs w:val="36"/>
        </w:rPr>
        <w:t>月</w:t>
      </w:r>
      <w:r>
        <w:rPr>
          <w:rFonts w:ascii="Times New Roman" w:hAnsi="Times New Roman" w:cs="Times New Roman" w:eastAsia="Times New Roman" w:hint="default"/>
          <w:b/>
          <w:bCs/>
          <w:sz w:val="36"/>
          <w:szCs w:val="36"/>
        </w:rPr>
        <w:t>30</w:t>
      </w:r>
      <w:r>
        <w:rPr>
          <w:rFonts w:ascii="Microsoft JhengHei" w:hAnsi="Microsoft JhengHei" w:cs="Microsoft JhengHei" w:eastAsia="Microsoft JhengHei" w:hint="default"/>
          <w:b/>
          <w:bCs/>
          <w:sz w:val="36"/>
          <w:szCs w:val="36"/>
        </w:rPr>
        <w:t>日</w:t>
      </w:r>
      <w:r>
        <w:rPr>
          <w:rFonts w:ascii="Microsoft JhengHei" w:hAnsi="Microsoft JhengHei" w:cs="Microsoft JhengHei" w:eastAsia="Microsoft JhengHei" w:hint="default"/>
          <w:sz w:val="36"/>
          <w:szCs w:val="36"/>
        </w:rPr>
      </w:r>
    </w:p>
    <w:p>
      <w:pPr>
        <w:spacing w:after="0"/>
        <w:jc w:val="center"/>
        <w:rPr>
          <w:rFonts w:ascii="Microsoft JhengHei" w:hAnsi="Microsoft JhengHei" w:cs="Microsoft JhengHei" w:eastAsia="Microsoft JhengHei" w:hint="default"/>
          <w:sz w:val="36"/>
          <w:szCs w:val="36"/>
        </w:rPr>
        <w:sectPr>
          <w:headerReference w:type="default" r:id="rId5"/>
          <w:footerReference w:type="default" r:id="rId6"/>
          <w:type w:val="continuous"/>
          <w:pgSz w:w="11910" w:h="16840"/>
          <w:pgMar w:header="747" w:footer="979" w:top="1060" w:bottom="1160" w:left="980" w:right="0"/>
        </w:sectPr>
      </w:pPr>
    </w:p>
    <w:p>
      <w:pPr>
        <w:spacing w:line="240" w:lineRule="auto" w:before="3"/>
        <w:rPr>
          <w:rFonts w:ascii="Microsoft JhengHei" w:hAnsi="Microsoft JhengHei" w:cs="Microsoft JhengHei" w:eastAsia="Microsoft JhengHei" w:hint="default"/>
          <w:b/>
          <w:bCs/>
          <w:sz w:val="2"/>
          <w:szCs w:val="2"/>
        </w:rPr>
      </w:pPr>
    </w:p>
    <w:p>
      <w:pPr>
        <w:spacing w:line="20" w:lineRule="exact"/>
        <w:ind w:left="116" w:right="0" w:firstLine="0"/>
        <w:rPr>
          <w:rFonts w:ascii="Microsoft JhengHei" w:hAnsi="Microsoft JhengHei" w:cs="Microsoft JhengHei" w:eastAsia="Microsoft JhengHei" w:hint="default"/>
          <w:sz w:val="2"/>
          <w:szCs w:val="2"/>
        </w:rPr>
      </w:pPr>
      <w:r>
        <w:rPr>
          <w:rFonts w:ascii="Microsoft JhengHei" w:hAnsi="Microsoft JhengHei" w:cs="Microsoft JhengHei" w:eastAsia="Microsoft JhengHei"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Microsoft JhengHei" w:hAnsi="Microsoft JhengHei" w:cs="Microsoft JhengHei" w:eastAsia="Microsoft JhengHei" w:hint="default"/>
          <w:sz w:val="2"/>
          <w:szCs w:val="2"/>
        </w:rPr>
      </w:r>
    </w:p>
    <w:p>
      <w:pPr>
        <w:spacing w:line="240" w:lineRule="auto" w:before="0"/>
        <w:rPr>
          <w:rFonts w:ascii="Microsoft JhengHei" w:hAnsi="Microsoft JhengHei" w:cs="Microsoft JhengHei" w:eastAsia="Microsoft JhengHei" w:hint="default"/>
          <w:b/>
          <w:bCs/>
          <w:sz w:val="20"/>
          <w:szCs w:val="20"/>
        </w:rPr>
      </w:pPr>
    </w:p>
    <w:p>
      <w:pPr>
        <w:spacing w:line="240" w:lineRule="auto" w:before="4"/>
        <w:rPr>
          <w:rFonts w:ascii="Microsoft JhengHei" w:hAnsi="Microsoft JhengHei" w:cs="Microsoft JhengHei" w:eastAsia="Microsoft JhengHei" w:hint="default"/>
          <w:b/>
          <w:bCs/>
          <w:sz w:val="24"/>
          <w:szCs w:val="24"/>
        </w:rPr>
      </w:pPr>
    </w:p>
    <w:p>
      <w:pPr>
        <w:pStyle w:val="Heading1"/>
        <w:spacing w:line="240" w:lineRule="auto"/>
        <w:ind w:left="2805" w:right="1117"/>
        <w:jc w:val="left"/>
        <w:rPr>
          <w:b w:val="0"/>
          <w:bCs w:val="0"/>
        </w:rPr>
      </w:pPr>
      <w:bookmarkStart w:name="第一节 重要提示、目录和释义" w:id="1"/>
      <w:bookmarkEnd w:id="1"/>
      <w:r>
        <w:rPr>
          <w:b w:val="0"/>
          <w:bCs w:val="0"/>
        </w:rPr>
      </w:r>
      <w:r>
        <w:rPr/>
        <w:t>第一节</w:t>
      </w:r>
      <w:r>
        <w:rPr>
          <w:spacing w:val="-11"/>
        </w:rPr>
        <w:t> </w:t>
      </w:r>
      <w:r>
        <w:rPr/>
        <w:t>重要提示、目录和释义</w:t>
      </w:r>
      <w:r>
        <w:rPr>
          <w:b w:val="0"/>
          <w:bCs w:val="0"/>
        </w:rPr>
      </w:r>
    </w:p>
    <w:p>
      <w:pPr>
        <w:spacing w:line="240" w:lineRule="auto" w:before="10"/>
        <w:rPr>
          <w:rFonts w:ascii="宋体" w:hAnsi="宋体" w:cs="宋体" w:eastAsia="宋体" w:hint="default"/>
          <w:b/>
          <w:bCs/>
          <w:sz w:val="44"/>
          <w:szCs w:val="44"/>
        </w:rPr>
      </w:pPr>
    </w:p>
    <w:p>
      <w:pPr>
        <w:pStyle w:val="Heading2"/>
        <w:spacing w:line="357" w:lineRule="auto"/>
        <w:ind w:right="1117" w:firstLine="482"/>
        <w:jc w:val="left"/>
        <w:rPr>
          <w:b w:val="0"/>
          <w:bCs w:val="0"/>
        </w:rPr>
      </w:pPr>
      <w:r>
        <w:rPr>
          <w:w w:val="95"/>
        </w:rPr>
        <w:t>公司董事会、监事会及董事、监事、高级管理人员保证年度报告内容的真实、准确、完</w:t>
      </w:r>
      <w:r>
        <w:rPr>
          <w:w w:val="99"/>
        </w:rPr>
        <w:t> </w:t>
      </w:r>
      <w:r>
        <w:rPr/>
        <w:t>整，不存在虚假记载、误导性陈述或重大遗漏，并承担个别和连带的法律责任。</w:t>
      </w:r>
      <w:r>
        <w:rPr>
          <w:b w:val="0"/>
          <w:bCs w:val="0"/>
        </w:rPr>
      </w:r>
    </w:p>
    <w:p>
      <w:pPr>
        <w:pStyle w:val="Heading2"/>
        <w:spacing w:line="338" w:lineRule="auto" w:before="36"/>
        <w:ind w:right="1117" w:firstLine="482"/>
        <w:jc w:val="left"/>
        <w:rPr>
          <w:b w:val="0"/>
          <w:bCs w:val="0"/>
        </w:rPr>
      </w:pPr>
      <w:r>
        <w:rPr>
          <w:spacing w:val="2"/>
        </w:rPr>
        <w:t>公司负责人杨维国、主管会计工作负责人李玉玲及会计机构负责人</w:t>
      </w:r>
      <w:r>
        <w:rPr>
          <w:rFonts w:ascii="Times New Roman" w:hAnsi="Times New Roman" w:cs="Times New Roman" w:eastAsia="Times New Roman" w:hint="default"/>
          <w:spacing w:val="2"/>
        </w:rPr>
        <w:t>(</w:t>
      </w:r>
      <w:r>
        <w:rPr>
          <w:spacing w:val="2"/>
        </w:rPr>
        <w:t>会计主管人员</w:t>
      </w:r>
      <w:r>
        <w:rPr>
          <w:rFonts w:ascii="Times New Roman" w:hAnsi="Times New Roman" w:cs="Times New Roman" w:eastAsia="Times New Roman" w:hint="default"/>
          <w:spacing w:val="2"/>
        </w:rPr>
        <w:t>)</w:t>
      </w:r>
      <w:r>
        <w:rPr>
          <w:spacing w:val="2"/>
        </w:rPr>
        <w:t>张翀</w:t>
      </w:r>
      <w:r>
        <w:rPr>
          <w:spacing w:val="2"/>
          <w:w w:val="99"/>
        </w:rPr>
        <w:t> </w:t>
      </w:r>
      <w:r>
        <w:rPr/>
        <w:t>声明：保证年度报告中财务报告的真实、准确、完整。</w:t>
      </w:r>
      <w:r>
        <w:rPr>
          <w:b w:val="0"/>
          <w:bCs w:val="0"/>
        </w:rPr>
      </w:r>
    </w:p>
    <w:p>
      <w:pPr>
        <w:pStyle w:val="Heading2"/>
        <w:spacing w:line="357" w:lineRule="auto" w:before="55"/>
        <w:ind w:left="636" w:right="1117"/>
        <w:jc w:val="left"/>
        <w:rPr>
          <w:b w:val="0"/>
          <w:bCs w:val="0"/>
        </w:rPr>
      </w:pPr>
      <w:r>
        <w:rPr/>
        <w:t>所有董事均已出席了审议本报告的董事会会议。</w:t>
      </w:r>
      <w:r>
        <w:rPr>
          <w:w w:val="99"/>
        </w:rPr>
        <w:t> </w:t>
      </w:r>
      <w:r>
        <w:rPr>
          <w:w w:val="95"/>
        </w:rPr>
        <w:t>本报告中如有涉及未来的计划、业绩预测等方面的内容，均不构成本公司对任何投资者</w:t>
      </w:r>
      <w:r>
        <w:rPr>
          <w:b w:val="0"/>
          <w:bCs w:val="0"/>
        </w:rPr>
      </w:r>
    </w:p>
    <w:p>
      <w:pPr>
        <w:pStyle w:val="Heading2"/>
        <w:spacing w:line="357" w:lineRule="auto" w:before="36"/>
        <w:ind w:right="1139"/>
        <w:jc w:val="both"/>
        <w:rPr>
          <w:b w:val="0"/>
          <w:bCs w:val="0"/>
        </w:rPr>
      </w:pPr>
      <w:r>
        <w:rPr>
          <w:w w:val="95"/>
        </w:rPr>
        <w:t>及相关人士的实质承诺，投资者及相关人士均应对此保持足够的风险认识，并且应当理解计</w:t>
      </w:r>
      <w:r>
        <w:rPr>
          <w:spacing w:val="99"/>
          <w:w w:val="95"/>
        </w:rPr>
        <w:t> </w:t>
      </w:r>
      <w:r>
        <w:rPr/>
        <w:t>划、预测与承诺之间的差异。</w:t>
      </w:r>
      <w:r>
        <w:rPr>
          <w:b w:val="0"/>
          <w:bCs w:val="0"/>
        </w:rPr>
      </w:r>
    </w:p>
    <w:p>
      <w:pPr>
        <w:pStyle w:val="Heading3"/>
        <w:spacing w:line="338" w:lineRule="auto" w:before="136"/>
        <w:ind w:left="634" w:right="1117"/>
        <w:jc w:val="left"/>
      </w:pPr>
      <w:r>
        <w:rPr>
          <w:rFonts w:ascii="Times New Roman" w:hAnsi="Times New Roman" w:cs="Times New Roman" w:eastAsia="Times New Roman" w:hint="default"/>
        </w:rPr>
        <w:t>1</w:t>
      </w:r>
      <w:r>
        <w:rPr/>
        <w:t>、生产经营季节性波动风险 学校是公司的主要下游客户，存在比较明显的季节性特征：一般而言，学校在寒假过后</w:t>
      </w:r>
    </w:p>
    <w:p>
      <w:pPr>
        <w:pStyle w:val="Heading3"/>
        <w:spacing w:line="348" w:lineRule="auto" w:before="55"/>
        <w:ind w:right="1130"/>
        <w:jc w:val="both"/>
      </w:pPr>
      <w:r>
        <w:rPr/>
        <w:t>的</w:t>
      </w:r>
      <w:r>
        <w:rPr>
          <w:spacing w:val="-80"/>
        </w:rPr>
        <w:t> </w:t>
      </w:r>
      <w:r>
        <w:rPr>
          <w:rFonts w:ascii="Times New Roman" w:hAnsi="Times New Roman" w:cs="Times New Roman" w:eastAsia="Times New Roman" w:hint="default"/>
        </w:rPr>
        <w:t>3-4</w:t>
      </w:r>
      <w:r>
        <w:rPr>
          <w:rFonts w:ascii="Times New Roman" w:hAnsi="Times New Roman" w:cs="Times New Roman" w:eastAsia="Times New Roman" w:hint="default"/>
          <w:spacing w:val="-20"/>
        </w:rPr>
        <w:t> </w:t>
      </w:r>
      <w:r>
        <w:rPr/>
        <w:t>月启动信息化项目建设计划；</w:t>
      </w:r>
      <w:r>
        <w:rPr>
          <w:rFonts w:ascii="Times New Roman" w:hAnsi="Times New Roman" w:cs="Times New Roman" w:eastAsia="Times New Roman" w:hint="default"/>
        </w:rPr>
        <w:t>5-7</w:t>
      </w:r>
      <w:r>
        <w:rPr>
          <w:rFonts w:ascii="Times New Roman" w:hAnsi="Times New Roman" w:cs="Times New Roman" w:eastAsia="Times New Roman" w:hint="default"/>
          <w:spacing w:val="-20"/>
        </w:rPr>
        <w:t> </w:t>
      </w:r>
      <w:r>
        <w:rPr/>
        <w:t>月通过项目招标等方式确定供应商；暑期开始大规模 </w:t>
      </w:r>
      <w:r>
        <w:rPr>
          <w:spacing w:val="-3"/>
        </w:rPr>
        <w:t>施工以确保开学时基本功能投入使用，</w:t>
      </w:r>
      <w:r>
        <w:rPr>
          <w:rFonts w:ascii="Times New Roman" w:hAnsi="Times New Roman" w:cs="Times New Roman" w:eastAsia="Times New Roman" w:hint="default"/>
          <w:spacing w:val="-3"/>
        </w:rPr>
        <w:t>7-9</w:t>
      </w:r>
      <w:r>
        <w:rPr>
          <w:rFonts w:ascii="Times New Roman" w:hAnsi="Times New Roman" w:cs="Times New Roman" w:eastAsia="Times New Roman" w:hint="default"/>
          <w:spacing w:val="17"/>
        </w:rPr>
        <w:t> </w:t>
      </w:r>
      <w:r>
        <w:rPr>
          <w:spacing w:val="-3"/>
        </w:rPr>
        <w:t>月为校园信息化系统建设高峰期，并随项目实施进</w:t>
      </w:r>
      <w:r>
        <w:rPr>
          <w:spacing w:val="-117"/>
        </w:rPr>
        <w:t> </w:t>
      </w:r>
      <w:r>
        <w:rPr>
          <w:spacing w:val="-117"/>
        </w:rPr>
      </w:r>
      <w:r>
        <w:rPr>
          <w:spacing w:val="-4"/>
        </w:rPr>
        <w:t>度逐步验收，</w:t>
      </w:r>
      <w:r>
        <w:rPr>
          <w:rFonts w:ascii="Times New Roman" w:hAnsi="Times New Roman" w:cs="Times New Roman" w:eastAsia="Times New Roman" w:hint="default"/>
          <w:spacing w:val="-4"/>
        </w:rPr>
        <w:t>10-12</w:t>
      </w:r>
      <w:r>
        <w:rPr>
          <w:rFonts w:ascii="Times New Roman" w:hAnsi="Times New Roman" w:cs="Times New Roman" w:eastAsia="Times New Roman" w:hint="default"/>
          <w:spacing w:val="28"/>
        </w:rPr>
        <w:t> </w:t>
      </w:r>
      <w:r>
        <w:rPr>
          <w:spacing w:val="-3"/>
        </w:rPr>
        <w:t>月进入项目验收的高峰期。但是，由于校园信息化项目的实施至验收涉及</w:t>
      </w:r>
      <w:r>
        <w:rPr>
          <w:spacing w:val="-115"/>
        </w:rPr>
        <w:t> </w:t>
      </w:r>
      <w:r>
        <w:rPr>
          <w:spacing w:val="-115"/>
        </w:rPr>
      </w:r>
      <w:r>
        <w:rPr>
          <w:spacing w:val="-1"/>
        </w:rPr>
        <w:t>运营商</w:t>
      </w:r>
      <w:r>
        <w:rPr>
          <w:rFonts w:ascii="Times New Roman" w:hAnsi="Times New Roman" w:cs="Times New Roman" w:eastAsia="Times New Roman" w:hint="default"/>
          <w:spacing w:val="-1"/>
        </w:rPr>
        <w:t>/</w:t>
      </w:r>
      <w:r>
        <w:rPr>
          <w:spacing w:val="-1"/>
        </w:rPr>
        <w:t>银行和学校的多个部门，各个部门的配合程度、决策流程各不相同，对部分校园信息</w:t>
      </w:r>
      <w:r>
        <w:rPr>
          <w:spacing w:val="-109"/>
        </w:rPr>
        <w:t> </w:t>
      </w:r>
      <w:r>
        <w:rPr>
          <w:spacing w:val="-109"/>
        </w:rPr>
      </w:r>
      <w:r>
        <w:rPr/>
        <w:t>化项目而言，学校为保证系统的稳定性和可靠性会要求较长试运行期，在项目实施和试运行</w:t>
      </w:r>
      <w:r>
        <w:rPr>
          <w:spacing w:val="-111"/>
        </w:rPr>
        <w:t> </w:t>
      </w:r>
      <w:r>
        <w:rPr>
          <w:spacing w:val="-111"/>
        </w:rPr>
      </w:r>
      <w:r>
        <w:rPr/>
        <w:t>期间也会临时要求增加或改动功能，从而导致部分项目的验收期延长。受上述季节性因素影 响，公司在第三季度进入发货高峰期，随发货后安装调试及验收开始确认收入，在第四季度 进入确认收入及收取货款高峰期，上述季节性特征使得公司的采购、生产、发货、安装验收 和收付款在年度内各期间存在较大的不均衡性，对公司生产经营管理的有效组织和资源的利 用效率提出了较大挑战。</w:t>
      </w:r>
    </w:p>
    <w:p>
      <w:pPr>
        <w:pStyle w:val="Heading3"/>
        <w:spacing w:line="338" w:lineRule="auto" w:before="46"/>
        <w:ind w:left="634" w:right="1117"/>
        <w:jc w:val="left"/>
      </w:pPr>
      <w:r>
        <w:rPr>
          <w:rFonts w:ascii="Times New Roman" w:hAnsi="Times New Roman" w:cs="Times New Roman" w:eastAsia="Times New Roman" w:hint="default"/>
        </w:rPr>
        <w:t>2</w:t>
      </w:r>
      <w:r>
        <w:rPr/>
        <w:t>、应收账款较高的风险 公司前期主要业务为一卡通项目建设，项目集成度高、建设周期较长，项目投入使用后</w:t>
      </w:r>
    </w:p>
    <w:p>
      <w:pPr>
        <w:pStyle w:val="Heading3"/>
        <w:spacing w:line="357" w:lineRule="auto" w:before="55"/>
        <w:ind w:right="1132"/>
        <w:jc w:val="both"/>
      </w:pPr>
      <w:r>
        <w:rPr/>
        <w:t>还需要经过客户的试运行和验收。随着近几年一卡通建设由用户自行购买到由银行、运营商</w:t>
      </w:r>
      <w:r>
        <w:rPr>
          <w:spacing w:val="-112"/>
        </w:rPr>
        <w:t> </w:t>
      </w:r>
      <w:r>
        <w:rPr>
          <w:spacing w:val="-112"/>
        </w:rPr>
      </w:r>
      <w:r>
        <w:rPr/>
        <w:t>客户投资购买，项目的验收及付款流程更加复杂和漫长，销售回款周期也随之增加。由于学 校等客户的信誉较好，公司应收账款的收回有较高保障，且从历史经验看相关应收账款回收 良好。但是应收账款的快速增长对公司现金流状况产生了一定影响，增加了公司对业务运营</w:t>
      </w:r>
    </w:p>
    <w:p>
      <w:pPr>
        <w:spacing w:after="0" w:line="357" w:lineRule="auto"/>
        <w:jc w:val="both"/>
        <w:sectPr>
          <w:footerReference w:type="default" r:id="rId8"/>
          <w:pgSz w:w="11910" w:h="16840"/>
          <w:pgMar w:footer="979" w:header="747" w:top="1060" w:bottom="1160" w:left="980" w:right="0"/>
          <w:pgNumType w:start="2"/>
        </w:sectPr>
      </w:pPr>
    </w:p>
    <w:p>
      <w:pPr>
        <w:spacing w:line="240" w:lineRule="auto" w:before="12"/>
        <w:rPr>
          <w:rFonts w:ascii="宋体" w:hAnsi="宋体" w:cs="宋体" w:eastAsia="宋体" w:hint="default"/>
          <w:sz w:val="2"/>
          <w:szCs w:val="2"/>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spacing w:line="240" w:lineRule="auto" w:before="2"/>
        <w:rPr>
          <w:rFonts w:ascii="宋体" w:hAnsi="宋体" w:cs="宋体" w:eastAsia="宋体" w:hint="default"/>
          <w:sz w:val="25"/>
          <w:szCs w:val="25"/>
        </w:rPr>
      </w:pPr>
    </w:p>
    <w:p>
      <w:pPr>
        <w:pStyle w:val="Heading3"/>
        <w:spacing w:line="357" w:lineRule="auto" w:before="26"/>
        <w:ind w:right="1139"/>
        <w:jc w:val="both"/>
      </w:pPr>
      <w:r>
        <w:rPr/>
        <w:t>资金的需求。随着公司业务规模的扩大，应收账款可能会进一步增加，如果出现应收账款不 能按期回收或无法回收发生坏账的情况，公司将面临流动资金短缺的风险，从而对公司的持 续盈利能力造成一定的不利影响。</w:t>
      </w:r>
    </w:p>
    <w:p>
      <w:pPr>
        <w:pStyle w:val="Heading3"/>
        <w:spacing w:line="338" w:lineRule="auto"/>
        <w:ind w:left="634" w:right="1117"/>
        <w:jc w:val="left"/>
      </w:pPr>
      <w:r>
        <w:rPr>
          <w:rFonts w:ascii="Times New Roman" w:hAnsi="Times New Roman" w:cs="Times New Roman" w:eastAsia="Times New Roman" w:hint="default"/>
        </w:rPr>
        <w:t>3</w:t>
      </w:r>
      <w:r>
        <w:rPr/>
        <w:t>、技术和产品开发不能及时跟进市场需求的风险 及时响应客户的个性化需求，进行持续的技术及产品开发是公司不断发展壮大的基础。</w:t>
      </w:r>
    </w:p>
    <w:p>
      <w:pPr>
        <w:pStyle w:val="Heading3"/>
        <w:spacing w:line="357" w:lineRule="auto" w:before="55"/>
        <w:ind w:right="1133"/>
        <w:jc w:val="both"/>
      </w:pPr>
      <w:r>
        <w:rPr>
          <w:spacing w:val="-5"/>
        </w:rPr>
        <w:t>由于信息化行业的技术更新快，新技术的应用频繁，客户对软硬件产品的功能要求不断提高，</w:t>
      </w:r>
      <w:r>
        <w:rPr>
          <w:spacing w:val="-117"/>
        </w:rPr>
        <w:t> </w:t>
      </w:r>
      <w:r>
        <w:rPr>
          <w:spacing w:val="-117"/>
        </w:rPr>
      </w:r>
      <w:r>
        <w:rPr/>
        <w:t>应用也不断深入，因此，公司需要不断进行新技术、新产品的研发和升级。虽然公司拥有强 大的自主研发和技术创新实力，但如果未来不能准确把握技术、产品及市场的发展趋势，持 续研发出符合市场需求的新产品，将会削弱公司的竞争优势，对公司的持续盈利能力造成不 利影响。</w:t>
      </w:r>
    </w:p>
    <w:p>
      <w:pPr>
        <w:pStyle w:val="Heading3"/>
        <w:spacing w:line="338" w:lineRule="auto"/>
        <w:ind w:left="634" w:right="0"/>
        <w:jc w:val="left"/>
      </w:pPr>
      <w:r>
        <w:rPr>
          <w:rFonts w:ascii="Times New Roman" w:hAnsi="Times New Roman" w:cs="Times New Roman" w:eastAsia="Times New Roman" w:hint="default"/>
        </w:rPr>
        <w:t>4</w:t>
      </w:r>
      <w:r>
        <w:rPr/>
        <w:t>、核心技术及知识产权保护风险 </w:t>
      </w:r>
      <w:r>
        <w:rPr>
          <w:spacing w:val="-3"/>
        </w:rPr>
        <w:t>公司拥有的智慧校园、智慧政企应用整体解决方案相关核心技术在行业内处于先进水平，</w:t>
      </w:r>
    </w:p>
    <w:p>
      <w:pPr>
        <w:pStyle w:val="Heading3"/>
        <w:spacing w:line="240" w:lineRule="auto" w:before="55"/>
        <w:ind w:right="0"/>
        <w:jc w:val="both"/>
      </w:pPr>
      <w:r>
        <w:rPr/>
        <w:t>在核心技术上拥有自主知识产权。尽管公司已经采取了核心技术人员持股、与研发人员签署</w:t>
      </w:r>
    </w:p>
    <w:p>
      <w:pPr>
        <w:pStyle w:val="Heading3"/>
        <w:spacing w:line="357" w:lineRule="auto" w:before="154"/>
        <w:ind w:right="1133"/>
        <w:jc w:val="both"/>
      </w:pPr>
      <w:r>
        <w:rPr>
          <w:spacing w:val="-5"/>
        </w:rPr>
        <w:t>《保密协议》、申请专利及著作权保护、加强企业文化建设、不断增强企业凝聚力等措施，但</w:t>
      </w:r>
      <w:r>
        <w:rPr/>
        <w:t> 并不能完全消除技术泄密或核心技术人员流失的风险。如果出现技术外泄或者核心技术人员 流失的情况，将对本公司的持续技术创新能力产生一定的负面影响。公司拥有多项专利技术 </w:t>
      </w:r>
      <w:r>
        <w:rPr>
          <w:spacing w:val="-5"/>
        </w:rPr>
        <w:t>及计算机软件著作权，截至目前并未发生严重盗版或侵权事件，但软件具有易于复制的特点，</w:t>
      </w:r>
      <w:r>
        <w:rPr>
          <w:spacing w:val="-117"/>
        </w:rPr>
        <w:t> </w:t>
      </w:r>
      <w:r>
        <w:rPr>
          <w:spacing w:val="-117"/>
        </w:rPr>
      </w:r>
      <w:r>
        <w:rPr/>
        <w:t>而我国对软件等知识产权的保护还较弱，侵权及盗版已经成为制约我国软件行业发展和软件</w:t>
      </w:r>
      <w:r>
        <w:rPr>
          <w:spacing w:val="-117"/>
        </w:rPr>
        <w:t> </w:t>
      </w:r>
      <w:r>
        <w:rPr>
          <w:spacing w:val="-117"/>
        </w:rPr>
      </w:r>
      <w:r>
        <w:rPr/>
        <w:t>企业成长的重要障碍。如果公司的软件遭遇较大范围的盗版、仿冒或侵权，将对公司的经营 产生不利影响。</w:t>
      </w:r>
    </w:p>
    <w:p>
      <w:pPr>
        <w:pStyle w:val="Heading3"/>
        <w:spacing w:line="338" w:lineRule="auto"/>
        <w:ind w:left="634" w:right="1117"/>
        <w:jc w:val="left"/>
      </w:pPr>
      <w:r>
        <w:rPr>
          <w:rFonts w:ascii="Times New Roman" w:hAnsi="Times New Roman" w:cs="Times New Roman" w:eastAsia="Times New Roman" w:hint="default"/>
        </w:rPr>
        <w:t>5</w:t>
      </w:r>
      <w:r>
        <w:rPr/>
        <w:t>、人才流失风险 信息技术企业一般都面临人员流动大、知识结构更新快的问题，行业内的市场竞争也越</w:t>
      </w:r>
    </w:p>
    <w:p>
      <w:pPr>
        <w:pStyle w:val="Heading3"/>
        <w:spacing w:line="352" w:lineRule="auto" w:before="55"/>
        <w:ind w:right="1135"/>
        <w:jc w:val="both"/>
      </w:pPr>
      <w:r>
        <w:rPr/>
        <w:t>来越体现为对高素质人才的竞争。为了稳定公司的管理、技术和销售队伍，公司通过提供有 竞争力的薪酬、福利和建立公平的竞争晋升机制，提供全面、完善的培训计划，创造开放、 协作的工作环境和提倡</w:t>
      </w:r>
      <w:r>
        <w:rPr>
          <w:rFonts w:ascii="Times New Roman" w:hAnsi="Times New Roman" w:cs="Times New Roman" w:eastAsia="Times New Roman" w:hint="default"/>
        </w:rPr>
        <w:t>“</w:t>
      </w:r>
      <w:r>
        <w:rPr/>
        <w:t>专注、创新</w:t>
      </w:r>
      <w:r>
        <w:rPr>
          <w:rFonts w:ascii="Times New Roman" w:hAnsi="Times New Roman" w:cs="Times New Roman" w:eastAsia="Times New Roman" w:hint="default"/>
        </w:rPr>
        <w:t>”</w:t>
      </w:r>
      <w:r>
        <w:rPr/>
        <w:t>的企业文化来吸引、培养人才，公司核心骨干人员也持</w:t>
      </w:r>
      <w:r>
        <w:rPr>
          <w:spacing w:val="-85"/>
        </w:rPr>
        <w:t> </w:t>
      </w:r>
      <w:r>
        <w:rPr>
          <w:spacing w:val="-85"/>
        </w:rPr>
      </w:r>
      <w:r>
        <w:rPr/>
        <w:t>有公司股份。但随着公司新业务、新项目的迅速推进，公司对专业技术人才的需求还将大量</w:t>
      </w:r>
      <w:r>
        <w:rPr>
          <w:spacing w:val="-117"/>
        </w:rPr>
        <w:t> </w:t>
      </w:r>
      <w:r>
        <w:rPr>
          <w:spacing w:val="-117"/>
        </w:rPr>
      </w:r>
      <w:r>
        <w:rPr/>
        <w:t>增加，而国内相关行业对上述人才的需求也日趋增长，如果公司发生核心人才流失，或公司 无法吸引优秀人才加入，将对公司长期发展造成不利影响。</w:t>
      </w:r>
    </w:p>
    <w:p>
      <w:pPr>
        <w:pStyle w:val="Heading3"/>
        <w:spacing w:line="240" w:lineRule="auto" w:before="41"/>
        <w:ind w:left="634" w:right="1117"/>
        <w:jc w:val="left"/>
      </w:pPr>
      <w:r>
        <w:rPr>
          <w:rFonts w:ascii="Times New Roman" w:hAnsi="Times New Roman" w:cs="Times New Roman" w:eastAsia="Times New Roman" w:hint="default"/>
        </w:rPr>
        <w:t>6</w:t>
      </w:r>
      <w:r>
        <w:rPr/>
        <w:t>、募集资金投资项目实施风险</w:t>
      </w:r>
    </w:p>
    <w:p>
      <w:pPr>
        <w:spacing w:after="0" w:line="240" w:lineRule="auto"/>
        <w:jc w:val="left"/>
        <w:sectPr>
          <w:pgSz w:w="11910" w:h="16840"/>
          <w:pgMar w:header="747" w:footer="979" w:top="1060" w:bottom="1160" w:left="980" w:right="0"/>
        </w:sectPr>
      </w:pPr>
    </w:p>
    <w:p>
      <w:pPr>
        <w:spacing w:line="240" w:lineRule="auto" w:before="7"/>
        <w:rPr>
          <w:rFonts w:ascii="宋体" w:hAnsi="宋体" w:cs="宋体" w:eastAsia="宋体" w:hint="default"/>
          <w:sz w:val="29"/>
          <w:szCs w:val="29"/>
        </w:rPr>
      </w:pPr>
    </w:p>
    <w:p>
      <w:pPr>
        <w:pStyle w:val="Heading3"/>
        <w:spacing w:line="357" w:lineRule="auto" w:before="26"/>
        <w:ind w:right="1132" w:firstLine="480"/>
        <w:jc w:val="both"/>
      </w:pPr>
      <w:r>
        <w:rPr/>
        <w:t>公司非公开发行股票募集资金投资项目是公司通过长期市场调研以及慎重的可行性研究 论证后决定的，并聘请了相关机构进行了详实的可行性研究，根据本次募集资金投资项目的 可行性研究报告，项目建设具备可行性，但不排除受宏观经济环境、国家产业政策、国内外 市场环境等因素变化的影响，在项目实施过程中仍然可能存无法达到预定目标的风险，进而</w:t>
      </w:r>
      <w:r>
        <w:rPr>
          <w:spacing w:val="-112"/>
        </w:rPr>
        <w:t> </w:t>
      </w:r>
      <w:r>
        <w:rPr>
          <w:spacing w:val="-112"/>
        </w:rPr>
      </w:r>
      <w:r>
        <w:rPr/>
        <w:t>影响公司未来的经营业绩。</w:t>
      </w:r>
    </w:p>
    <w:p>
      <w:pPr>
        <w:pStyle w:val="Heading2"/>
        <w:spacing w:line="240" w:lineRule="auto" w:before="137"/>
        <w:ind w:left="636" w:right="1117"/>
        <w:jc w:val="left"/>
        <w:rPr>
          <w:b w:val="0"/>
          <w:bCs w:val="0"/>
        </w:rPr>
      </w:pPr>
      <w:r>
        <w:rPr/>
        <w:t>公司经本次董事会审议通过的利润分配预案为：以 </w:t>
      </w:r>
      <w:r>
        <w:rPr>
          <w:rFonts w:ascii="Times New Roman" w:hAnsi="Times New Roman" w:cs="Times New Roman" w:eastAsia="Times New Roman" w:hint="default"/>
        </w:rPr>
        <w:t>481,092,495.00</w:t>
      </w:r>
      <w:r>
        <w:rPr>
          <w:rFonts w:ascii="Times New Roman" w:hAnsi="Times New Roman" w:cs="Times New Roman" w:eastAsia="Times New Roman" w:hint="default"/>
          <w:spacing w:val="-20"/>
        </w:rPr>
        <w:t> </w:t>
      </w:r>
      <w:r>
        <w:rPr/>
        <w:t>为基数，向全体股东</w:t>
      </w:r>
      <w:r>
        <w:rPr>
          <w:b w:val="0"/>
          <w:bCs w:val="0"/>
        </w:rPr>
      </w:r>
    </w:p>
    <w:p>
      <w:pPr>
        <w:pStyle w:val="Heading2"/>
        <w:spacing w:line="240" w:lineRule="auto" w:before="134"/>
        <w:ind w:right="0"/>
        <w:jc w:val="left"/>
        <w:rPr>
          <w:rFonts w:ascii="Times New Roman" w:hAnsi="Times New Roman" w:cs="Times New Roman" w:eastAsia="Times New Roman" w:hint="default"/>
          <w:b w:val="0"/>
          <w:bCs w:val="0"/>
        </w:rPr>
      </w:pPr>
      <w:r>
        <w:rPr>
          <w:w w:val="99"/>
        </w:rPr>
        <w:t>每</w:t>
      </w:r>
      <w:r>
        <w:rPr>
          <w:spacing w:val="-59"/>
        </w:rPr>
        <w:t> </w:t>
      </w:r>
      <w:r>
        <w:rPr>
          <w:rFonts w:ascii="Times New Roman" w:hAnsi="Times New Roman" w:cs="Times New Roman" w:eastAsia="Times New Roman" w:hint="default"/>
        </w:rPr>
        <w:t>10</w:t>
      </w:r>
      <w:r>
        <w:rPr>
          <w:rFonts w:ascii="Times New Roman" w:hAnsi="Times New Roman" w:cs="Times New Roman" w:eastAsia="Times New Roman" w:hint="default"/>
          <w:spacing w:val="1"/>
        </w:rPr>
        <w:t> </w:t>
      </w:r>
      <w:r>
        <w:rPr>
          <w:w w:val="99"/>
        </w:rPr>
        <w:t>股派发现金红利</w:t>
      </w:r>
      <w:r>
        <w:rPr>
          <w:spacing w:val="-58"/>
        </w:rPr>
        <w:t> </w:t>
      </w:r>
      <w:r>
        <w:rPr>
          <w:rFonts w:ascii="Times New Roman" w:hAnsi="Times New Roman" w:cs="Times New Roman" w:eastAsia="Times New Roman" w:hint="default"/>
        </w:rPr>
        <w:t>0.40</w:t>
      </w:r>
      <w:r>
        <w:rPr>
          <w:rFonts w:ascii="Times New Roman" w:hAnsi="Times New Roman" w:cs="Times New Roman" w:eastAsia="Times New Roman" w:hint="default"/>
          <w:spacing w:val="1"/>
        </w:rPr>
        <w:t> </w:t>
      </w:r>
      <w:r>
        <w:rPr>
          <w:w w:val="99"/>
        </w:rPr>
        <w:t>元（含税</w:t>
      </w:r>
      <w:r>
        <w:rPr>
          <w:spacing w:val="-120"/>
          <w:w w:val="99"/>
        </w:rPr>
        <w:t>）</w:t>
      </w:r>
      <w:r>
        <w:rPr>
          <w:w w:val="99"/>
        </w:rPr>
        <w:t>，送红股</w:t>
      </w:r>
      <w:r>
        <w:rPr>
          <w:spacing w:val="-57"/>
        </w:rPr>
        <w:t> </w:t>
      </w:r>
      <w:r>
        <w:rPr>
          <w:rFonts w:ascii="Times New Roman" w:hAnsi="Times New Roman" w:cs="Times New Roman" w:eastAsia="Times New Roman" w:hint="default"/>
        </w:rPr>
        <w:t>0</w:t>
      </w:r>
      <w:r>
        <w:rPr>
          <w:rFonts w:ascii="Times New Roman" w:hAnsi="Times New Roman" w:cs="Times New Roman" w:eastAsia="Times New Roman" w:hint="default"/>
          <w:spacing w:val="1"/>
        </w:rPr>
        <w:t> </w:t>
      </w:r>
      <w:r>
        <w:rPr>
          <w:w w:val="99"/>
        </w:rPr>
        <w:t>股（含税</w:t>
      </w:r>
      <w:r>
        <w:rPr>
          <w:spacing w:val="-120"/>
          <w:w w:val="99"/>
        </w:rPr>
        <w:t>）</w:t>
      </w:r>
      <w:r>
        <w:rPr>
          <w:w w:val="99"/>
        </w:rPr>
        <w:t>，以资本公积金向全体股东每</w:t>
      </w:r>
      <w:r>
        <w:rPr>
          <w:spacing w:val="-56"/>
        </w:rPr>
        <w:t> </w:t>
      </w:r>
      <w:r>
        <w:rPr>
          <w:rFonts w:ascii="Times New Roman" w:hAnsi="Times New Roman" w:cs="Times New Roman" w:eastAsia="Times New Roman" w:hint="default"/>
        </w:rPr>
        <w:t>10</w:t>
      </w:r>
      <w:r>
        <w:rPr>
          <w:rFonts w:ascii="Times New Roman" w:hAnsi="Times New Roman" w:cs="Times New Roman" w:eastAsia="Times New Roman" w:hint="default"/>
          <w:b w:val="0"/>
          <w:bCs w:val="0"/>
        </w:rPr>
      </w:r>
    </w:p>
    <w:p>
      <w:pPr>
        <w:pStyle w:val="Heading2"/>
        <w:spacing w:line="240" w:lineRule="auto" w:before="137"/>
        <w:ind w:right="1117"/>
        <w:jc w:val="left"/>
        <w:rPr>
          <w:b w:val="0"/>
          <w:bCs w:val="0"/>
        </w:rPr>
      </w:pPr>
      <w:r>
        <w:rPr/>
        <w:t>股转增</w:t>
      </w:r>
      <w:r>
        <w:rPr>
          <w:spacing w:val="-62"/>
        </w:rPr>
        <w:t> </w:t>
      </w:r>
      <w:r>
        <w:rPr>
          <w:rFonts w:ascii="Times New Roman" w:hAnsi="Times New Roman" w:cs="Times New Roman" w:eastAsia="Times New Roman" w:hint="default"/>
        </w:rPr>
        <w:t>0</w:t>
      </w:r>
      <w:r>
        <w:rPr>
          <w:rFonts w:ascii="Times New Roman" w:hAnsi="Times New Roman" w:cs="Times New Roman" w:eastAsia="Times New Roman" w:hint="default"/>
          <w:spacing w:val="-2"/>
        </w:rPr>
        <w:t> </w:t>
      </w:r>
      <w:r>
        <w:rPr/>
        <w:t>股。</w:t>
      </w:r>
      <w:r>
        <w:rPr>
          <w:b w:val="0"/>
          <w:bCs w:val="0"/>
        </w:rPr>
      </w:r>
    </w:p>
    <w:p>
      <w:pPr>
        <w:spacing w:after="0" w:line="240" w:lineRule="auto"/>
        <w:jc w:val="left"/>
        <w:sectPr>
          <w:pgSz w:w="11910" w:h="16840"/>
          <w:pgMar w:header="747" w:footer="979" w:top="1060" w:bottom="1160" w:left="980" w:right="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before="123"/>
        <w:ind w:left="0" w:right="976" w:firstLine="0"/>
        <w:jc w:val="center"/>
        <w:rPr>
          <w:rFonts w:ascii="宋体" w:hAnsi="宋体" w:cs="宋体" w:eastAsia="宋体" w:hint="default"/>
          <w:sz w:val="36"/>
          <w:szCs w:val="36"/>
        </w:rPr>
      </w:pPr>
      <w:r>
        <w:rPr>
          <w:rFonts w:ascii="宋体" w:hAnsi="宋体" w:cs="宋体" w:eastAsia="宋体" w:hint="default"/>
          <w:b/>
          <w:bCs/>
          <w:sz w:val="36"/>
          <w:szCs w:val="36"/>
        </w:rPr>
        <w:t>目录</w:t>
      </w:r>
      <w:r>
        <w:rPr>
          <w:rFonts w:ascii="宋体" w:hAnsi="宋体" w:cs="宋体" w:eastAsia="宋体" w:hint="default"/>
          <w:sz w:val="36"/>
          <w:szCs w:val="36"/>
        </w:rPr>
      </w:r>
    </w:p>
    <w:p>
      <w:pPr>
        <w:spacing w:line="240" w:lineRule="auto" w:before="0"/>
        <w:rPr>
          <w:rFonts w:ascii="宋体" w:hAnsi="宋体" w:cs="宋体" w:eastAsia="宋体" w:hint="default"/>
          <w:b/>
          <w:bCs/>
          <w:sz w:val="36"/>
          <w:szCs w:val="36"/>
        </w:rPr>
      </w:pPr>
    </w:p>
    <w:p>
      <w:pPr>
        <w:spacing w:line="240" w:lineRule="auto" w:before="0"/>
        <w:rPr>
          <w:rFonts w:ascii="宋体" w:hAnsi="宋体" w:cs="宋体" w:eastAsia="宋体" w:hint="default"/>
          <w:b/>
          <w:bCs/>
          <w:sz w:val="36"/>
          <w:szCs w:val="36"/>
        </w:rPr>
      </w:pPr>
    </w:p>
    <w:p>
      <w:pPr>
        <w:spacing w:line="240" w:lineRule="auto" w:before="1"/>
        <w:rPr>
          <w:rFonts w:ascii="宋体" w:hAnsi="宋体" w:cs="宋体" w:eastAsia="宋体" w:hint="default"/>
          <w:b/>
          <w:bCs/>
          <w:sz w:val="42"/>
          <w:szCs w:val="42"/>
        </w:rPr>
      </w:pPr>
    </w:p>
    <w:sdt>
      <w:sdtPr>
        <w:docPartObj>
          <w:docPartGallery w:val="Table of Contents"/>
          <w:docPartUnique/>
        </w:docPartObj>
      </w:sdtPr>
      <w:sdtEndPr/>
      <w:sdtContent>
        <w:p>
          <w:pPr>
            <w:pStyle w:val="TOC1"/>
            <w:tabs>
              <w:tab w:pos="9782" w:val="right" w:leader="dot"/>
            </w:tabs>
            <w:spacing w:line="240" w:lineRule="auto" w:before="0"/>
            <w:ind w:right="0"/>
            <w:jc w:val="left"/>
            <w:rPr>
              <w:rFonts w:ascii="Times New Roman" w:hAnsi="Times New Roman" w:cs="Times New Roman" w:eastAsia="Times New Roman" w:hint="default"/>
              <w:b w:val="0"/>
              <w:bCs w:val="0"/>
            </w:rPr>
          </w:pPr>
          <w:hyperlink w:history="true" w:anchor="_bookmark0">
            <w:r>
              <w:rPr/>
              <w:t>第一节</w:t>
            </w:r>
            <w:r>
              <w:rPr>
                <w:spacing w:val="-19"/>
              </w:rPr>
              <w:t> </w:t>
            </w:r>
            <w:r>
              <w:rPr/>
              <w:t>重要提示、目录和释义</w:t>
            </w:r>
            <w:r>
              <w:rPr>
                <w:rFonts w:ascii="Times New Roman" w:hAnsi="Times New Roman" w:cs="Times New Roman" w:eastAsia="Times New Roman" w:hint="default"/>
              </w:rPr>
              <w:tab/>
              <w:t>9</w:t>
            </w:r>
            <w:r>
              <w:rPr>
                <w:rFonts w:ascii="Times New Roman" w:hAnsi="Times New Roman" w:cs="Times New Roman" w:eastAsia="Times New Roman" w:hint="default"/>
                <w:b w:val="0"/>
                <w:bCs w:val="0"/>
              </w:rPr>
            </w:r>
          </w:hyperlink>
        </w:p>
        <w:p>
          <w:pPr>
            <w:pStyle w:val="TOC1"/>
            <w:tabs>
              <w:tab w:pos="9782" w:val="right" w:leader="dot"/>
            </w:tabs>
            <w:spacing w:line="240" w:lineRule="auto"/>
            <w:ind w:right="0"/>
            <w:jc w:val="left"/>
            <w:rPr>
              <w:rFonts w:ascii="Times New Roman" w:hAnsi="Times New Roman" w:cs="Times New Roman" w:eastAsia="Times New Roman" w:hint="default"/>
              <w:b w:val="0"/>
              <w:bCs w:val="0"/>
            </w:rPr>
          </w:pPr>
          <w:hyperlink w:history="true" w:anchor="_bookmark1">
            <w:r>
              <w:rPr/>
              <w:t>第二节</w:t>
            </w:r>
            <w:r>
              <w:rPr>
                <w:spacing w:val="-19"/>
              </w:rPr>
              <w:t> </w:t>
            </w:r>
            <w:r>
              <w:rPr/>
              <w:t>公司简介和主要财务指标</w:t>
            </w:r>
            <w:r>
              <w:rPr>
                <w:rFonts w:ascii="Times New Roman" w:hAnsi="Times New Roman" w:cs="Times New Roman" w:eastAsia="Times New Roman" w:hint="default"/>
              </w:rPr>
              <w:tab/>
              <w:t>13</w:t>
            </w:r>
            <w:r>
              <w:rPr>
                <w:rFonts w:ascii="Times New Roman" w:hAnsi="Times New Roman" w:cs="Times New Roman" w:eastAsia="Times New Roman" w:hint="default"/>
                <w:b w:val="0"/>
                <w:bCs w:val="0"/>
              </w:rPr>
            </w:r>
          </w:hyperlink>
        </w:p>
        <w:p>
          <w:pPr>
            <w:pStyle w:val="TOC1"/>
            <w:tabs>
              <w:tab w:pos="9782" w:val="right" w:leader="dot"/>
            </w:tabs>
            <w:spacing w:line="240" w:lineRule="auto"/>
            <w:ind w:right="0"/>
            <w:jc w:val="left"/>
            <w:rPr>
              <w:rFonts w:ascii="Times New Roman" w:hAnsi="Times New Roman" w:cs="Times New Roman" w:eastAsia="Times New Roman" w:hint="default"/>
              <w:b w:val="0"/>
              <w:bCs w:val="0"/>
            </w:rPr>
          </w:pPr>
          <w:hyperlink w:history="true" w:anchor="_bookmark2">
            <w:r>
              <w:rPr/>
              <w:t>第三节</w:t>
            </w:r>
            <w:r>
              <w:rPr>
                <w:spacing w:val="-19"/>
              </w:rPr>
              <w:t> </w:t>
            </w:r>
            <w:r>
              <w:rPr/>
              <w:t>公司业务概要</w:t>
            </w:r>
            <w:r>
              <w:rPr>
                <w:rFonts w:ascii="Times New Roman" w:hAnsi="Times New Roman" w:cs="Times New Roman" w:eastAsia="Times New Roman" w:hint="default"/>
              </w:rPr>
              <w:tab/>
              <w:t>36</w:t>
            </w:r>
            <w:r>
              <w:rPr>
                <w:rFonts w:ascii="Times New Roman" w:hAnsi="Times New Roman" w:cs="Times New Roman" w:eastAsia="Times New Roman" w:hint="default"/>
                <w:b w:val="0"/>
                <w:bCs w:val="0"/>
              </w:rPr>
            </w:r>
          </w:hyperlink>
        </w:p>
        <w:p>
          <w:pPr>
            <w:pStyle w:val="TOC1"/>
            <w:tabs>
              <w:tab w:pos="9782" w:val="right" w:leader="dot"/>
            </w:tabs>
            <w:spacing w:line="240" w:lineRule="auto"/>
            <w:ind w:right="0"/>
            <w:jc w:val="left"/>
            <w:rPr>
              <w:rFonts w:ascii="Times New Roman" w:hAnsi="Times New Roman" w:cs="Times New Roman" w:eastAsia="Times New Roman" w:hint="default"/>
              <w:b w:val="0"/>
              <w:bCs w:val="0"/>
            </w:rPr>
          </w:pPr>
          <w:hyperlink w:history="true" w:anchor="_bookmark3">
            <w:r>
              <w:rPr/>
              <w:t>第四节</w:t>
            </w:r>
            <w:r>
              <w:rPr>
                <w:spacing w:val="-19"/>
              </w:rPr>
              <w:t> </w:t>
            </w:r>
            <w:r>
              <w:rPr/>
              <w:t>经营情况讨论与分析</w:t>
            </w:r>
            <w:r>
              <w:rPr>
                <w:rFonts w:ascii="Times New Roman" w:hAnsi="Times New Roman" w:cs="Times New Roman" w:eastAsia="Times New Roman" w:hint="default"/>
              </w:rPr>
              <w:tab/>
              <w:t>68</w:t>
            </w:r>
            <w:r>
              <w:rPr>
                <w:rFonts w:ascii="Times New Roman" w:hAnsi="Times New Roman" w:cs="Times New Roman" w:eastAsia="Times New Roman" w:hint="default"/>
                <w:b w:val="0"/>
                <w:bCs w:val="0"/>
              </w:rPr>
            </w:r>
          </w:hyperlink>
        </w:p>
        <w:p>
          <w:pPr>
            <w:pStyle w:val="TOC1"/>
            <w:tabs>
              <w:tab w:pos="9782" w:val="right" w:leader="dot"/>
            </w:tabs>
            <w:spacing w:line="240" w:lineRule="auto"/>
            <w:ind w:right="0"/>
            <w:jc w:val="left"/>
            <w:rPr>
              <w:rFonts w:ascii="Times New Roman" w:hAnsi="Times New Roman" w:cs="Times New Roman" w:eastAsia="Times New Roman" w:hint="default"/>
              <w:b w:val="0"/>
              <w:bCs w:val="0"/>
            </w:rPr>
          </w:pPr>
          <w:hyperlink w:history="true" w:anchor="_bookmark4">
            <w:r>
              <w:rPr/>
              <w:t>第五节</w:t>
            </w:r>
            <w:r>
              <w:rPr>
                <w:spacing w:val="-19"/>
              </w:rPr>
              <w:t> </w:t>
            </w:r>
            <w:r>
              <w:rPr/>
              <w:t>重要事项</w:t>
            </w:r>
            <w:r>
              <w:rPr>
                <w:rFonts w:ascii="Times New Roman" w:hAnsi="Times New Roman" w:cs="Times New Roman" w:eastAsia="Times New Roman" w:hint="default"/>
              </w:rPr>
              <w:tab/>
              <w:t>109</w:t>
            </w:r>
            <w:r>
              <w:rPr>
                <w:rFonts w:ascii="Times New Roman" w:hAnsi="Times New Roman" w:cs="Times New Roman" w:eastAsia="Times New Roman" w:hint="default"/>
                <w:b w:val="0"/>
                <w:bCs w:val="0"/>
              </w:rPr>
            </w:r>
          </w:hyperlink>
        </w:p>
        <w:p>
          <w:pPr>
            <w:pStyle w:val="TOC1"/>
            <w:tabs>
              <w:tab w:pos="9782" w:val="right" w:leader="dot"/>
            </w:tabs>
            <w:spacing w:line="240" w:lineRule="auto"/>
            <w:ind w:right="0"/>
            <w:jc w:val="left"/>
            <w:rPr>
              <w:rFonts w:ascii="Times New Roman" w:hAnsi="Times New Roman" w:cs="Times New Roman" w:eastAsia="Times New Roman" w:hint="default"/>
              <w:b w:val="0"/>
              <w:bCs w:val="0"/>
            </w:rPr>
          </w:pPr>
          <w:hyperlink w:history="true" w:anchor="_bookmark5">
            <w:r>
              <w:rPr/>
              <w:t>第六节</w:t>
            </w:r>
            <w:r>
              <w:rPr>
                <w:spacing w:val="-19"/>
              </w:rPr>
              <w:t> </w:t>
            </w:r>
            <w:r>
              <w:rPr/>
              <w:t>股份变动及股东情况</w:t>
            </w:r>
            <w:r>
              <w:rPr>
                <w:rFonts w:ascii="Times New Roman" w:hAnsi="Times New Roman" w:cs="Times New Roman" w:eastAsia="Times New Roman" w:hint="default"/>
              </w:rPr>
              <w:tab/>
            </w:r>
            <w:r>
              <w:rPr>
                <w:rFonts w:ascii="Times New Roman" w:hAnsi="Times New Roman" w:cs="Times New Roman" w:eastAsia="Times New Roman" w:hint="default"/>
                <w:spacing w:val="-5"/>
              </w:rPr>
              <w:t>119</w:t>
            </w:r>
            <w:r>
              <w:rPr>
                <w:rFonts w:ascii="Times New Roman" w:hAnsi="Times New Roman" w:cs="Times New Roman" w:eastAsia="Times New Roman" w:hint="default"/>
                <w:b w:val="0"/>
                <w:bCs w:val="0"/>
                <w:spacing w:val="-5"/>
              </w:rPr>
            </w:r>
          </w:hyperlink>
        </w:p>
        <w:p>
          <w:pPr>
            <w:pStyle w:val="TOC1"/>
            <w:tabs>
              <w:tab w:pos="9782" w:val="right" w:leader="dot"/>
            </w:tabs>
            <w:spacing w:line="240" w:lineRule="auto"/>
            <w:ind w:right="0"/>
            <w:jc w:val="left"/>
            <w:rPr>
              <w:rFonts w:ascii="Times New Roman" w:hAnsi="Times New Roman" w:cs="Times New Roman" w:eastAsia="Times New Roman" w:hint="default"/>
              <w:b w:val="0"/>
              <w:bCs w:val="0"/>
            </w:rPr>
          </w:pPr>
          <w:hyperlink w:history="true" w:anchor="_bookmark5">
            <w:r>
              <w:rPr/>
              <w:t>第七节</w:t>
            </w:r>
            <w:r>
              <w:rPr>
                <w:spacing w:val="-19"/>
              </w:rPr>
              <w:t> </w:t>
            </w:r>
            <w:r>
              <w:rPr/>
              <w:t>优先股相关情况</w:t>
            </w:r>
            <w:r>
              <w:rPr>
                <w:rFonts w:ascii="Times New Roman" w:hAnsi="Times New Roman" w:cs="Times New Roman" w:eastAsia="Times New Roman" w:hint="default"/>
              </w:rPr>
              <w:tab/>
            </w:r>
            <w:r>
              <w:rPr>
                <w:rFonts w:ascii="Times New Roman" w:hAnsi="Times New Roman" w:cs="Times New Roman" w:eastAsia="Times New Roman" w:hint="default"/>
                <w:spacing w:val="-5"/>
              </w:rPr>
              <w:t>119</w:t>
            </w:r>
            <w:r>
              <w:rPr>
                <w:rFonts w:ascii="Times New Roman" w:hAnsi="Times New Roman" w:cs="Times New Roman" w:eastAsia="Times New Roman" w:hint="default"/>
                <w:b w:val="0"/>
                <w:bCs w:val="0"/>
                <w:spacing w:val="-5"/>
              </w:rPr>
            </w:r>
          </w:hyperlink>
        </w:p>
        <w:p>
          <w:pPr>
            <w:pStyle w:val="TOC1"/>
            <w:tabs>
              <w:tab w:pos="9782" w:val="right" w:leader="dot"/>
            </w:tabs>
            <w:spacing w:line="240" w:lineRule="auto" w:before="160"/>
            <w:ind w:right="0"/>
            <w:jc w:val="left"/>
            <w:rPr>
              <w:rFonts w:ascii="Times New Roman" w:hAnsi="Times New Roman" w:cs="Times New Roman" w:eastAsia="Times New Roman" w:hint="default"/>
              <w:b w:val="0"/>
              <w:bCs w:val="0"/>
            </w:rPr>
          </w:pPr>
          <w:hyperlink w:history="true" w:anchor="_bookmark6">
            <w:r>
              <w:rPr/>
              <w:t>第八节</w:t>
            </w:r>
            <w:r>
              <w:rPr>
                <w:spacing w:val="-19"/>
              </w:rPr>
              <w:t> </w:t>
            </w:r>
            <w:r>
              <w:rPr/>
              <w:t>董事、监事、高级管理人员和员工情况</w:t>
            </w:r>
            <w:r>
              <w:rPr>
                <w:rFonts w:ascii="Times New Roman" w:hAnsi="Times New Roman" w:cs="Times New Roman" w:eastAsia="Times New Roman" w:hint="default"/>
              </w:rPr>
              <w:tab/>
              <w:t>120</w:t>
            </w:r>
            <w:r>
              <w:rPr>
                <w:rFonts w:ascii="Times New Roman" w:hAnsi="Times New Roman" w:cs="Times New Roman" w:eastAsia="Times New Roman" w:hint="default"/>
                <w:b w:val="0"/>
                <w:bCs w:val="0"/>
              </w:rPr>
            </w:r>
          </w:hyperlink>
        </w:p>
        <w:p>
          <w:pPr>
            <w:pStyle w:val="TOC1"/>
            <w:tabs>
              <w:tab w:pos="9782" w:val="right" w:leader="dot"/>
            </w:tabs>
            <w:spacing w:line="240" w:lineRule="auto"/>
            <w:ind w:right="0"/>
            <w:jc w:val="left"/>
            <w:rPr>
              <w:rFonts w:ascii="Times New Roman" w:hAnsi="Times New Roman" w:cs="Times New Roman" w:eastAsia="Times New Roman" w:hint="default"/>
              <w:b w:val="0"/>
              <w:bCs w:val="0"/>
            </w:rPr>
          </w:pPr>
          <w:hyperlink w:history="true" w:anchor="_bookmark7">
            <w:r>
              <w:rPr/>
              <w:t>第九节</w:t>
            </w:r>
            <w:r>
              <w:rPr>
                <w:spacing w:val="-19"/>
              </w:rPr>
              <w:t> </w:t>
            </w:r>
            <w:r>
              <w:rPr/>
              <w:t>公司治理</w:t>
            </w:r>
            <w:r>
              <w:rPr>
                <w:rFonts w:ascii="Times New Roman" w:hAnsi="Times New Roman" w:cs="Times New Roman" w:eastAsia="Times New Roman" w:hint="default"/>
              </w:rPr>
              <w:tab/>
              <w:t>132</w:t>
            </w:r>
            <w:r>
              <w:rPr>
                <w:rFonts w:ascii="Times New Roman" w:hAnsi="Times New Roman" w:cs="Times New Roman" w:eastAsia="Times New Roman" w:hint="default"/>
                <w:b w:val="0"/>
                <w:bCs w:val="0"/>
              </w:rPr>
            </w:r>
          </w:hyperlink>
        </w:p>
        <w:p>
          <w:pPr>
            <w:pStyle w:val="TOC1"/>
            <w:tabs>
              <w:tab w:pos="9782" w:val="right" w:leader="dot"/>
            </w:tabs>
            <w:spacing w:line="240" w:lineRule="auto"/>
            <w:ind w:right="0"/>
            <w:jc w:val="left"/>
            <w:rPr>
              <w:rFonts w:ascii="Times New Roman" w:hAnsi="Times New Roman" w:cs="Times New Roman" w:eastAsia="Times New Roman" w:hint="default"/>
              <w:b w:val="0"/>
              <w:bCs w:val="0"/>
            </w:rPr>
          </w:pPr>
          <w:hyperlink w:history="true" w:anchor="_bookmark8">
            <w:r>
              <w:rPr/>
              <w:t>第十节</w:t>
            </w:r>
            <w:r>
              <w:rPr>
                <w:spacing w:val="-19"/>
              </w:rPr>
              <w:t> </w:t>
            </w:r>
            <w:r>
              <w:rPr/>
              <w:t>公司债券相关情况</w:t>
            </w:r>
            <w:r>
              <w:rPr>
                <w:rFonts w:ascii="Times New Roman" w:hAnsi="Times New Roman" w:cs="Times New Roman" w:eastAsia="Times New Roman" w:hint="default"/>
              </w:rPr>
              <w:tab/>
              <w:t>142</w:t>
            </w:r>
            <w:r>
              <w:rPr>
                <w:rFonts w:ascii="Times New Roman" w:hAnsi="Times New Roman" w:cs="Times New Roman" w:eastAsia="Times New Roman" w:hint="default"/>
                <w:b w:val="0"/>
                <w:bCs w:val="0"/>
              </w:rPr>
            </w:r>
          </w:hyperlink>
        </w:p>
        <w:p>
          <w:pPr>
            <w:pStyle w:val="TOC1"/>
            <w:tabs>
              <w:tab w:pos="9782" w:val="right" w:leader="dot"/>
            </w:tabs>
            <w:spacing w:line="240" w:lineRule="auto"/>
            <w:ind w:right="0"/>
            <w:jc w:val="left"/>
            <w:rPr>
              <w:rFonts w:ascii="Times New Roman" w:hAnsi="Times New Roman" w:cs="Times New Roman" w:eastAsia="Times New Roman" w:hint="default"/>
              <w:b w:val="0"/>
              <w:bCs w:val="0"/>
            </w:rPr>
          </w:pPr>
          <w:hyperlink w:history="true" w:anchor="_bookmark9">
            <w:r>
              <w:rPr/>
              <w:t>第十一节</w:t>
            </w:r>
            <w:r>
              <w:rPr>
                <w:spacing w:val="-19"/>
              </w:rPr>
              <w:t> </w:t>
            </w:r>
            <w:r>
              <w:rPr/>
              <w:t>财务报告</w:t>
            </w:r>
            <w:r>
              <w:rPr>
                <w:rFonts w:ascii="Times New Roman" w:hAnsi="Times New Roman" w:cs="Times New Roman" w:eastAsia="Times New Roman" w:hint="default"/>
              </w:rPr>
              <w:tab/>
              <w:t>143</w:t>
            </w:r>
            <w:r>
              <w:rPr>
                <w:rFonts w:ascii="Times New Roman" w:hAnsi="Times New Roman" w:cs="Times New Roman" w:eastAsia="Times New Roman" w:hint="default"/>
                <w:b w:val="0"/>
                <w:bCs w:val="0"/>
              </w:rPr>
            </w:r>
          </w:hyperlink>
        </w:p>
        <w:p>
          <w:pPr>
            <w:pStyle w:val="TOC1"/>
            <w:tabs>
              <w:tab w:pos="9782" w:val="right" w:leader="dot"/>
            </w:tabs>
            <w:spacing w:line="240" w:lineRule="auto"/>
            <w:ind w:right="0"/>
            <w:jc w:val="left"/>
            <w:rPr>
              <w:rFonts w:ascii="Times New Roman" w:hAnsi="Times New Roman" w:cs="Times New Roman" w:eastAsia="Times New Roman" w:hint="default"/>
              <w:b w:val="0"/>
              <w:bCs w:val="0"/>
            </w:rPr>
          </w:pPr>
          <w:hyperlink w:history="true" w:anchor="_bookmark10">
            <w:r>
              <w:rPr/>
              <w:t>第十二节</w:t>
            </w:r>
            <w:r>
              <w:rPr>
                <w:spacing w:val="-20"/>
              </w:rPr>
              <w:t> </w:t>
            </w:r>
            <w:r>
              <w:rPr/>
              <w:t>备查文件目录</w:t>
            </w:r>
            <w:r>
              <w:rPr>
                <w:rFonts w:ascii="Times New Roman" w:hAnsi="Times New Roman" w:cs="Times New Roman" w:eastAsia="Times New Roman" w:hint="default"/>
              </w:rPr>
              <w:tab/>
              <w:t>265</w:t>
            </w:r>
            <w:r>
              <w:rPr>
                <w:rFonts w:ascii="Times New Roman" w:hAnsi="Times New Roman" w:cs="Times New Roman" w:eastAsia="Times New Roman" w:hint="default"/>
                <w:b w:val="0"/>
                <w:bCs w:val="0"/>
              </w:rPr>
            </w:r>
          </w:hyperlink>
        </w:p>
      </w:sdtContent>
    </w:sdt>
    <w:p>
      <w:pPr>
        <w:spacing w:after="0" w:line="240" w:lineRule="auto"/>
        <w:jc w:val="left"/>
        <w:rPr>
          <w:rFonts w:ascii="Times New Roman" w:hAnsi="Times New Roman" w:cs="Times New Roman" w:eastAsia="Times New Roman" w:hint="default"/>
        </w:rPr>
        <w:sectPr>
          <w:pgSz w:w="11910" w:h="16840"/>
          <w:pgMar w:header="747" w:footer="979" w:top="1060" w:bottom="1160" w:left="980" w:right="0"/>
        </w:sectPr>
      </w:pPr>
    </w:p>
    <w:p>
      <w:pPr>
        <w:spacing w:before="946"/>
        <w:ind w:left="0" w:right="976" w:firstLine="0"/>
        <w:jc w:val="center"/>
        <w:rPr>
          <w:rFonts w:ascii="宋体" w:hAnsi="宋体" w:cs="宋体" w:eastAsia="宋体" w:hint="default"/>
          <w:sz w:val="32"/>
          <w:szCs w:val="32"/>
        </w:rPr>
      </w:pPr>
      <w:r>
        <w:rPr>
          <w:rFonts w:ascii="宋体" w:hAnsi="宋体" w:cs="宋体" w:eastAsia="宋体" w:hint="default"/>
          <w:b/>
          <w:bCs/>
          <w:sz w:val="32"/>
          <w:szCs w:val="32"/>
        </w:rPr>
        <w:t>释义</w:t>
      </w:r>
      <w:r>
        <w:rPr>
          <w:rFonts w:ascii="宋体" w:hAnsi="宋体" w:cs="宋体" w:eastAsia="宋体" w:hint="default"/>
          <w:sz w:val="32"/>
          <w:szCs w:val="32"/>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5"/>
          <w:szCs w:val="25"/>
        </w:rPr>
      </w:pPr>
    </w:p>
    <w:tbl>
      <w:tblPr>
        <w:tblW w:w="0" w:type="auto"/>
        <w:jc w:val="left"/>
        <w:tblInd w:w="182" w:type="dxa"/>
        <w:tblLayout w:type="fixed"/>
        <w:tblCellMar>
          <w:top w:w="0" w:type="dxa"/>
          <w:left w:w="0" w:type="dxa"/>
          <w:bottom w:w="0" w:type="dxa"/>
          <w:right w:w="0" w:type="dxa"/>
        </w:tblCellMar>
        <w:tblLook w:val="01E0"/>
      </w:tblPr>
      <w:tblGrid>
        <w:gridCol w:w="3536"/>
        <w:gridCol w:w="599"/>
        <w:gridCol w:w="5436"/>
      </w:tblGrid>
      <w:tr>
        <w:trPr>
          <w:trHeight w:val="402" w:hRule="exact"/>
        </w:trPr>
        <w:tc>
          <w:tcPr>
            <w:tcW w:w="35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7"/>
              <w:jc w:val="center"/>
              <w:rPr>
                <w:rFonts w:ascii="宋体" w:hAnsi="宋体" w:cs="宋体" w:eastAsia="宋体" w:hint="default"/>
                <w:sz w:val="18"/>
                <w:szCs w:val="18"/>
              </w:rPr>
            </w:pPr>
            <w:r>
              <w:rPr>
                <w:rFonts w:ascii="宋体" w:hAnsi="宋体" w:cs="宋体" w:eastAsia="宋体" w:hint="default"/>
                <w:sz w:val="18"/>
                <w:szCs w:val="18"/>
              </w:rPr>
              <w:t>释义项</w:t>
            </w:r>
          </w:p>
        </w:tc>
        <w:tc>
          <w:tcPr>
            <w:tcW w:w="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 w:right="0"/>
              <w:jc w:val="center"/>
              <w:rPr>
                <w:rFonts w:ascii="宋体" w:hAnsi="宋体" w:cs="宋体" w:eastAsia="宋体" w:hint="default"/>
                <w:sz w:val="18"/>
                <w:szCs w:val="18"/>
              </w:rPr>
            </w:pPr>
            <w:r>
              <w:rPr>
                <w:rFonts w:ascii="宋体" w:hAnsi="宋体" w:cs="宋体" w:eastAsia="宋体" w:hint="default"/>
                <w:sz w:val="18"/>
                <w:szCs w:val="18"/>
              </w:rPr>
              <w:t>释义内容</w:t>
            </w:r>
          </w:p>
        </w:tc>
      </w:tr>
      <w:tr>
        <w:trPr>
          <w:trHeight w:val="402" w:hRule="exact"/>
        </w:trPr>
        <w:tc>
          <w:tcPr>
            <w:tcW w:w="3536" w:type="dxa"/>
            <w:tcBorders>
              <w:top w:val="single" w:sz="4" w:space="0" w:color="000000"/>
              <w:left w:val="single" w:sz="4" w:space="0" w:color="000000"/>
              <w:bottom w:val="single" w:sz="4" w:space="0" w:color="000000"/>
              <w:right w:val="single" w:sz="9" w:space="0" w:color="D2D2D2"/>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本公司、公司、新开普</w:t>
            </w:r>
          </w:p>
        </w:tc>
        <w:tc>
          <w:tcPr>
            <w:tcW w:w="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新开普电子股份有限公司</w:t>
            </w:r>
          </w:p>
        </w:tc>
      </w:tr>
      <w:tr>
        <w:trPr>
          <w:trHeight w:val="402" w:hRule="exact"/>
        </w:trPr>
        <w:tc>
          <w:tcPr>
            <w:tcW w:w="3536" w:type="dxa"/>
            <w:tcBorders>
              <w:top w:val="single" w:sz="4" w:space="0" w:color="000000"/>
              <w:left w:val="single" w:sz="4" w:space="0" w:color="000000"/>
              <w:bottom w:val="single" w:sz="4" w:space="0" w:color="000000"/>
              <w:right w:val="single" w:sz="9" w:space="0" w:color="D2D2D2"/>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中国证监会</w:t>
            </w:r>
          </w:p>
        </w:tc>
        <w:tc>
          <w:tcPr>
            <w:tcW w:w="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中国证券监督管理委员会</w:t>
            </w:r>
          </w:p>
        </w:tc>
      </w:tr>
      <w:tr>
        <w:trPr>
          <w:trHeight w:val="402" w:hRule="exact"/>
        </w:trPr>
        <w:tc>
          <w:tcPr>
            <w:tcW w:w="3536" w:type="dxa"/>
            <w:tcBorders>
              <w:top w:val="single" w:sz="4" w:space="0" w:color="000000"/>
              <w:left w:val="single" w:sz="4" w:space="0" w:color="000000"/>
              <w:bottom w:val="single" w:sz="4" w:space="0" w:color="000000"/>
              <w:right w:val="single" w:sz="9" w:space="0" w:color="D2D2D2"/>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深交所</w:t>
            </w:r>
          </w:p>
        </w:tc>
        <w:tc>
          <w:tcPr>
            <w:tcW w:w="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深圳证券交易所</w:t>
            </w:r>
          </w:p>
        </w:tc>
      </w:tr>
      <w:tr>
        <w:trPr>
          <w:trHeight w:val="402" w:hRule="exact"/>
        </w:trPr>
        <w:tc>
          <w:tcPr>
            <w:tcW w:w="3536" w:type="dxa"/>
            <w:tcBorders>
              <w:top w:val="single" w:sz="4" w:space="0" w:color="000000"/>
              <w:left w:val="single" w:sz="4" w:space="0" w:color="000000"/>
              <w:bottom w:val="single" w:sz="4" w:space="0" w:color="000000"/>
              <w:right w:val="single" w:sz="9" w:space="0" w:color="D2D2D2"/>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创业板</w:t>
            </w:r>
          </w:p>
        </w:tc>
        <w:tc>
          <w:tcPr>
            <w:tcW w:w="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深圳证券交易所创业板</w:t>
            </w:r>
          </w:p>
        </w:tc>
      </w:tr>
      <w:tr>
        <w:trPr>
          <w:trHeight w:val="402" w:hRule="exact"/>
        </w:trPr>
        <w:tc>
          <w:tcPr>
            <w:tcW w:w="3536" w:type="dxa"/>
            <w:tcBorders>
              <w:top w:val="single" w:sz="4" w:space="0" w:color="000000"/>
              <w:left w:val="single" w:sz="4" w:space="0" w:color="000000"/>
              <w:bottom w:val="single" w:sz="4" w:space="0" w:color="000000"/>
              <w:right w:val="single" w:sz="9" w:space="0" w:color="D2D2D2"/>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股东大会</w:t>
            </w:r>
          </w:p>
        </w:tc>
        <w:tc>
          <w:tcPr>
            <w:tcW w:w="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新开普电子股份有限公司股东大会</w:t>
            </w:r>
          </w:p>
        </w:tc>
      </w:tr>
      <w:tr>
        <w:trPr>
          <w:trHeight w:val="402" w:hRule="exact"/>
        </w:trPr>
        <w:tc>
          <w:tcPr>
            <w:tcW w:w="3536" w:type="dxa"/>
            <w:tcBorders>
              <w:top w:val="single" w:sz="4" w:space="0" w:color="000000"/>
              <w:left w:val="single" w:sz="4" w:space="0" w:color="000000"/>
              <w:bottom w:val="single" w:sz="4" w:space="0" w:color="000000"/>
              <w:right w:val="single" w:sz="9" w:space="0" w:color="D2D2D2"/>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董事会</w:t>
            </w:r>
          </w:p>
        </w:tc>
        <w:tc>
          <w:tcPr>
            <w:tcW w:w="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新开普电子股份有限公司董事会</w:t>
            </w:r>
          </w:p>
        </w:tc>
      </w:tr>
      <w:tr>
        <w:trPr>
          <w:trHeight w:val="402" w:hRule="exact"/>
        </w:trPr>
        <w:tc>
          <w:tcPr>
            <w:tcW w:w="3536" w:type="dxa"/>
            <w:tcBorders>
              <w:top w:val="single" w:sz="4" w:space="0" w:color="000000"/>
              <w:left w:val="single" w:sz="4" w:space="0" w:color="000000"/>
              <w:bottom w:val="single" w:sz="4" w:space="0" w:color="000000"/>
              <w:right w:val="single" w:sz="9" w:space="0" w:color="D2D2D2"/>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监事会</w:t>
            </w:r>
          </w:p>
        </w:tc>
        <w:tc>
          <w:tcPr>
            <w:tcW w:w="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新开普电子股份有限公司监事会</w:t>
            </w:r>
          </w:p>
        </w:tc>
      </w:tr>
      <w:tr>
        <w:trPr>
          <w:trHeight w:val="402" w:hRule="exact"/>
        </w:trPr>
        <w:tc>
          <w:tcPr>
            <w:tcW w:w="3536" w:type="dxa"/>
            <w:tcBorders>
              <w:top w:val="single" w:sz="4" w:space="0" w:color="000000"/>
              <w:left w:val="single" w:sz="4" w:space="0" w:color="000000"/>
              <w:bottom w:val="single" w:sz="4" w:space="0" w:color="000000"/>
              <w:right w:val="single" w:sz="9" w:space="0" w:color="D2D2D2"/>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迪科远望</w:t>
            </w:r>
          </w:p>
        </w:tc>
        <w:tc>
          <w:tcPr>
            <w:tcW w:w="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北京迪科远望科技有限公司</w:t>
            </w:r>
          </w:p>
        </w:tc>
      </w:tr>
      <w:tr>
        <w:trPr>
          <w:trHeight w:val="402" w:hRule="exact"/>
        </w:trPr>
        <w:tc>
          <w:tcPr>
            <w:tcW w:w="3536" w:type="dxa"/>
            <w:tcBorders>
              <w:top w:val="single" w:sz="4" w:space="0" w:color="000000"/>
              <w:left w:val="single" w:sz="4" w:space="0" w:color="000000"/>
              <w:bottom w:val="single" w:sz="4" w:space="0" w:color="000000"/>
              <w:right w:val="single" w:sz="9" w:space="0" w:color="D2D2D2"/>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上海树维</w:t>
            </w:r>
          </w:p>
        </w:tc>
        <w:tc>
          <w:tcPr>
            <w:tcW w:w="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上海树维信息科技有限公司</w:t>
            </w:r>
          </w:p>
        </w:tc>
      </w:tr>
      <w:tr>
        <w:trPr>
          <w:trHeight w:val="402" w:hRule="exact"/>
        </w:trPr>
        <w:tc>
          <w:tcPr>
            <w:tcW w:w="3536" w:type="dxa"/>
            <w:tcBorders>
              <w:top w:val="single" w:sz="4" w:space="0" w:color="000000"/>
              <w:left w:val="single" w:sz="4" w:space="0" w:color="000000"/>
              <w:bottom w:val="single" w:sz="4" w:space="0" w:color="000000"/>
              <w:right w:val="single" w:sz="9" w:space="0" w:color="D2D2D2"/>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山西新开普</w:t>
            </w:r>
          </w:p>
        </w:tc>
        <w:tc>
          <w:tcPr>
            <w:tcW w:w="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山西新开普信息科技有限公司</w:t>
            </w:r>
          </w:p>
        </w:tc>
      </w:tr>
      <w:tr>
        <w:trPr>
          <w:trHeight w:val="402" w:hRule="exact"/>
        </w:trPr>
        <w:tc>
          <w:tcPr>
            <w:tcW w:w="3536" w:type="dxa"/>
            <w:tcBorders>
              <w:top w:val="single" w:sz="4" w:space="0" w:color="000000"/>
              <w:left w:val="single" w:sz="4" w:space="0" w:color="000000"/>
              <w:bottom w:val="single" w:sz="4" w:space="0" w:color="000000"/>
              <w:right w:val="single" w:sz="9" w:space="0" w:color="D2D2D2"/>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福建新开普</w:t>
            </w:r>
          </w:p>
        </w:tc>
        <w:tc>
          <w:tcPr>
            <w:tcW w:w="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福建新开普信息科技有限公司</w:t>
            </w:r>
          </w:p>
        </w:tc>
      </w:tr>
      <w:tr>
        <w:trPr>
          <w:trHeight w:val="402" w:hRule="exact"/>
        </w:trPr>
        <w:tc>
          <w:tcPr>
            <w:tcW w:w="3536" w:type="dxa"/>
            <w:tcBorders>
              <w:top w:val="single" w:sz="4" w:space="0" w:color="000000"/>
              <w:left w:val="single" w:sz="4" w:space="0" w:color="000000"/>
              <w:bottom w:val="single" w:sz="4" w:space="0" w:color="000000"/>
              <w:right w:val="single" w:sz="9" w:space="0" w:color="D2D2D2"/>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北京乐智</w:t>
            </w:r>
          </w:p>
        </w:tc>
        <w:tc>
          <w:tcPr>
            <w:tcW w:w="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北京乐智科技有限公司</w:t>
            </w:r>
          </w:p>
        </w:tc>
      </w:tr>
      <w:tr>
        <w:trPr>
          <w:trHeight w:val="402" w:hRule="exact"/>
        </w:trPr>
        <w:tc>
          <w:tcPr>
            <w:tcW w:w="3536" w:type="dxa"/>
            <w:tcBorders>
              <w:top w:val="single" w:sz="4" w:space="0" w:color="000000"/>
              <w:left w:val="single" w:sz="4" w:space="0" w:color="000000"/>
              <w:bottom w:val="single" w:sz="4" w:space="0" w:color="000000"/>
              <w:right w:val="single" w:sz="9" w:space="0" w:color="D2D2D2"/>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成都兰途</w:t>
            </w:r>
          </w:p>
        </w:tc>
        <w:tc>
          <w:tcPr>
            <w:tcW w:w="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成都兰途网络科技有限公司</w:t>
            </w:r>
          </w:p>
        </w:tc>
      </w:tr>
      <w:tr>
        <w:trPr>
          <w:trHeight w:val="402" w:hRule="exact"/>
        </w:trPr>
        <w:tc>
          <w:tcPr>
            <w:tcW w:w="3536" w:type="dxa"/>
            <w:tcBorders>
              <w:top w:val="single" w:sz="4" w:space="0" w:color="000000"/>
              <w:left w:val="single" w:sz="4" w:space="0" w:color="000000"/>
              <w:bottom w:val="single" w:sz="4" w:space="0" w:color="000000"/>
              <w:right w:val="single" w:sz="9" w:space="0" w:color="D2D2D2"/>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丹诚开普</w:t>
            </w:r>
          </w:p>
        </w:tc>
        <w:tc>
          <w:tcPr>
            <w:tcW w:w="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嘉兴丹诚开普股权投资合伙企业（有限合伙）</w:t>
            </w:r>
          </w:p>
        </w:tc>
      </w:tr>
      <w:tr>
        <w:trPr>
          <w:trHeight w:val="402" w:hRule="exact"/>
        </w:trPr>
        <w:tc>
          <w:tcPr>
            <w:tcW w:w="3536" w:type="dxa"/>
            <w:tcBorders>
              <w:top w:val="single" w:sz="4" w:space="0" w:color="000000"/>
              <w:left w:val="single" w:sz="4" w:space="0" w:color="000000"/>
              <w:bottom w:val="single" w:sz="4" w:space="0" w:color="000000"/>
              <w:right w:val="single" w:sz="9" w:space="0" w:color="D2D2D2"/>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华夏海纳</w:t>
            </w:r>
          </w:p>
        </w:tc>
        <w:tc>
          <w:tcPr>
            <w:tcW w:w="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河南华夏海纳创业投资集团有限公司</w:t>
            </w:r>
          </w:p>
        </w:tc>
      </w:tr>
      <w:tr>
        <w:trPr>
          <w:trHeight w:val="402" w:hRule="exact"/>
        </w:trPr>
        <w:tc>
          <w:tcPr>
            <w:tcW w:w="3536" w:type="dxa"/>
            <w:tcBorders>
              <w:top w:val="single" w:sz="4" w:space="0" w:color="000000"/>
              <w:left w:val="single" w:sz="4" w:space="0" w:color="000000"/>
              <w:bottom w:val="single" w:sz="4" w:space="0" w:color="000000"/>
              <w:right w:val="single" w:sz="9" w:space="0" w:color="D2D2D2"/>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凯里通卡公司</w:t>
            </w:r>
          </w:p>
        </w:tc>
        <w:tc>
          <w:tcPr>
            <w:tcW w:w="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凯里智慧城市通卡管理有限公司</w:t>
            </w:r>
          </w:p>
        </w:tc>
      </w:tr>
      <w:tr>
        <w:trPr>
          <w:trHeight w:val="402" w:hRule="exact"/>
        </w:trPr>
        <w:tc>
          <w:tcPr>
            <w:tcW w:w="3536" w:type="dxa"/>
            <w:tcBorders>
              <w:top w:val="single" w:sz="4" w:space="0" w:color="000000"/>
              <w:left w:val="single" w:sz="4" w:space="0" w:color="000000"/>
              <w:bottom w:val="single" w:sz="4" w:space="0" w:color="000000"/>
              <w:right w:val="single" w:sz="9" w:space="0" w:color="D2D2D2"/>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上海微令</w:t>
            </w:r>
          </w:p>
        </w:tc>
        <w:tc>
          <w:tcPr>
            <w:tcW w:w="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上海微令信息科技有限公司</w:t>
            </w:r>
          </w:p>
        </w:tc>
      </w:tr>
      <w:tr>
        <w:trPr>
          <w:trHeight w:val="402" w:hRule="exact"/>
        </w:trPr>
        <w:tc>
          <w:tcPr>
            <w:tcW w:w="3536" w:type="dxa"/>
            <w:tcBorders>
              <w:top w:val="single" w:sz="4" w:space="0" w:color="000000"/>
              <w:left w:val="single" w:sz="4" w:space="0" w:color="000000"/>
              <w:bottom w:val="single" w:sz="4" w:space="0" w:color="000000"/>
              <w:right w:val="single" w:sz="9" w:space="0" w:color="D2D2D2"/>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北京新洞察</w:t>
            </w:r>
          </w:p>
        </w:tc>
        <w:tc>
          <w:tcPr>
            <w:tcW w:w="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北京新洞察信息服务有限责任公司</w:t>
            </w:r>
          </w:p>
        </w:tc>
      </w:tr>
      <w:tr>
        <w:trPr>
          <w:trHeight w:val="402" w:hRule="exact"/>
        </w:trPr>
        <w:tc>
          <w:tcPr>
            <w:tcW w:w="3536" w:type="dxa"/>
            <w:tcBorders>
              <w:top w:val="single" w:sz="4" w:space="0" w:color="000000"/>
              <w:left w:val="single" w:sz="4" w:space="0" w:color="000000"/>
              <w:bottom w:val="single" w:sz="4" w:space="0" w:color="000000"/>
              <w:right w:val="single" w:sz="9" w:space="0" w:color="D2D2D2"/>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郑州佳辰</w:t>
            </w:r>
          </w:p>
        </w:tc>
        <w:tc>
          <w:tcPr>
            <w:tcW w:w="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郑州佳辰企业管理咨询中心（有限合伙）</w:t>
            </w:r>
          </w:p>
        </w:tc>
      </w:tr>
      <w:tr>
        <w:trPr>
          <w:trHeight w:val="402" w:hRule="exact"/>
        </w:trPr>
        <w:tc>
          <w:tcPr>
            <w:tcW w:w="3536" w:type="dxa"/>
            <w:tcBorders>
              <w:top w:val="single" w:sz="4" w:space="0" w:color="000000"/>
              <w:left w:val="single" w:sz="4" w:space="0" w:color="000000"/>
              <w:bottom w:val="single" w:sz="4" w:space="0" w:color="000000"/>
              <w:right w:val="single" w:sz="9" w:space="0" w:color="D2D2D2"/>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丹诚资管</w:t>
            </w:r>
          </w:p>
        </w:tc>
        <w:tc>
          <w:tcPr>
            <w:tcW w:w="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北京丹诚资产管理有限公司</w:t>
            </w:r>
          </w:p>
        </w:tc>
      </w:tr>
      <w:tr>
        <w:trPr>
          <w:trHeight w:val="402" w:hRule="exact"/>
        </w:trPr>
        <w:tc>
          <w:tcPr>
            <w:tcW w:w="3536" w:type="dxa"/>
            <w:tcBorders>
              <w:top w:val="single" w:sz="4" w:space="0" w:color="000000"/>
              <w:left w:val="single" w:sz="4" w:space="0" w:color="000000"/>
              <w:bottom w:val="single" w:sz="4" w:space="0" w:color="000000"/>
              <w:right w:val="single" w:sz="9" w:space="0" w:color="D2D2D2"/>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北京优才</w:t>
            </w:r>
          </w:p>
        </w:tc>
        <w:tc>
          <w:tcPr>
            <w:tcW w:w="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北京优才创智科技有限公司</w:t>
            </w:r>
          </w:p>
        </w:tc>
      </w:tr>
      <w:tr>
        <w:trPr>
          <w:trHeight w:val="402" w:hRule="exact"/>
        </w:trPr>
        <w:tc>
          <w:tcPr>
            <w:tcW w:w="3536" w:type="dxa"/>
            <w:tcBorders>
              <w:top w:val="single" w:sz="4" w:space="0" w:color="000000"/>
              <w:left w:val="single" w:sz="4" w:space="0" w:color="000000"/>
              <w:bottom w:val="single" w:sz="4" w:space="0" w:color="000000"/>
              <w:right w:val="single" w:sz="9" w:space="0" w:color="D2D2D2"/>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希嘉教育</w:t>
            </w:r>
          </w:p>
        </w:tc>
        <w:tc>
          <w:tcPr>
            <w:tcW w:w="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北京希嘉创智教育科技有限公司</w:t>
            </w:r>
          </w:p>
        </w:tc>
      </w:tr>
      <w:tr>
        <w:trPr>
          <w:trHeight w:val="402" w:hRule="exact"/>
        </w:trPr>
        <w:tc>
          <w:tcPr>
            <w:tcW w:w="3536" w:type="dxa"/>
            <w:tcBorders>
              <w:top w:val="single" w:sz="4" w:space="0" w:color="000000"/>
              <w:left w:val="single" w:sz="4" w:space="0" w:color="000000"/>
              <w:bottom w:val="single" w:sz="4" w:space="0" w:color="000000"/>
              <w:right w:val="single" w:sz="9" w:space="0" w:color="D2D2D2"/>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完美数联</w:t>
            </w:r>
          </w:p>
        </w:tc>
        <w:tc>
          <w:tcPr>
            <w:tcW w:w="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完美数联（北京）科技有限公司</w:t>
            </w:r>
          </w:p>
        </w:tc>
      </w:tr>
      <w:tr>
        <w:trPr>
          <w:trHeight w:val="402" w:hRule="exact"/>
        </w:trPr>
        <w:tc>
          <w:tcPr>
            <w:tcW w:w="3536" w:type="dxa"/>
            <w:tcBorders>
              <w:top w:val="single" w:sz="4" w:space="0" w:color="000000"/>
              <w:left w:val="single" w:sz="4" w:space="0" w:color="000000"/>
              <w:bottom w:val="single" w:sz="4" w:space="0" w:color="000000"/>
              <w:right w:val="single" w:sz="9" w:space="0" w:color="D2D2D2"/>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上海云鑫</w:t>
            </w:r>
          </w:p>
        </w:tc>
        <w:tc>
          <w:tcPr>
            <w:tcW w:w="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上海云鑫创业投资有限公司</w:t>
            </w:r>
          </w:p>
        </w:tc>
      </w:tr>
      <w:tr>
        <w:trPr>
          <w:trHeight w:val="402" w:hRule="exact"/>
        </w:trPr>
        <w:tc>
          <w:tcPr>
            <w:tcW w:w="3536" w:type="dxa"/>
            <w:tcBorders>
              <w:top w:val="single" w:sz="4" w:space="0" w:color="000000"/>
              <w:left w:val="single" w:sz="4" w:space="0" w:color="000000"/>
              <w:bottom w:val="single" w:sz="4" w:space="0" w:color="000000"/>
              <w:right w:val="single" w:sz="9" w:space="0" w:color="D2D2D2"/>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天维恒瑞</w:t>
            </w:r>
          </w:p>
        </w:tc>
        <w:tc>
          <w:tcPr>
            <w:tcW w:w="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上海天维恒瑞企业管理合伙企业（有限合伙）</w:t>
            </w:r>
          </w:p>
        </w:tc>
      </w:tr>
      <w:tr>
        <w:trPr>
          <w:trHeight w:val="402" w:hRule="exact"/>
        </w:trPr>
        <w:tc>
          <w:tcPr>
            <w:tcW w:w="3536" w:type="dxa"/>
            <w:tcBorders>
              <w:top w:val="single" w:sz="4" w:space="0" w:color="000000"/>
              <w:left w:val="single" w:sz="4" w:space="0" w:color="000000"/>
              <w:bottom w:val="single" w:sz="4" w:space="0" w:color="000000"/>
              <w:right w:val="single" w:sz="9" w:space="0" w:color="D2D2D2"/>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蚂蚁金服</w:t>
            </w:r>
          </w:p>
        </w:tc>
        <w:tc>
          <w:tcPr>
            <w:tcW w:w="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浙江蚂蚁小微金融服务集团股份有限公司</w:t>
            </w:r>
          </w:p>
        </w:tc>
      </w:tr>
      <w:tr>
        <w:trPr>
          <w:trHeight w:val="296" w:hRule="exact"/>
        </w:trPr>
        <w:tc>
          <w:tcPr>
            <w:tcW w:w="3536" w:type="dxa"/>
            <w:vMerge w:val="restart"/>
            <w:tcBorders>
              <w:top w:val="single" w:sz="4" w:space="0" w:color="000000"/>
              <w:left w:val="single" w:sz="4" w:space="0" w:color="000000"/>
              <w:right w:val="single" w:sz="9" w:space="0" w:color="D2D2D2"/>
            </w:tcBorders>
          </w:tcPr>
          <w:p>
            <w:pPr>
              <w:pStyle w:val="TableParagraph"/>
              <w:spacing w:line="240" w:lineRule="auto" w:before="3"/>
              <w:ind w:right="0"/>
              <w:jc w:val="left"/>
              <w:rPr>
                <w:rFonts w:ascii="宋体" w:hAnsi="宋体" w:cs="宋体" w:eastAsia="宋体" w:hint="default"/>
                <w:b/>
                <w:bCs/>
                <w:sz w:val="26"/>
                <w:szCs w:val="26"/>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数字化校园</w:t>
            </w:r>
          </w:p>
        </w:tc>
        <w:tc>
          <w:tcPr>
            <w:tcW w:w="599" w:type="dxa"/>
            <w:tcBorders>
              <w:top w:val="single" w:sz="4" w:space="0" w:color="000000"/>
              <w:left w:val="single" w:sz="4" w:space="0" w:color="000000"/>
              <w:bottom w:val="nil" w:sz="6" w:space="0" w:color="auto"/>
              <w:right w:val="single" w:sz="4" w:space="0" w:color="000000"/>
            </w:tcBorders>
            <w:shd w:val="clear" w:color="auto" w:fill="D2D2D2"/>
          </w:tcPr>
          <w:p>
            <w:pPr/>
          </w:p>
        </w:tc>
        <w:tc>
          <w:tcPr>
            <w:tcW w:w="5436" w:type="dxa"/>
            <w:vMerge w:val="restart"/>
            <w:tcBorders>
              <w:top w:val="single" w:sz="4" w:space="0" w:color="000000"/>
              <w:left w:val="single" w:sz="9" w:space="0" w:color="D2D2D2"/>
              <w:right w:val="single" w:sz="4" w:space="0" w:color="000000"/>
            </w:tcBorders>
          </w:tcPr>
          <w:p>
            <w:pPr>
              <w:pStyle w:val="TableParagraph"/>
              <w:spacing w:line="316" w:lineRule="auto" w:before="51"/>
              <w:ind w:left="28" w:right="20"/>
              <w:jc w:val="both"/>
              <w:rPr>
                <w:rFonts w:ascii="宋体" w:hAnsi="宋体" w:cs="宋体" w:eastAsia="宋体" w:hint="default"/>
                <w:sz w:val="18"/>
                <w:szCs w:val="18"/>
              </w:rPr>
            </w:pPr>
            <w:r>
              <w:rPr>
                <w:rFonts w:ascii="宋体" w:hAnsi="宋体" w:cs="宋体" w:eastAsia="宋体" w:hint="default"/>
                <w:spacing w:val="-2"/>
                <w:sz w:val="18"/>
                <w:szCs w:val="18"/>
              </w:rPr>
              <w:t>是校园信息化建设的高级阶段，以数字化信息和网络为基础，在计算</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pacing w:val="-2"/>
                <w:sz w:val="18"/>
                <w:szCs w:val="18"/>
              </w:rPr>
              <w:t>机和网络技术上建立起来的对教学、科研、管理、技术服务、生活服</w:t>
            </w:r>
            <w:r>
              <w:rPr>
                <w:rFonts w:ascii="宋体" w:hAnsi="宋体" w:cs="宋体" w:eastAsia="宋体" w:hint="default"/>
                <w:spacing w:val="-65"/>
                <w:sz w:val="18"/>
                <w:szCs w:val="18"/>
              </w:rPr>
              <w:t> </w:t>
            </w:r>
            <w:r>
              <w:rPr>
                <w:rFonts w:ascii="宋体" w:hAnsi="宋体" w:cs="宋体" w:eastAsia="宋体" w:hint="default"/>
                <w:spacing w:val="-65"/>
                <w:sz w:val="18"/>
                <w:szCs w:val="18"/>
              </w:rPr>
            </w:r>
            <w:r>
              <w:rPr>
                <w:rFonts w:ascii="宋体" w:hAnsi="宋体" w:cs="宋体" w:eastAsia="宋体" w:hint="default"/>
                <w:spacing w:val="-2"/>
                <w:sz w:val="18"/>
                <w:szCs w:val="18"/>
              </w:rPr>
              <w:t>务等校园信息的收集、处理、整合、存储、传输和应用，使数字资源</w:t>
            </w:r>
          </w:p>
        </w:tc>
      </w:tr>
      <w:tr>
        <w:trPr>
          <w:trHeight w:val="392" w:hRule="exact"/>
        </w:trPr>
        <w:tc>
          <w:tcPr>
            <w:tcW w:w="3536" w:type="dxa"/>
            <w:vMerge/>
            <w:tcBorders>
              <w:left w:val="single" w:sz="4" w:space="0" w:color="000000"/>
              <w:right w:val="single" w:sz="9" w:space="0" w:color="D2D2D2"/>
            </w:tcBorders>
          </w:tcPr>
          <w:p>
            <w:pPr/>
          </w:p>
        </w:tc>
        <w:tc>
          <w:tcPr>
            <w:tcW w:w="59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vMerge/>
            <w:tcBorders>
              <w:left w:val="single" w:sz="9" w:space="0" w:color="D2D2D2"/>
              <w:right w:val="single" w:sz="4" w:space="0" w:color="000000"/>
            </w:tcBorders>
          </w:tcPr>
          <w:p>
            <w:pPr/>
          </w:p>
        </w:tc>
      </w:tr>
      <w:tr>
        <w:trPr>
          <w:trHeight w:val="298" w:hRule="exact"/>
        </w:trPr>
        <w:tc>
          <w:tcPr>
            <w:tcW w:w="3536" w:type="dxa"/>
            <w:vMerge/>
            <w:tcBorders>
              <w:left w:val="single" w:sz="4" w:space="0" w:color="000000"/>
              <w:bottom w:val="single" w:sz="4" w:space="0" w:color="000000"/>
              <w:right w:val="single" w:sz="9" w:space="0" w:color="D2D2D2"/>
            </w:tcBorders>
          </w:tcPr>
          <w:p>
            <w:pPr/>
          </w:p>
        </w:tc>
        <w:tc>
          <w:tcPr>
            <w:tcW w:w="599" w:type="dxa"/>
            <w:tcBorders>
              <w:top w:val="nil" w:sz="6" w:space="0" w:color="auto"/>
              <w:left w:val="single" w:sz="4" w:space="0" w:color="000000"/>
              <w:bottom w:val="single" w:sz="4" w:space="0" w:color="000000"/>
              <w:right w:val="single" w:sz="4" w:space="0" w:color="000000"/>
            </w:tcBorders>
            <w:shd w:val="clear" w:color="auto" w:fill="D2D2D2"/>
          </w:tcPr>
          <w:p>
            <w:pPr/>
          </w:p>
        </w:tc>
        <w:tc>
          <w:tcPr>
            <w:tcW w:w="5436" w:type="dxa"/>
            <w:vMerge/>
            <w:tcBorders>
              <w:left w:val="single" w:sz="9" w:space="0" w:color="D2D2D2"/>
              <w:bottom w:val="single" w:sz="4" w:space="0" w:color="000000"/>
              <w:right w:val="single" w:sz="4" w:space="0" w:color="000000"/>
            </w:tcBorders>
          </w:tcPr>
          <w:p>
            <w:pPr/>
          </w:p>
        </w:tc>
      </w:tr>
    </w:tbl>
    <w:p>
      <w:pPr>
        <w:spacing w:after="0"/>
        <w:sectPr>
          <w:pgSz w:w="11910" w:h="16840"/>
          <w:pgMar w:header="747" w:footer="979" w:top="1060" w:bottom="1160" w:left="980" w:right="0"/>
        </w:sectPr>
      </w:pPr>
    </w:p>
    <w:p>
      <w:pPr>
        <w:spacing w:line="240" w:lineRule="auto" w:before="0"/>
        <w:rPr>
          <w:rFonts w:ascii="宋体" w:hAnsi="宋体" w:cs="宋体" w:eastAsia="宋体" w:hint="default"/>
          <w:b/>
          <w:bCs/>
          <w:sz w:val="20"/>
          <w:szCs w:val="20"/>
        </w:rPr>
      </w:pPr>
      <w:r>
        <w:rPr/>
        <w:pict>
          <v:shape style="position:absolute;margin-left:58.139999pt;margin-top:71.999985pt;width:479.3pt;height:696.7pt;mso-position-horizontal-relative:page;mso-position-vertical-relative:page;z-index:109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525"/>
                    <w:gridCol w:w="621"/>
                    <w:gridCol w:w="5425"/>
                  </w:tblGrid>
                  <w:tr>
                    <w:trPr>
                      <w:trHeight w:val="1611" w:hRule="exact"/>
                    </w:trPr>
                    <w:tc>
                      <w:tcPr>
                        <w:tcW w:w="3525" w:type="dxa"/>
                        <w:tcBorders>
                          <w:top w:val="single" w:sz="4" w:space="0" w:color="000000"/>
                          <w:left w:val="single" w:sz="4" w:space="0" w:color="000000"/>
                          <w:bottom w:val="single" w:sz="4" w:space="0" w:color="000000"/>
                          <w:right w:val="single" w:sz="4" w:space="0" w:color="000000"/>
                        </w:tcBorders>
                      </w:tcPr>
                      <w:p>
                        <w:pP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5425"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23" w:right="21"/>
                          <w:jc w:val="both"/>
                          <w:rPr>
                            <w:rFonts w:ascii="宋体" w:hAnsi="宋体" w:cs="宋体" w:eastAsia="宋体" w:hint="default"/>
                            <w:sz w:val="18"/>
                            <w:szCs w:val="18"/>
                          </w:rPr>
                        </w:pPr>
                        <w:r>
                          <w:rPr>
                            <w:rFonts w:ascii="宋体" w:hAnsi="宋体" w:cs="宋体" w:eastAsia="宋体" w:hint="default"/>
                            <w:spacing w:val="-2"/>
                            <w:sz w:val="18"/>
                            <w:szCs w:val="18"/>
                          </w:rPr>
                          <w:t>得到充分优化。利用一种虚拟教育环境，通过实现从环境、资源到应</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pacing w:val="-2"/>
                            <w:sz w:val="18"/>
                            <w:szCs w:val="18"/>
                          </w:rPr>
                          <w:t>用的全部数字化，在传统校园基础上构建一个数字空间，以拓展现实</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pacing w:val="-2"/>
                            <w:sz w:val="18"/>
                            <w:szCs w:val="18"/>
                          </w:rPr>
                          <w:t>校园的时间和空间维度，提升传统校园的运行效率，扩展传统校园的</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pacing w:val="-2"/>
                            <w:sz w:val="18"/>
                            <w:szCs w:val="18"/>
                          </w:rPr>
                          <w:t>业务功能，最终实现教育过程的全面信息化，从而达到提高管理水平</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z w:val="18"/>
                            <w:szCs w:val="18"/>
                          </w:rPr>
                          <w:t>和效率的目的</w:t>
                        </w:r>
                      </w:p>
                    </w:tc>
                  </w:tr>
                  <w:tr>
                    <w:trPr>
                      <w:trHeight w:val="1650"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完美校园</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5" w:type="dxa"/>
                        <w:tcBorders>
                          <w:top w:val="single" w:sz="4" w:space="0" w:color="000000"/>
                          <w:left w:val="single" w:sz="4" w:space="0" w:color="000000"/>
                          <w:bottom w:val="single" w:sz="4" w:space="0" w:color="000000"/>
                          <w:right w:val="single" w:sz="4" w:space="0" w:color="000000"/>
                        </w:tcBorders>
                      </w:tcPr>
                      <w:p>
                        <w:pPr>
                          <w:pStyle w:val="TableParagraph"/>
                          <w:spacing w:line="304" w:lineRule="auto" w:before="51"/>
                          <w:ind w:left="23" w:right="20"/>
                          <w:jc w:val="both"/>
                          <w:rPr>
                            <w:rFonts w:ascii="宋体" w:hAnsi="宋体" w:cs="宋体" w:eastAsia="宋体" w:hint="default"/>
                            <w:sz w:val="18"/>
                            <w:szCs w:val="18"/>
                          </w:rPr>
                        </w:pPr>
                        <w:r>
                          <w:rPr>
                            <w:rFonts w:ascii="宋体" w:hAnsi="宋体" w:cs="宋体" w:eastAsia="宋体" w:hint="default"/>
                            <w:sz w:val="18"/>
                            <w:szCs w:val="18"/>
                          </w:rPr>
                          <w:t>新开普电子股份有限公司旗下平台软件，</w:t>
                        </w:r>
                        <w:r>
                          <w:rPr>
                            <w:rFonts w:ascii="Times New Roman" w:hAnsi="Times New Roman" w:cs="Times New Roman" w:eastAsia="Times New Roman" w:hint="default"/>
                            <w:sz w:val="18"/>
                            <w:szCs w:val="18"/>
                          </w:rPr>
                          <w:t>"</w:t>
                        </w:r>
                        <w:r>
                          <w:rPr>
                            <w:rFonts w:ascii="宋体" w:hAnsi="宋体" w:cs="宋体" w:eastAsia="宋体" w:hint="default"/>
                            <w:sz w:val="18"/>
                            <w:szCs w:val="18"/>
                          </w:rPr>
                          <w:t>完美校园</w:t>
                        </w:r>
                        <w:r>
                          <w:rPr>
                            <w:rFonts w:ascii="Times New Roman" w:hAnsi="Times New Roman" w:cs="Times New Roman" w:eastAsia="Times New Roman" w:hint="default"/>
                            <w:sz w:val="18"/>
                            <w:szCs w:val="18"/>
                          </w:rPr>
                          <w:t>"</w:t>
                        </w:r>
                        <w:r>
                          <w:rPr>
                            <w:rFonts w:ascii="宋体" w:hAnsi="宋体" w:cs="宋体" w:eastAsia="宋体" w:hint="default"/>
                            <w:sz w:val="18"/>
                            <w:szCs w:val="18"/>
                          </w:rPr>
                          <w:t>是由原有的面向 高校的移动端产品</w:t>
                        </w:r>
                        <w:r>
                          <w:rPr>
                            <w:rFonts w:ascii="Times New Roman" w:hAnsi="Times New Roman" w:cs="Times New Roman" w:eastAsia="Times New Roman" w:hint="default"/>
                            <w:sz w:val="18"/>
                            <w:szCs w:val="18"/>
                          </w:rPr>
                          <w:t>"</w:t>
                        </w:r>
                        <w:r>
                          <w:rPr>
                            <w:rFonts w:ascii="宋体" w:hAnsi="宋体" w:cs="宋体" w:eastAsia="宋体" w:hint="default"/>
                            <w:sz w:val="18"/>
                            <w:szCs w:val="18"/>
                          </w:rPr>
                          <w:t>玩校</w:t>
                        </w:r>
                        <w:r>
                          <w:rPr>
                            <w:rFonts w:ascii="Times New Roman" w:hAnsi="Times New Roman" w:cs="Times New Roman" w:eastAsia="Times New Roman" w:hint="default"/>
                            <w:sz w:val="18"/>
                            <w:szCs w:val="18"/>
                          </w:rPr>
                          <w:t>"</w:t>
                        </w:r>
                        <w:r>
                          <w:rPr>
                            <w:rFonts w:ascii="宋体" w:hAnsi="宋体" w:cs="宋体" w:eastAsia="宋体" w:hint="default"/>
                            <w:sz w:val="18"/>
                            <w:szCs w:val="18"/>
                          </w:rPr>
                          <w:t>升级而来，基于智慧校园服务平台，在校园 </w:t>
                        </w:r>
                        <w:r>
                          <w:rPr>
                            <w:rFonts w:ascii="宋体" w:hAnsi="宋体" w:cs="宋体" w:eastAsia="宋体" w:hint="default"/>
                            <w:spacing w:val="-2"/>
                            <w:sz w:val="18"/>
                            <w:szCs w:val="18"/>
                          </w:rPr>
                          <w:t>卡、移动支付、学习、生活服务的基础上，增加了人才成长体系，致</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z w:val="18"/>
                            <w:szCs w:val="18"/>
                          </w:rPr>
                          <w:t>力于与学校共同创造，服务学生</w:t>
                        </w:r>
                        <w:r>
                          <w:rPr>
                            <w:rFonts w:ascii="Times New Roman" w:hAnsi="Times New Roman" w:cs="Times New Roman" w:eastAsia="Times New Roman" w:hint="default"/>
                            <w:sz w:val="18"/>
                            <w:szCs w:val="18"/>
                          </w:rPr>
                          <w:t>"</w:t>
                        </w:r>
                        <w:r>
                          <w:rPr>
                            <w:rFonts w:ascii="宋体" w:hAnsi="宋体" w:cs="宋体" w:eastAsia="宋体" w:hint="default"/>
                            <w:sz w:val="18"/>
                            <w:szCs w:val="18"/>
                          </w:rPr>
                          <w:t>轻松生活、快乐成长</w:t>
                        </w:r>
                        <w:r>
                          <w:rPr>
                            <w:rFonts w:ascii="Times New Roman" w:hAnsi="Times New Roman" w:cs="Times New Roman" w:eastAsia="Times New Roman" w:hint="default"/>
                            <w:sz w:val="18"/>
                            <w:szCs w:val="18"/>
                          </w:rPr>
                          <w:t>"</w:t>
                        </w:r>
                        <w:r>
                          <w:rPr>
                            <w:rFonts w:ascii="宋体" w:hAnsi="宋体" w:cs="宋体" w:eastAsia="宋体" w:hint="default"/>
                            <w:sz w:val="18"/>
                            <w:szCs w:val="18"/>
                          </w:rPr>
                          <w:t>的未来校园高 级形态</w:t>
                        </w:r>
                      </w:p>
                    </w:tc>
                  </w:tr>
                  <w:tr>
                    <w:trPr>
                      <w:trHeight w:val="1338"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物联网</w:t>
                        </w:r>
                        <w:r>
                          <w:rPr>
                            <w:rFonts w:ascii="Times New Roman" w:hAnsi="Times New Roman" w:cs="Times New Roman" w:eastAsia="Times New Roman" w:hint="default"/>
                            <w:sz w:val="18"/>
                            <w:szCs w:val="18"/>
                          </w:rPr>
                          <w:t>/IoT</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5"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51"/>
                          <w:ind w:left="23" w:right="20"/>
                          <w:jc w:val="both"/>
                          <w:rPr>
                            <w:rFonts w:ascii="宋体" w:hAnsi="宋体" w:cs="宋体" w:eastAsia="宋体" w:hint="default"/>
                            <w:sz w:val="18"/>
                            <w:szCs w:val="18"/>
                          </w:rPr>
                        </w:pPr>
                        <w:r>
                          <w:rPr>
                            <w:rFonts w:ascii="Times New Roman" w:hAnsi="Times New Roman" w:cs="Times New Roman" w:eastAsia="Times New Roman" w:hint="default"/>
                            <w:sz w:val="18"/>
                            <w:szCs w:val="18"/>
                          </w:rPr>
                          <w:t>The </w:t>
                        </w:r>
                        <w:r>
                          <w:rPr>
                            <w:rFonts w:ascii="Times New Roman" w:hAnsi="Times New Roman" w:cs="Times New Roman" w:eastAsia="Times New Roman" w:hint="default"/>
                            <w:spacing w:val="-1"/>
                            <w:sz w:val="18"/>
                            <w:szCs w:val="18"/>
                          </w:rPr>
                          <w:t>Internet</w:t>
                        </w:r>
                        <w:r>
                          <w:rPr>
                            <w:rFonts w:ascii="Times New Roman" w:hAnsi="Times New Roman" w:cs="Times New Roman" w:eastAsia="Times New Roman" w:hint="default"/>
                            <w:sz w:val="18"/>
                            <w:szCs w:val="18"/>
                          </w:rPr>
                          <w:t> of</w:t>
                        </w:r>
                        <w:r>
                          <w:rPr>
                            <w:rFonts w:ascii="Times New Roman" w:hAnsi="Times New Roman" w:cs="Times New Roman" w:eastAsia="Times New Roman" w:hint="default"/>
                            <w:spacing w:val="5"/>
                            <w:sz w:val="18"/>
                            <w:szCs w:val="18"/>
                          </w:rPr>
                          <w:t> </w:t>
                        </w:r>
                        <w:r>
                          <w:rPr>
                            <w:rFonts w:ascii="Times New Roman" w:hAnsi="Times New Roman" w:cs="Times New Roman" w:eastAsia="Times New Roman" w:hint="default"/>
                            <w:spacing w:val="-7"/>
                            <w:w w:val="99"/>
                            <w:sz w:val="18"/>
                            <w:szCs w:val="18"/>
                          </w:rPr>
                          <w:t>things</w:t>
                        </w:r>
                        <w:r>
                          <w:rPr>
                            <w:rFonts w:ascii="宋体" w:hAnsi="宋体" w:cs="宋体" w:eastAsia="宋体" w:hint="default"/>
                            <w:spacing w:val="-7"/>
                            <w:w w:val="99"/>
                            <w:sz w:val="18"/>
                            <w:szCs w:val="18"/>
                          </w:rPr>
                          <w:t>，即物物相连的互联网，通过射频识别（</w:t>
                        </w:r>
                        <w:r>
                          <w:rPr>
                            <w:rFonts w:ascii="Times New Roman" w:hAnsi="Times New Roman" w:cs="Times New Roman" w:eastAsia="Times New Roman" w:hint="default"/>
                            <w:spacing w:val="-7"/>
                            <w:w w:val="99"/>
                            <w:sz w:val="18"/>
                            <w:szCs w:val="18"/>
                          </w:rPr>
                          <w:t>RFID</w:t>
                        </w:r>
                        <w:r>
                          <w:rPr>
                            <w:rFonts w:ascii="宋体" w:hAnsi="宋体" w:cs="宋体" w:eastAsia="宋体" w:hint="default"/>
                            <w:spacing w:val="-7"/>
                            <w:w w:val="99"/>
                            <w:sz w:val="18"/>
                            <w:szCs w:val="18"/>
                          </w:rPr>
                          <w:t>）、</w:t>
                        </w:r>
                        <w:r>
                          <w:rPr>
                            <w:rFonts w:ascii="宋体" w:hAnsi="宋体" w:cs="宋体" w:eastAsia="宋体" w:hint="default"/>
                            <w:spacing w:val="-90"/>
                            <w:sz w:val="18"/>
                            <w:szCs w:val="18"/>
                          </w:rPr>
                          <w:t> </w:t>
                        </w:r>
                        <w:r>
                          <w:rPr>
                            <w:rFonts w:ascii="宋体" w:hAnsi="宋体" w:cs="宋体" w:eastAsia="宋体" w:hint="default"/>
                            <w:spacing w:val="-2"/>
                            <w:sz w:val="18"/>
                            <w:szCs w:val="18"/>
                          </w:rPr>
                          <w:t>红外感应器、全球定位系统、激光扫描器等信息传感设备，按约定的</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pacing w:val="-2"/>
                            <w:sz w:val="18"/>
                            <w:szCs w:val="18"/>
                          </w:rPr>
                          <w:t>协议，把任何物体与互联网相连接，进行信息交换和通信，以实现对</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z w:val="18"/>
                            <w:szCs w:val="18"/>
                          </w:rPr>
                          <w:t>物体的智能化识别、定位、跟踪、监控和管理的一种网络</w:t>
                        </w:r>
                      </w:p>
                    </w:tc>
                  </w:tr>
                  <w:tr>
                    <w:trPr>
                      <w:trHeight w:val="714"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4" w:right="0"/>
                          <w:jc w:val="left"/>
                          <w:rPr>
                            <w:rFonts w:ascii="Times New Roman" w:hAnsi="Times New Roman" w:cs="Times New Roman" w:eastAsia="Times New Roman" w:hint="default"/>
                            <w:sz w:val="18"/>
                            <w:szCs w:val="18"/>
                          </w:rPr>
                        </w:pPr>
                        <w:r>
                          <w:rPr>
                            <w:rFonts w:ascii="Times New Roman"/>
                            <w:sz w:val="18"/>
                          </w:rPr>
                          <w:t>NB-IoT</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5"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1"/>
                          <w:ind w:left="23" w:right="22"/>
                          <w:jc w:val="left"/>
                          <w:rPr>
                            <w:rFonts w:ascii="宋体" w:hAnsi="宋体" w:cs="宋体" w:eastAsia="宋体" w:hint="default"/>
                            <w:sz w:val="18"/>
                            <w:szCs w:val="18"/>
                          </w:rPr>
                        </w:pPr>
                        <w:r>
                          <w:rPr>
                            <w:rFonts w:ascii="宋体" w:hAnsi="宋体" w:cs="宋体" w:eastAsia="宋体" w:hint="default"/>
                            <w:sz w:val="18"/>
                            <w:szCs w:val="18"/>
                          </w:rPr>
                          <w:t>又称窄带物联网，是由</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3GPP</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标准化组织定义的一种技术标准，是一 种专为物联网设计的窄带射频技术</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智慧校园</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数字化校园结合物联网技术所形成的高端校园信息化形态</w:t>
                        </w:r>
                      </w:p>
                    </w:tc>
                  </w:tr>
                  <w:tr>
                    <w:trPr>
                      <w:trHeight w:val="1026"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4" w:right="0"/>
                          <w:jc w:val="left"/>
                          <w:rPr>
                            <w:rFonts w:ascii="宋体" w:hAnsi="宋体" w:cs="宋体" w:eastAsia="宋体" w:hint="default"/>
                            <w:sz w:val="18"/>
                            <w:szCs w:val="18"/>
                          </w:rPr>
                        </w:pPr>
                        <w:r>
                          <w:rPr>
                            <w:rFonts w:ascii="宋体" w:hAnsi="宋体" w:cs="宋体" w:eastAsia="宋体" w:hint="default"/>
                            <w:sz w:val="18"/>
                            <w:szCs w:val="18"/>
                          </w:rPr>
                          <w:t>移动互联网</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3" w:right="-9"/>
                          <w:jc w:val="both"/>
                          <w:rPr>
                            <w:rFonts w:ascii="宋体" w:hAnsi="宋体" w:cs="宋体" w:eastAsia="宋体" w:hint="default"/>
                            <w:sz w:val="18"/>
                            <w:szCs w:val="18"/>
                          </w:rPr>
                        </w:pPr>
                        <w:r>
                          <w:rPr>
                            <w:rFonts w:ascii="宋体" w:hAnsi="宋体" w:cs="宋体" w:eastAsia="宋体" w:hint="default"/>
                            <w:spacing w:val="-2"/>
                            <w:sz w:val="18"/>
                            <w:szCs w:val="18"/>
                          </w:rPr>
                          <w:t>移动通信和互联网二者结合起来，成为一体，是一种通过智能移动终</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z w:val="18"/>
                            <w:szCs w:val="18"/>
                          </w:rPr>
                          <w:t>端，采用移动无线通信方式获取业务和服务的新兴业态，包含终端、 软件和应用三个层面。</w:t>
                        </w:r>
                      </w:p>
                    </w:tc>
                  </w:tr>
                  <w:tr>
                    <w:trPr>
                      <w:trHeight w:val="1026"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4" w:right="0"/>
                          <w:jc w:val="left"/>
                          <w:rPr>
                            <w:rFonts w:ascii="宋体" w:hAnsi="宋体" w:cs="宋体" w:eastAsia="宋体" w:hint="default"/>
                            <w:sz w:val="18"/>
                            <w:szCs w:val="18"/>
                          </w:rPr>
                        </w:pPr>
                        <w:r>
                          <w:rPr>
                            <w:rFonts w:ascii="宋体" w:hAnsi="宋体" w:cs="宋体" w:eastAsia="宋体" w:hint="default"/>
                            <w:sz w:val="18"/>
                            <w:szCs w:val="18"/>
                          </w:rPr>
                          <w:t>金融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IC</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卡</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5"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1"/>
                          <w:ind w:left="23" w:right="21"/>
                          <w:jc w:val="both"/>
                          <w:rPr>
                            <w:rFonts w:ascii="宋体" w:hAnsi="宋体" w:cs="宋体" w:eastAsia="宋体" w:hint="default"/>
                            <w:sz w:val="18"/>
                            <w:szCs w:val="18"/>
                          </w:rPr>
                        </w:pPr>
                        <w:r>
                          <w:rPr>
                            <w:rFonts w:ascii="宋体" w:hAnsi="宋体" w:cs="宋体" w:eastAsia="宋体" w:hint="default"/>
                            <w:sz w:val="18"/>
                            <w:szCs w:val="18"/>
                          </w:rPr>
                          <w:t>金融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IC</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卡又称为芯片银行卡，是以芯片作为介质的银行卡。芯片卡 </w:t>
                        </w:r>
                        <w:r>
                          <w:rPr>
                            <w:rFonts w:ascii="宋体" w:hAnsi="宋体" w:cs="宋体" w:eastAsia="宋体" w:hint="default"/>
                            <w:spacing w:val="-2"/>
                            <w:sz w:val="18"/>
                            <w:szCs w:val="18"/>
                          </w:rPr>
                          <w:t>容量大，可以存储密钥、数字证书、指纹等信息，其工作原理类似于</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2"/>
                            <w:sz w:val="18"/>
                            <w:szCs w:val="18"/>
                          </w:rPr>
                          <w:t>微型计算机，能够同时处理多种功能，为持卡人提供一卡多用的便利</w:t>
                        </w:r>
                      </w:p>
                    </w:tc>
                  </w:tr>
                  <w:tr>
                    <w:trPr>
                      <w:trHeight w:val="1026"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24" w:right="0"/>
                          <w:jc w:val="left"/>
                          <w:rPr>
                            <w:rFonts w:ascii="Times New Roman" w:hAnsi="Times New Roman" w:cs="Times New Roman" w:eastAsia="Times New Roman" w:hint="default"/>
                            <w:sz w:val="18"/>
                            <w:szCs w:val="18"/>
                          </w:rPr>
                        </w:pPr>
                        <w:r>
                          <w:rPr>
                            <w:rFonts w:ascii="Times New Roman"/>
                            <w:sz w:val="18"/>
                          </w:rPr>
                          <w:t>NFC</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5"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1"/>
                          <w:ind w:left="23" w:right="22"/>
                          <w:jc w:val="both"/>
                          <w:rPr>
                            <w:rFonts w:ascii="宋体" w:hAnsi="宋体" w:cs="宋体" w:eastAsia="宋体" w:hint="default"/>
                            <w:sz w:val="18"/>
                            <w:szCs w:val="18"/>
                          </w:rPr>
                        </w:pPr>
                        <w:r>
                          <w:rPr>
                            <w:rFonts w:ascii="Times New Roman" w:hAnsi="Times New Roman" w:cs="Times New Roman" w:eastAsia="Times New Roman" w:hint="default"/>
                            <w:sz w:val="18"/>
                            <w:szCs w:val="18"/>
                          </w:rPr>
                          <w:t>Near Field Communication </w:t>
                        </w:r>
                        <w:r>
                          <w:rPr>
                            <w:rFonts w:ascii="宋体" w:hAnsi="宋体" w:cs="宋体" w:eastAsia="宋体" w:hint="default"/>
                            <w:spacing w:val="-4"/>
                            <w:sz w:val="18"/>
                            <w:szCs w:val="18"/>
                          </w:rPr>
                          <w:t>缩写，即近距离无线通讯技术。是一种短距</w:t>
                        </w:r>
                        <w:r>
                          <w:rPr>
                            <w:rFonts w:ascii="宋体" w:hAnsi="宋体" w:cs="宋体" w:eastAsia="宋体" w:hint="default"/>
                            <w:sz w:val="18"/>
                            <w:szCs w:val="18"/>
                          </w:rPr>
                          <w:t> </w:t>
                        </w:r>
                        <w:r>
                          <w:rPr>
                            <w:rFonts w:ascii="宋体" w:hAnsi="宋体" w:cs="宋体" w:eastAsia="宋体" w:hint="default"/>
                            <w:spacing w:val="-2"/>
                            <w:sz w:val="18"/>
                            <w:szCs w:val="18"/>
                          </w:rPr>
                          <w:t>离的高频无线通信技术，允许电子设备之间进行非接触式点对点数据</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z w:val="18"/>
                            <w:szCs w:val="18"/>
                          </w:rPr>
                          <w:t>传输</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App/</w:t>
                        </w:r>
                        <w:r>
                          <w:rPr>
                            <w:rFonts w:ascii="宋体" w:hAnsi="宋体" w:cs="宋体" w:eastAsia="宋体" w:hint="default"/>
                            <w:sz w:val="18"/>
                            <w:szCs w:val="18"/>
                          </w:rPr>
                          <w:t>移动应用</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运行在智能手机、平板电脑等移动终端上的应用程序</w:t>
                        </w:r>
                      </w:p>
                    </w:tc>
                  </w:tr>
                  <w:tr>
                    <w:trPr>
                      <w:trHeight w:val="1650"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24" w:right="0"/>
                          <w:jc w:val="left"/>
                          <w:rPr>
                            <w:rFonts w:ascii="Times New Roman" w:hAnsi="Times New Roman" w:cs="Times New Roman" w:eastAsia="Times New Roman" w:hint="default"/>
                            <w:sz w:val="18"/>
                            <w:szCs w:val="18"/>
                          </w:rPr>
                        </w:pPr>
                        <w:r>
                          <w:rPr>
                            <w:rFonts w:ascii="Times New Roman"/>
                            <w:sz w:val="18"/>
                          </w:rPr>
                          <w:t>SaaS</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5"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3" w:right="21"/>
                          <w:jc w:val="left"/>
                          <w:rPr>
                            <w:rFonts w:ascii="宋体" w:hAnsi="宋体" w:cs="宋体" w:eastAsia="宋体" w:hint="default"/>
                            <w:sz w:val="18"/>
                            <w:szCs w:val="18"/>
                          </w:rPr>
                        </w:pPr>
                        <w:r>
                          <w:rPr>
                            <w:rFonts w:ascii="Times New Roman" w:hAnsi="Times New Roman" w:cs="Times New Roman" w:eastAsia="Times New Roman" w:hint="default"/>
                            <w:spacing w:val="-1"/>
                            <w:sz w:val="18"/>
                            <w:szCs w:val="18"/>
                          </w:rPr>
                          <w:t>Software-as-a-Service</w:t>
                        </w:r>
                        <w:r>
                          <w:rPr>
                            <w:rFonts w:ascii="宋体" w:hAnsi="宋体" w:cs="宋体" w:eastAsia="宋体" w:hint="default"/>
                            <w:spacing w:val="-1"/>
                            <w:sz w:val="18"/>
                            <w:szCs w:val="18"/>
                          </w:rPr>
                          <w:t>（软件即服务）的简称，它是一种通过互联网提</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供软件服务的模式，软件厂商将应用软件统一部署在自己的服务器</w:t>
                        </w:r>
                        <w:r>
                          <w:rPr>
                            <w:rFonts w:ascii="宋体" w:hAnsi="宋体" w:cs="宋体" w:eastAsia="宋体" w:hint="default"/>
                            <w:w w:val="99"/>
                            <w:sz w:val="18"/>
                            <w:szCs w:val="18"/>
                          </w:rPr>
                          <w:t> </w:t>
                        </w:r>
                        <w:r>
                          <w:rPr>
                            <w:rFonts w:ascii="宋体" w:hAnsi="宋体" w:cs="宋体" w:eastAsia="宋体" w:hint="default"/>
                            <w:spacing w:val="-2"/>
                            <w:sz w:val="18"/>
                            <w:szCs w:val="18"/>
                          </w:rPr>
                          <w:t>上，客户可以根据自己实际需求，通过互联网向软件厂商定购和获得</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pacing w:val="-2"/>
                            <w:sz w:val="18"/>
                            <w:szCs w:val="18"/>
                          </w:rPr>
                          <w:t>所需的应用软件服务，并按定购的服务多少和时间长短向软件厂商支</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z w:val="18"/>
                            <w:szCs w:val="18"/>
                          </w:rPr>
                          <w:t>付相关费用</w:t>
                        </w:r>
                      </w:p>
                    </w:tc>
                  </w:tr>
                  <w:tr>
                    <w:trPr>
                      <w:trHeight w:val="1026"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24" w:right="0"/>
                          <w:jc w:val="left"/>
                          <w:rPr>
                            <w:rFonts w:ascii="Times New Roman" w:hAnsi="Times New Roman" w:cs="Times New Roman" w:eastAsia="Times New Roman" w:hint="default"/>
                            <w:sz w:val="18"/>
                            <w:szCs w:val="18"/>
                          </w:rPr>
                        </w:pPr>
                        <w:r>
                          <w:rPr>
                            <w:rFonts w:ascii="Times New Roman"/>
                            <w:sz w:val="18"/>
                          </w:rPr>
                          <w:t>ITSS</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5"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1"/>
                          <w:ind w:left="23" w:right="21"/>
                          <w:jc w:val="both"/>
                          <w:rPr>
                            <w:rFonts w:ascii="宋体" w:hAnsi="宋体" w:cs="宋体" w:eastAsia="宋体" w:hint="default"/>
                            <w:sz w:val="18"/>
                            <w:szCs w:val="18"/>
                          </w:rPr>
                        </w:pPr>
                        <w:r>
                          <w:rPr>
                            <w:rFonts w:ascii="宋体" w:hAnsi="宋体" w:cs="宋体" w:eastAsia="宋体" w:hint="default"/>
                            <w:spacing w:val="-2"/>
                            <w:sz w:val="18"/>
                            <w:szCs w:val="18"/>
                          </w:rPr>
                          <w:t>信息技术服务标准，是在工业和信息化部、国家标准化委的领导和支</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pacing w:val="-17"/>
                            <w:sz w:val="18"/>
                            <w:szCs w:val="18"/>
                          </w:rPr>
                          <w:t>持下，由</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ITSS </w:t>
                        </w:r>
                        <w:r>
                          <w:rPr>
                            <w:rFonts w:ascii="宋体" w:hAnsi="宋体" w:cs="宋体" w:eastAsia="宋体" w:hint="default"/>
                            <w:sz w:val="18"/>
                            <w:szCs w:val="18"/>
                          </w:rPr>
                          <w:t>工作组研制的一套</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IT </w:t>
                        </w:r>
                        <w:r>
                          <w:rPr>
                            <w:rFonts w:ascii="宋体" w:hAnsi="宋体" w:cs="宋体" w:eastAsia="宋体" w:hint="default"/>
                            <w:sz w:val="18"/>
                            <w:szCs w:val="18"/>
                          </w:rPr>
                          <w:t>服务领域的标准库和一套提供</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IT </w:t>
                        </w:r>
                        <w:r>
                          <w:rPr>
                            <w:rFonts w:ascii="宋体" w:hAnsi="宋体" w:cs="宋体" w:eastAsia="宋体" w:hint="default"/>
                            <w:sz w:val="18"/>
                            <w:szCs w:val="18"/>
                          </w:rPr>
                          <w:t>服务的方法论。</w:t>
                        </w:r>
                      </w:p>
                    </w:tc>
                  </w:tr>
                  <w:tr>
                    <w:trPr>
                      <w:trHeight w:val="1026"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24" w:right="0"/>
                          <w:jc w:val="left"/>
                          <w:rPr>
                            <w:rFonts w:ascii="Times New Roman" w:hAnsi="Times New Roman" w:cs="Times New Roman" w:eastAsia="Times New Roman" w:hint="default"/>
                            <w:sz w:val="18"/>
                            <w:szCs w:val="18"/>
                          </w:rPr>
                        </w:pPr>
                        <w:r>
                          <w:rPr>
                            <w:rFonts w:ascii="Times New Roman"/>
                            <w:spacing w:val="-5"/>
                            <w:sz w:val="18"/>
                          </w:rPr>
                          <w:t>OTA</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5"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1"/>
                          <w:ind w:left="23" w:right="21"/>
                          <w:jc w:val="left"/>
                          <w:rPr>
                            <w:rFonts w:ascii="宋体" w:hAnsi="宋体" w:cs="宋体" w:eastAsia="宋体" w:hint="default"/>
                            <w:sz w:val="18"/>
                            <w:szCs w:val="18"/>
                          </w:rPr>
                        </w:pPr>
                        <w:r>
                          <w:rPr>
                            <w:rFonts w:ascii="宋体" w:hAnsi="宋体" w:cs="宋体" w:eastAsia="宋体" w:hint="default"/>
                            <w:spacing w:val="-5"/>
                            <w:sz w:val="18"/>
                            <w:szCs w:val="18"/>
                          </w:rPr>
                          <w:t>空中下载技术，一项基于短消息机制，通过手机终端或服务器（网上</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z w:val="18"/>
                            <w:szCs w:val="18"/>
                          </w:rPr>
                          <w:t>方式实现</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SIM</w:t>
                        </w:r>
                        <w:r>
                          <w:rPr>
                            <w:rFonts w:ascii="Times New Roman" w:hAnsi="Times New Roman" w:cs="Times New Roman" w:eastAsia="Times New Roman" w:hint="default"/>
                            <w:spacing w:val="6"/>
                            <w:sz w:val="18"/>
                            <w:szCs w:val="18"/>
                          </w:rPr>
                          <w:t> </w:t>
                        </w:r>
                        <w:r>
                          <w:rPr>
                            <w:rFonts w:ascii="宋体" w:hAnsi="宋体" w:cs="宋体" w:eastAsia="宋体" w:hint="default"/>
                            <w:spacing w:val="-4"/>
                            <w:sz w:val="18"/>
                            <w:szCs w:val="18"/>
                          </w:rPr>
                          <w:t>卡内业务菜单的动态下载、删除与更新，使用户获取个</w:t>
                        </w:r>
                        <w:r>
                          <w:rPr>
                            <w:rFonts w:ascii="宋体" w:hAnsi="宋体" w:cs="宋体" w:eastAsia="宋体" w:hint="default"/>
                            <w:sz w:val="18"/>
                            <w:szCs w:val="18"/>
                          </w:rPr>
                          <w:t> 性化信息服务的数据增值业务</w:t>
                        </w:r>
                      </w:p>
                    </w:tc>
                  </w:tr>
                  <w:tr>
                    <w:trPr>
                      <w:trHeight w:val="1026"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4" w:right="0"/>
                          <w:jc w:val="left"/>
                          <w:rPr>
                            <w:rFonts w:ascii="宋体" w:hAnsi="宋体" w:cs="宋体" w:eastAsia="宋体" w:hint="default"/>
                            <w:sz w:val="18"/>
                            <w:szCs w:val="18"/>
                          </w:rPr>
                        </w:pPr>
                        <w:r>
                          <w:rPr>
                            <w:rFonts w:ascii="宋体" w:hAnsi="宋体" w:cs="宋体" w:eastAsia="宋体" w:hint="default"/>
                            <w:sz w:val="18"/>
                            <w:szCs w:val="18"/>
                          </w:rPr>
                          <w:t>大数据</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3" w:right="21"/>
                          <w:jc w:val="both"/>
                          <w:rPr>
                            <w:rFonts w:ascii="宋体" w:hAnsi="宋体" w:cs="宋体" w:eastAsia="宋体" w:hint="default"/>
                            <w:sz w:val="18"/>
                            <w:szCs w:val="18"/>
                          </w:rPr>
                        </w:pPr>
                        <w:r>
                          <w:rPr>
                            <w:rFonts w:ascii="宋体" w:hAnsi="宋体" w:cs="宋体" w:eastAsia="宋体" w:hint="default"/>
                            <w:spacing w:val="-2"/>
                            <w:sz w:val="18"/>
                            <w:szCs w:val="18"/>
                          </w:rPr>
                          <w:t>无法在一定时间范围内用常规软件工具进行捕捉、管理和处理的数据</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pacing w:val="-2"/>
                            <w:sz w:val="18"/>
                            <w:szCs w:val="18"/>
                          </w:rPr>
                          <w:t>集合，是需要新处理模式才能具有更强的决策力、洞察发现力和流程</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z w:val="18"/>
                            <w:szCs w:val="18"/>
                          </w:rPr>
                          <w:t>优化能力的海量、高增长率和多样化的信息资产</w:t>
                        </w:r>
                      </w:p>
                    </w:tc>
                  </w:tr>
                </w:tbl>
                <w:p>
                  <w:pPr/>
                </w:p>
              </w:txbxContent>
            </v:textbox>
            <w10:wrap type="none"/>
          </v:shape>
        </w:pict>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6"/>
          <w:szCs w:val="16"/>
        </w:rPr>
      </w:pPr>
    </w:p>
    <w:p>
      <w:pPr>
        <w:spacing w:before="44"/>
        <w:ind w:left="0" w:right="1104" w:firstLine="0"/>
        <w:jc w:val="right"/>
        <w:rPr>
          <w:rFonts w:ascii="宋体" w:hAnsi="宋体" w:cs="宋体" w:eastAsia="宋体" w:hint="default"/>
          <w:sz w:val="18"/>
          <w:szCs w:val="18"/>
        </w:rPr>
      </w:pPr>
      <w:r>
        <w:rPr>
          <w:rFonts w:ascii="宋体" w:hAnsi="宋体" w:cs="宋体" w:eastAsia="宋体" w:hint="default"/>
          <w:sz w:val="18"/>
          <w:szCs w:val="18"/>
        </w:rPr>
        <w:t>）</w:t>
      </w:r>
    </w:p>
    <w:p>
      <w:pPr>
        <w:spacing w:after="0"/>
        <w:jc w:val="right"/>
        <w:rPr>
          <w:rFonts w:ascii="宋体" w:hAnsi="宋体" w:cs="宋体" w:eastAsia="宋体" w:hint="default"/>
          <w:sz w:val="18"/>
          <w:szCs w:val="18"/>
        </w:rPr>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82" w:type="dxa"/>
        <w:tblLayout w:type="fixed"/>
        <w:tblCellMar>
          <w:top w:w="0" w:type="dxa"/>
          <w:left w:w="0" w:type="dxa"/>
          <w:bottom w:w="0" w:type="dxa"/>
          <w:right w:w="0" w:type="dxa"/>
        </w:tblCellMar>
        <w:tblLook w:val="01E0"/>
      </w:tblPr>
      <w:tblGrid>
        <w:gridCol w:w="3525"/>
        <w:gridCol w:w="621"/>
        <w:gridCol w:w="5425"/>
      </w:tblGrid>
      <w:tr>
        <w:trPr>
          <w:trHeight w:val="714"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云计算</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5"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3" w:right="21"/>
              <w:jc w:val="left"/>
              <w:rPr>
                <w:rFonts w:ascii="宋体" w:hAnsi="宋体" w:cs="宋体" w:eastAsia="宋体" w:hint="default"/>
                <w:sz w:val="18"/>
                <w:szCs w:val="18"/>
              </w:rPr>
            </w:pPr>
            <w:r>
              <w:rPr>
                <w:rFonts w:ascii="宋体" w:hAnsi="宋体" w:cs="宋体" w:eastAsia="宋体" w:hint="default"/>
                <w:spacing w:val="-2"/>
                <w:sz w:val="18"/>
                <w:szCs w:val="18"/>
              </w:rPr>
              <w:t>是基于互联网的相关服务的增加、使用和交互模式，通常涉及通过互</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z w:val="18"/>
                <w:szCs w:val="18"/>
              </w:rPr>
              <w:t>联网来提供动态易扩展且经常是虚拟化的资源</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4" w:right="0"/>
              <w:jc w:val="left"/>
              <w:rPr>
                <w:rFonts w:ascii="Times New Roman" w:hAnsi="Times New Roman" w:cs="Times New Roman" w:eastAsia="Times New Roman" w:hint="default"/>
                <w:sz w:val="18"/>
                <w:szCs w:val="18"/>
              </w:rPr>
            </w:pPr>
            <w:r>
              <w:rPr>
                <w:rFonts w:ascii="Times New Roman"/>
                <w:sz w:val="18"/>
              </w:rPr>
              <w:t>LoRa</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一种基于扩频技术的超远距离无线传输方案</w:t>
            </w:r>
          </w:p>
        </w:tc>
      </w:tr>
      <w:tr>
        <w:trPr>
          <w:trHeight w:val="1650"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2"/>
                <w:szCs w:val="22"/>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一卡通</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2"/>
                <w:szCs w:val="2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5"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1"/>
              <w:ind w:left="23" w:right="21"/>
              <w:jc w:val="both"/>
              <w:rPr>
                <w:rFonts w:ascii="宋体" w:hAnsi="宋体" w:cs="宋体" w:eastAsia="宋体" w:hint="default"/>
                <w:sz w:val="18"/>
                <w:szCs w:val="18"/>
              </w:rPr>
            </w:pPr>
            <w:r>
              <w:rPr>
                <w:rFonts w:ascii="宋体" w:hAnsi="宋体" w:cs="宋体" w:eastAsia="宋体" w:hint="default"/>
                <w:spacing w:val="-2"/>
                <w:sz w:val="18"/>
                <w:szCs w:val="18"/>
              </w:rPr>
              <w:t>在同一张卡上实现多种不同功能，通行多种智能设备。一卡通系统集</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Times New Roman" w:hAnsi="Times New Roman" w:cs="Times New Roman" w:eastAsia="Times New Roman" w:hint="default"/>
                <w:sz w:val="18"/>
                <w:szCs w:val="18"/>
              </w:rPr>
              <w:t>RFID</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技术、嵌入系统开发技术、智能卡应用技术、计算机网络技术 等于一体，通过</w:t>
            </w:r>
            <w:r>
              <w:rPr>
                <w:rFonts w:ascii="Times New Roman" w:hAnsi="Times New Roman" w:cs="Times New Roman" w:eastAsia="Times New Roman" w:hint="default"/>
                <w:sz w:val="18"/>
                <w:szCs w:val="18"/>
              </w:rPr>
              <w:t>"</w:t>
            </w:r>
            <w:r>
              <w:rPr>
                <w:rFonts w:ascii="宋体" w:hAnsi="宋体" w:cs="宋体" w:eastAsia="宋体" w:hint="default"/>
                <w:sz w:val="18"/>
                <w:szCs w:val="18"/>
              </w:rPr>
              <w:t>信息共享、集中控制</w:t>
            </w:r>
            <w:r>
              <w:rPr>
                <w:rFonts w:ascii="Times New Roman" w:hAnsi="Times New Roman" w:cs="Times New Roman" w:eastAsia="Times New Roman" w:hint="default"/>
                <w:sz w:val="18"/>
                <w:szCs w:val="18"/>
              </w:rPr>
              <w:t>"</w:t>
            </w:r>
            <w:r>
              <w:rPr>
                <w:rFonts w:ascii="宋体" w:hAnsi="宋体" w:cs="宋体" w:eastAsia="宋体" w:hint="default"/>
                <w:sz w:val="18"/>
                <w:szCs w:val="18"/>
              </w:rPr>
              <w:t>实现某一区域的智能化管理。 </w:t>
            </w:r>
            <w:r>
              <w:rPr>
                <w:rFonts w:ascii="宋体" w:hAnsi="宋体" w:cs="宋体" w:eastAsia="宋体" w:hint="default"/>
                <w:spacing w:val="-2"/>
                <w:sz w:val="18"/>
                <w:szCs w:val="18"/>
              </w:rPr>
              <w:t>广泛应用于校园，企事业，城市等领域。随着技术发展，介质卡片已</w:t>
            </w:r>
            <w:r>
              <w:rPr>
                <w:rFonts w:ascii="宋体" w:hAnsi="宋体" w:cs="宋体" w:eastAsia="宋体" w:hint="default"/>
                <w:spacing w:val="-65"/>
                <w:sz w:val="18"/>
                <w:szCs w:val="18"/>
              </w:rPr>
              <w:t> </w:t>
            </w:r>
            <w:r>
              <w:rPr>
                <w:rFonts w:ascii="宋体" w:hAnsi="宋体" w:cs="宋体" w:eastAsia="宋体" w:hint="default"/>
                <w:spacing w:val="-65"/>
                <w:sz w:val="18"/>
                <w:szCs w:val="18"/>
              </w:rPr>
            </w:r>
            <w:r>
              <w:rPr>
                <w:rFonts w:ascii="宋体" w:hAnsi="宋体" w:cs="宋体" w:eastAsia="宋体" w:hint="default"/>
                <w:sz w:val="18"/>
                <w:szCs w:val="18"/>
              </w:rPr>
              <w:t>由</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M1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卡、</w:t>
            </w:r>
            <w:r>
              <w:rPr>
                <w:rFonts w:ascii="Times New Roman" w:hAnsi="Times New Roman" w:cs="Times New Roman" w:eastAsia="Times New Roman" w:hint="default"/>
                <w:sz w:val="18"/>
                <w:szCs w:val="18"/>
              </w:rPr>
              <w:t>CPU</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卡发展至及手机卡等多种实现形式</w:t>
            </w:r>
          </w:p>
        </w:tc>
      </w:tr>
      <w:tr>
        <w:trPr>
          <w:trHeight w:val="714"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校园一卡通</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5" w:type="dxa"/>
            <w:tcBorders>
              <w:top w:val="single" w:sz="4" w:space="0" w:color="000000"/>
              <w:left w:val="single" w:sz="4" w:space="0" w:color="000000"/>
              <w:bottom w:val="single" w:sz="4" w:space="0" w:color="000000"/>
              <w:right w:val="single" w:sz="4" w:space="0" w:color="000000"/>
            </w:tcBorders>
          </w:tcPr>
          <w:p>
            <w:pPr>
              <w:pStyle w:val="TableParagraph"/>
              <w:spacing w:line="302" w:lineRule="auto" w:before="51"/>
              <w:ind w:left="23" w:right="96"/>
              <w:jc w:val="left"/>
              <w:rPr>
                <w:rFonts w:ascii="Times New Roman" w:hAnsi="Times New Roman" w:cs="Times New Roman" w:eastAsia="Times New Roman" w:hint="default"/>
                <w:sz w:val="18"/>
                <w:szCs w:val="18"/>
              </w:rPr>
            </w:pPr>
            <w:r>
              <w:rPr>
                <w:rFonts w:ascii="宋体" w:hAnsi="宋体" w:cs="宋体" w:eastAsia="宋体" w:hint="default"/>
                <w:sz w:val="18"/>
                <w:szCs w:val="18"/>
              </w:rPr>
              <w:t>一卡通系统在校园内的应用形态，实现学生、教师及职工的</w:t>
            </w:r>
            <w:r>
              <w:rPr>
                <w:rFonts w:ascii="Times New Roman" w:hAnsi="Times New Roman" w:cs="Times New Roman" w:eastAsia="Times New Roman" w:hint="default"/>
                <w:sz w:val="18"/>
                <w:szCs w:val="18"/>
              </w:rPr>
              <w:t>"</w:t>
            </w:r>
            <w:r>
              <w:rPr>
                <w:rFonts w:ascii="宋体" w:hAnsi="宋体" w:cs="宋体" w:eastAsia="宋体" w:hint="default"/>
                <w:sz w:val="18"/>
                <w:szCs w:val="18"/>
              </w:rPr>
              <w:t>一卡在 手，走遍校园，一卡通用，一卡多用</w:t>
            </w:r>
            <w:r>
              <w:rPr>
                <w:rFonts w:ascii="Times New Roman" w:hAnsi="Times New Roman" w:cs="Times New Roman" w:eastAsia="Times New Roman" w:hint="default"/>
                <w:sz w:val="18"/>
                <w:szCs w:val="18"/>
              </w:rPr>
              <w:t>"</w:t>
            </w:r>
          </w:p>
        </w:tc>
      </w:tr>
      <w:tr>
        <w:trPr>
          <w:trHeight w:val="1650"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left="24" w:right="0"/>
              <w:jc w:val="left"/>
              <w:rPr>
                <w:rFonts w:ascii="Times New Roman" w:hAnsi="Times New Roman" w:cs="Times New Roman" w:eastAsia="Times New Roman" w:hint="default"/>
                <w:sz w:val="18"/>
                <w:szCs w:val="18"/>
              </w:rPr>
            </w:pPr>
            <w:r>
              <w:rPr>
                <w:rFonts w:ascii="Times New Roman"/>
                <w:sz w:val="18"/>
              </w:rPr>
              <w:t>RFID</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5"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1"/>
              <w:ind w:left="23" w:right="21"/>
              <w:jc w:val="left"/>
              <w:rPr>
                <w:rFonts w:ascii="宋体" w:hAnsi="宋体" w:cs="宋体" w:eastAsia="宋体" w:hint="default"/>
                <w:sz w:val="18"/>
                <w:szCs w:val="18"/>
              </w:rPr>
            </w:pPr>
            <w:r>
              <w:rPr>
                <w:rFonts w:ascii="Times New Roman" w:hAnsi="Times New Roman" w:cs="Times New Roman" w:eastAsia="Times New Roman" w:hint="default"/>
                <w:sz w:val="18"/>
                <w:szCs w:val="18"/>
              </w:rPr>
              <w:t>Radio Frequency Identification</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的缩写，即射频识别技术，是一种利用 射频通信实现的非接触式数据采集技术</w:t>
            </w:r>
            <w:r>
              <w:rPr>
                <w:rFonts w:ascii="Times New Roman" w:hAnsi="Times New Roman" w:cs="Times New Roman" w:eastAsia="Times New Roman" w:hint="default"/>
                <w:sz w:val="18"/>
                <w:szCs w:val="18"/>
              </w:rPr>
              <w:t>,</w:t>
            </w:r>
            <w:r>
              <w:rPr>
                <w:rFonts w:ascii="宋体" w:hAnsi="宋体" w:cs="宋体" w:eastAsia="宋体" w:hint="default"/>
                <w:sz w:val="18"/>
                <w:szCs w:val="18"/>
              </w:rPr>
              <w:t>它通过射频信号自动识别目 </w:t>
            </w:r>
            <w:r>
              <w:rPr>
                <w:rFonts w:ascii="宋体" w:hAnsi="宋体" w:cs="宋体" w:eastAsia="宋体" w:hint="default"/>
                <w:spacing w:val="-2"/>
                <w:sz w:val="18"/>
                <w:szCs w:val="18"/>
              </w:rPr>
              <w:t>标对象并获取相关数据。在单一芯片上结合感应式读卡器、感应式卡</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pacing w:val="-2"/>
                <w:sz w:val="18"/>
                <w:szCs w:val="18"/>
              </w:rPr>
              <w:t>片和点对点的功能，通过频谱中无线频率部分的电磁感应耦合方式传</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z w:val="18"/>
                <w:szCs w:val="18"/>
              </w:rPr>
              <w:t>递信息，传输范围由于频率不同分为中低频和高频两类</w:t>
            </w:r>
          </w:p>
        </w:tc>
      </w:tr>
      <w:tr>
        <w:trPr>
          <w:trHeight w:val="1338"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智能卡 </w:t>
            </w:r>
            <w:r>
              <w:rPr>
                <w:rFonts w:ascii="Times New Roman" w:hAnsi="Times New Roman" w:cs="Times New Roman" w:eastAsia="Times New Roman" w:hint="default"/>
                <w:sz w:val="18"/>
                <w:szCs w:val="18"/>
              </w:rPr>
              <w:t>(IC</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卡</w:t>
            </w:r>
            <w:r>
              <w:rPr>
                <w:rFonts w:ascii="Times New Roman" w:hAnsi="Times New Roman" w:cs="Times New Roman" w:eastAsia="Times New Roman" w:hint="default"/>
                <w:sz w:val="18"/>
                <w:szCs w:val="18"/>
              </w:rPr>
              <w:t>)</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5"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1"/>
              <w:ind w:left="23" w:right="20"/>
              <w:jc w:val="both"/>
              <w:rPr>
                <w:rFonts w:ascii="宋体" w:hAnsi="宋体" w:cs="宋体" w:eastAsia="宋体" w:hint="default"/>
                <w:sz w:val="18"/>
                <w:szCs w:val="18"/>
              </w:rPr>
            </w:pPr>
            <w:r>
              <w:rPr>
                <w:rFonts w:ascii="Times New Roman" w:hAnsi="Times New Roman" w:cs="Times New Roman" w:eastAsia="Times New Roman" w:hint="default"/>
                <w:sz w:val="18"/>
                <w:szCs w:val="18"/>
              </w:rPr>
              <w:t>IC </w:t>
            </w:r>
            <w:r>
              <w:rPr>
                <w:rFonts w:ascii="宋体" w:hAnsi="宋体" w:cs="宋体" w:eastAsia="宋体" w:hint="default"/>
                <w:sz w:val="18"/>
                <w:szCs w:val="18"/>
              </w:rPr>
              <w:t>卡 </w:t>
            </w:r>
            <w:r>
              <w:rPr>
                <w:rFonts w:ascii="Times New Roman" w:hAnsi="Times New Roman" w:cs="Times New Roman" w:eastAsia="Times New Roman" w:hint="default"/>
                <w:sz w:val="18"/>
                <w:szCs w:val="18"/>
              </w:rPr>
              <w:t>(Integrated Circuit Card</w:t>
            </w:r>
            <w:r>
              <w:rPr>
                <w:rFonts w:ascii="宋体" w:hAnsi="宋体" w:cs="宋体" w:eastAsia="宋体" w:hint="default"/>
                <w:sz w:val="18"/>
                <w:szCs w:val="18"/>
              </w:rPr>
              <w:t>，集成电路卡</w:t>
            </w:r>
            <w:r>
              <w:rPr>
                <w:rFonts w:ascii="Times New Roman" w:hAnsi="Times New Roman" w:cs="Times New Roman" w:eastAsia="Times New Roman" w:hint="default"/>
                <w:sz w:val="18"/>
                <w:szCs w:val="18"/>
              </w:rPr>
              <w:t>)</w:t>
            </w:r>
            <w:r>
              <w:rPr>
                <w:rFonts w:ascii="宋体" w:hAnsi="宋体" w:cs="宋体" w:eastAsia="宋体" w:hint="default"/>
                <w:sz w:val="18"/>
                <w:szCs w:val="18"/>
              </w:rPr>
              <w:t>也称智能卡</w:t>
            </w:r>
            <w:r>
              <w:rPr>
                <w:rFonts w:ascii="Times New Roman" w:hAnsi="Times New Roman" w:cs="Times New Roman" w:eastAsia="Times New Roman" w:hint="default"/>
                <w:sz w:val="18"/>
                <w:szCs w:val="18"/>
              </w:rPr>
              <w:t>(Smart</w:t>
            </w:r>
            <w:r>
              <w:rPr>
                <w:rFonts w:ascii="Times New Roman" w:hAnsi="Times New Roman" w:cs="Times New Roman" w:eastAsia="Times New Roman" w:hint="default"/>
                <w:spacing w:val="-8"/>
                <w:sz w:val="18"/>
                <w:szCs w:val="18"/>
              </w:rPr>
              <w:t> </w:t>
            </w:r>
            <w:r>
              <w:rPr>
                <w:rFonts w:ascii="Times New Roman" w:hAnsi="Times New Roman" w:cs="Times New Roman" w:eastAsia="Times New Roman" w:hint="default"/>
                <w:sz w:val="18"/>
                <w:szCs w:val="18"/>
              </w:rPr>
              <w:t>card)</w:t>
            </w:r>
            <w:r>
              <w:rPr>
                <w:rFonts w:ascii="宋体" w:hAnsi="宋体" w:cs="宋体" w:eastAsia="宋体" w:hint="default"/>
                <w:sz w:val="18"/>
                <w:szCs w:val="18"/>
              </w:rPr>
              <w:t>、</w:t>
            </w:r>
            <w:r>
              <w:rPr>
                <w:rFonts w:ascii="宋体" w:hAnsi="宋体" w:cs="宋体" w:eastAsia="宋体" w:hint="default"/>
                <w:w w:val="99"/>
                <w:sz w:val="18"/>
                <w:szCs w:val="18"/>
              </w:rPr>
              <w:t> </w:t>
            </w:r>
            <w:r>
              <w:rPr>
                <w:rFonts w:ascii="宋体" w:hAnsi="宋体" w:cs="宋体" w:eastAsia="宋体" w:hint="default"/>
                <w:sz w:val="18"/>
                <w:szCs w:val="18"/>
              </w:rPr>
              <w:t>智慧卡</w:t>
            </w:r>
            <w:r>
              <w:rPr>
                <w:rFonts w:ascii="Times New Roman" w:hAnsi="Times New Roman" w:cs="Times New Roman" w:eastAsia="Times New Roman" w:hint="default"/>
                <w:sz w:val="18"/>
                <w:szCs w:val="18"/>
              </w:rPr>
              <w:t>(Intelligent card)</w:t>
            </w:r>
            <w:r>
              <w:rPr>
                <w:rFonts w:ascii="宋体" w:hAnsi="宋体" w:cs="宋体" w:eastAsia="宋体" w:hint="default"/>
                <w:sz w:val="18"/>
                <w:szCs w:val="18"/>
              </w:rPr>
              <w:t>、微电路卡</w:t>
            </w:r>
            <w:r>
              <w:rPr>
                <w:rFonts w:ascii="Times New Roman" w:hAnsi="Times New Roman" w:cs="Times New Roman" w:eastAsia="Times New Roman" w:hint="default"/>
                <w:sz w:val="18"/>
                <w:szCs w:val="18"/>
              </w:rPr>
              <w:t>(Microcircuit</w:t>
            </w:r>
            <w:r>
              <w:rPr>
                <w:rFonts w:ascii="Times New Roman" w:hAnsi="Times New Roman" w:cs="Times New Roman" w:eastAsia="Times New Roman" w:hint="default"/>
                <w:spacing w:val="-5"/>
                <w:sz w:val="18"/>
                <w:szCs w:val="18"/>
              </w:rPr>
              <w:t> </w:t>
            </w:r>
            <w:r>
              <w:rPr>
                <w:rFonts w:ascii="Times New Roman" w:hAnsi="Times New Roman" w:cs="Times New Roman" w:eastAsia="Times New Roman" w:hint="default"/>
                <w:sz w:val="18"/>
                <w:szCs w:val="18"/>
              </w:rPr>
              <w:t>card)</w:t>
            </w:r>
            <w:r>
              <w:rPr>
                <w:rFonts w:ascii="宋体" w:hAnsi="宋体" w:cs="宋体" w:eastAsia="宋体" w:hint="default"/>
                <w:sz w:val="18"/>
                <w:szCs w:val="18"/>
              </w:rPr>
              <w:t>或微芯片卡等。</w:t>
            </w:r>
            <w:r>
              <w:rPr>
                <w:rFonts w:ascii="宋体" w:hAnsi="宋体" w:cs="宋体" w:eastAsia="宋体" w:hint="default"/>
                <w:w w:val="99"/>
                <w:sz w:val="18"/>
                <w:szCs w:val="18"/>
              </w:rPr>
              <w:t> </w:t>
            </w:r>
            <w:r>
              <w:rPr>
                <w:rFonts w:ascii="宋体" w:hAnsi="宋体" w:cs="宋体" w:eastAsia="宋体" w:hint="default"/>
                <w:sz w:val="18"/>
                <w:szCs w:val="18"/>
              </w:rPr>
              <w:t>它是将一个微电子芯片嵌入符合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ISO7816</w:t>
            </w:r>
            <w:r>
              <w:rPr>
                <w:rFonts w:ascii="Times New Roman" w:hAnsi="Times New Roman" w:cs="Times New Roman" w:eastAsia="Times New Roman" w:hint="default"/>
                <w:spacing w:val="4"/>
                <w:sz w:val="18"/>
                <w:szCs w:val="18"/>
              </w:rPr>
              <w:t> </w:t>
            </w:r>
            <w:r>
              <w:rPr>
                <w:rFonts w:ascii="宋体" w:hAnsi="宋体" w:cs="宋体" w:eastAsia="宋体" w:hint="default"/>
                <w:spacing w:val="-5"/>
                <w:sz w:val="18"/>
                <w:szCs w:val="18"/>
              </w:rPr>
              <w:t>标准的卡基中，做成卡片形</w:t>
            </w:r>
            <w:r>
              <w:rPr>
                <w:rFonts w:ascii="宋体" w:hAnsi="宋体" w:cs="宋体" w:eastAsia="宋体" w:hint="default"/>
                <w:sz w:val="18"/>
                <w:szCs w:val="18"/>
              </w:rPr>
              <w:t> 式</w:t>
            </w:r>
          </w:p>
        </w:tc>
      </w:tr>
      <w:tr>
        <w:trPr>
          <w:trHeight w:val="1338"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left="24" w:right="0"/>
              <w:jc w:val="left"/>
              <w:rPr>
                <w:rFonts w:ascii="Times New Roman" w:hAnsi="Times New Roman" w:cs="Times New Roman" w:eastAsia="Times New Roman" w:hint="default"/>
                <w:sz w:val="18"/>
                <w:szCs w:val="18"/>
              </w:rPr>
            </w:pPr>
            <w:r>
              <w:rPr>
                <w:rFonts w:ascii="Times New Roman"/>
                <w:sz w:val="18"/>
              </w:rPr>
              <w:t>POS</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6"/>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5"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51"/>
              <w:ind w:left="23" w:right="-9"/>
              <w:jc w:val="left"/>
              <w:rPr>
                <w:rFonts w:ascii="宋体" w:hAnsi="宋体" w:cs="宋体" w:eastAsia="宋体" w:hint="default"/>
                <w:sz w:val="18"/>
                <w:szCs w:val="18"/>
              </w:rPr>
            </w:pPr>
            <w:r>
              <w:rPr>
                <w:rFonts w:ascii="Times New Roman" w:hAnsi="Times New Roman" w:cs="Times New Roman" w:eastAsia="Times New Roman" w:hint="default"/>
                <w:sz w:val="18"/>
                <w:szCs w:val="18"/>
              </w:rPr>
              <w:t>Point Of Sale</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的缩写，即销售终端，是一种多功能终端，把它安装在</w:t>
            </w:r>
            <w:r>
              <w:rPr>
                <w:rFonts w:ascii="宋体" w:hAnsi="宋体" w:cs="宋体" w:eastAsia="宋体" w:hint="default"/>
                <w:w w:val="99"/>
                <w:sz w:val="18"/>
                <w:szCs w:val="18"/>
              </w:rPr>
              <w:t> </w:t>
            </w:r>
            <w:r>
              <w:rPr>
                <w:rFonts w:ascii="宋体" w:hAnsi="宋体" w:cs="宋体" w:eastAsia="宋体" w:hint="default"/>
                <w:sz w:val="18"/>
                <w:szCs w:val="18"/>
              </w:rPr>
              <w:t>商户和受理网点中与计算机联成网络，就能实现电子资金自动转帐，</w:t>
            </w:r>
            <w:r>
              <w:rPr>
                <w:rFonts w:ascii="宋体" w:hAnsi="宋体" w:cs="宋体" w:eastAsia="宋体" w:hint="default"/>
                <w:w w:val="99"/>
                <w:sz w:val="18"/>
                <w:szCs w:val="18"/>
              </w:rPr>
              <w:t> </w:t>
            </w:r>
            <w:r>
              <w:rPr>
                <w:rFonts w:ascii="宋体" w:hAnsi="宋体" w:cs="宋体" w:eastAsia="宋体" w:hint="default"/>
                <w:sz w:val="18"/>
                <w:szCs w:val="18"/>
              </w:rPr>
              <w:t>它具有支持消费、预授权、余额查询和转帐等功能，使用起来安全、</w:t>
            </w:r>
            <w:r>
              <w:rPr>
                <w:rFonts w:ascii="宋体" w:hAnsi="宋体" w:cs="宋体" w:eastAsia="宋体" w:hint="default"/>
                <w:w w:val="99"/>
                <w:sz w:val="18"/>
                <w:szCs w:val="18"/>
              </w:rPr>
              <w:t> </w:t>
            </w:r>
            <w:r>
              <w:rPr>
                <w:rFonts w:ascii="宋体" w:hAnsi="宋体" w:cs="宋体" w:eastAsia="宋体" w:hint="default"/>
                <w:sz w:val="18"/>
                <w:szCs w:val="18"/>
              </w:rPr>
              <w:t>快捷、可靠</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《公司法》</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《中华人民共和国公司法》</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《证券法》</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《中华人民共和国证券法》</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《公司章程》</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《新开普电子股份有限公司章程》</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元、万元</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人民币元、人民币万元</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报告期</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日至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上年同期</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日至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bl>
    <w:p>
      <w:pPr>
        <w:spacing w:after="0" w:line="240" w:lineRule="auto"/>
        <w:jc w:val="left"/>
        <w:rPr>
          <w:rFonts w:ascii="宋体" w:hAnsi="宋体" w:cs="宋体" w:eastAsia="宋体" w:hint="default"/>
          <w:sz w:val="18"/>
          <w:szCs w:val="18"/>
        </w:rPr>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6"/>
        <w:rPr>
          <w:rFonts w:ascii="Times New Roman" w:hAnsi="Times New Roman" w:cs="Times New Roman" w:eastAsia="Times New Roman" w:hint="default"/>
          <w:sz w:val="28"/>
          <w:szCs w:val="28"/>
        </w:rPr>
      </w:pPr>
    </w:p>
    <w:p>
      <w:pPr>
        <w:pStyle w:val="Heading1"/>
        <w:spacing w:line="240" w:lineRule="auto"/>
        <w:ind w:left="2644" w:right="1117"/>
        <w:jc w:val="left"/>
        <w:rPr>
          <w:b w:val="0"/>
          <w:bCs w:val="0"/>
        </w:rPr>
      </w:pPr>
      <w:bookmarkStart w:name="第二节 公司简介和主要财务指标" w:id="2"/>
      <w:bookmarkEnd w:id="2"/>
      <w:r>
        <w:rPr>
          <w:b w:val="0"/>
          <w:bCs w:val="0"/>
        </w:rPr>
      </w:r>
      <w:bookmarkStart w:name="_bookmark0" w:id="3"/>
      <w:bookmarkEnd w:id="3"/>
      <w:r>
        <w:rPr>
          <w:b w:val="0"/>
          <w:bCs w:val="0"/>
        </w:rPr>
      </w:r>
      <w:r>
        <w:rPr/>
        <w:t>第二节</w:t>
      </w:r>
      <w:r>
        <w:rPr>
          <w:spacing w:val="-11"/>
        </w:rPr>
        <w:t> </w:t>
      </w:r>
      <w:r>
        <w:rPr/>
        <w:t>公司简介和主要财务指标</w:t>
      </w:r>
      <w:r>
        <w:rPr>
          <w:b w:val="0"/>
          <w:bCs w:val="0"/>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6"/>
          <w:szCs w:val="16"/>
        </w:rPr>
      </w:pPr>
    </w:p>
    <w:p>
      <w:pPr>
        <w:pStyle w:val="Heading2"/>
        <w:spacing w:line="240" w:lineRule="auto" w:before="26"/>
        <w:ind w:right="1117"/>
        <w:jc w:val="left"/>
        <w:rPr>
          <w:b w:val="0"/>
          <w:bCs w:val="0"/>
        </w:rPr>
      </w:pPr>
      <w:r>
        <w:rPr/>
        <w:pict>
          <v:group style="position:absolute;margin-left:172.339996pt;margin-top:114.735596pt;width:361.5pt;height:19.6pt;mso-position-horizontal-relative:page;mso-position-vertical-relative:paragraph;z-index:-1223080" coordorigin="3447,2295" coordsize="7230,392">
            <v:shape style="position:absolute;left:3447;top:2295;width:7230;height:392" coordorigin="3447,2295" coordsize="7230,392" path="m3447,2686l10676,2686,10676,2295,3447,2295,3447,2686xe" filled="true" fillcolor="#ffffff" stroked="false">
              <v:path arrowok="t"/>
              <v:fill type="solid"/>
            </v:shape>
            <w10:wrap type="none"/>
          </v:group>
        </w:pict>
      </w:r>
      <w:bookmarkStart w:name="一、公司信息" w:id="4"/>
      <w:bookmarkEnd w:id="4"/>
      <w:r>
        <w:rPr>
          <w:b w:val="0"/>
          <w:bCs w:val="0"/>
        </w:rPr>
      </w:r>
      <w:r>
        <w:rPr/>
        <w:t>一、公司信息</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2273"/>
        <w:gridCol w:w="2965"/>
        <w:gridCol w:w="2145"/>
        <w:gridCol w:w="2188"/>
      </w:tblGrid>
      <w:tr>
        <w:trPr>
          <w:trHeight w:val="402" w:hRule="exact"/>
        </w:trPr>
        <w:tc>
          <w:tcPr>
            <w:tcW w:w="2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股票简称</w:t>
            </w:r>
          </w:p>
        </w:tc>
        <w:tc>
          <w:tcPr>
            <w:tcW w:w="2965"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52"/>
              <w:ind w:left="28" w:right="0"/>
              <w:jc w:val="left"/>
              <w:rPr>
                <w:rFonts w:ascii="宋体" w:hAnsi="宋体" w:cs="宋体" w:eastAsia="宋体" w:hint="default"/>
                <w:sz w:val="18"/>
                <w:szCs w:val="18"/>
              </w:rPr>
            </w:pPr>
            <w:r>
              <w:rPr>
                <w:rFonts w:ascii="宋体" w:hAnsi="宋体" w:cs="宋体" w:eastAsia="宋体" w:hint="default"/>
                <w:sz w:val="18"/>
                <w:szCs w:val="18"/>
              </w:rPr>
              <w:t>新开普</w:t>
            </w:r>
          </w:p>
        </w:tc>
        <w:tc>
          <w:tcPr>
            <w:tcW w:w="21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股票代码</w:t>
            </w:r>
          </w:p>
        </w:tc>
        <w:tc>
          <w:tcPr>
            <w:tcW w:w="2188"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left="27" w:right="0"/>
              <w:jc w:val="left"/>
              <w:rPr>
                <w:rFonts w:ascii="Times New Roman" w:hAnsi="Times New Roman" w:cs="Times New Roman" w:eastAsia="Times New Roman" w:hint="default"/>
                <w:sz w:val="18"/>
                <w:szCs w:val="18"/>
              </w:rPr>
            </w:pPr>
            <w:r>
              <w:rPr>
                <w:rFonts w:ascii="Times New Roman"/>
                <w:sz w:val="18"/>
              </w:rPr>
              <w:t>300248</w:t>
            </w:r>
          </w:p>
        </w:tc>
      </w:tr>
      <w:tr>
        <w:trPr>
          <w:trHeight w:val="402" w:hRule="exact"/>
        </w:trPr>
        <w:tc>
          <w:tcPr>
            <w:tcW w:w="2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公司的中文名称</w:t>
            </w:r>
          </w:p>
        </w:tc>
        <w:tc>
          <w:tcPr>
            <w:tcW w:w="7297" w:type="dxa"/>
            <w:gridSpan w:val="3"/>
            <w:tcBorders>
              <w:top w:val="single" w:sz="4" w:space="0" w:color="000000"/>
              <w:left w:val="single" w:sz="9" w:space="0" w:color="D2D2D2"/>
              <w:bottom w:val="single" w:sz="4" w:space="0" w:color="000000"/>
              <w:right w:val="single" w:sz="4" w:space="0" w:color="000000"/>
            </w:tcBorders>
          </w:tcPr>
          <w:p>
            <w:pPr>
              <w:pStyle w:val="TableParagraph"/>
              <w:spacing w:line="240" w:lineRule="auto" w:before="52"/>
              <w:ind w:left="28" w:right="0"/>
              <w:jc w:val="left"/>
              <w:rPr>
                <w:rFonts w:ascii="宋体" w:hAnsi="宋体" w:cs="宋体" w:eastAsia="宋体" w:hint="default"/>
                <w:sz w:val="18"/>
                <w:szCs w:val="18"/>
              </w:rPr>
            </w:pPr>
            <w:r>
              <w:rPr>
                <w:rFonts w:ascii="宋体" w:hAnsi="宋体" w:cs="宋体" w:eastAsia="宋体" w:hint="default"/>
                <w:sz w:val="18"/>
                <w:szCs w:val="18"/>
              </w:rPr>
              <w:t>新开普电子股份有限公司</w:t>
            </w:r>
          </w:p>
        </w:tc>
      </w:tr>
      <w:tr>
        <w:trPr>
          <w:trHeight w:val="402" w:hRule="exact"/>
        </w:trPr>
        <w:tc>
          <w:tcPr>
            <w:tcW w:w="2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公司的中文简称</w:t>
            </w:r>
          </w:p>
        </w:tc>
        <w:tc>
          <w:tcPr>
            <w:tcW w:w="7297" w:type="dxa"/>
            <w:gridSpan w:val="3"/>
            <w:tcBorders>
              <w:top w:val="single" w:sz="4" w:space="0" w:color="000000"/>
              <w:left w:val="single" w:sz="9" w:space="0" w:color="D2D2D2"/>
              <w:bottom w:val="single" w:sz="4" w:space="0" w:color="000000"/>
              <w:right w:val="single" w:sz="4" w:space="0" w:color="000000"/>
            </w:tcBorders>
          </w:tcPr>
          <w:p>
            <w:pPr>
              <w:pStyle w:val="TableParagraph"/>
              <w:spacing w:line="240" w:lineRule="auto" w:before="52"/>
              <w:ind w:left="28" w:right="0"/>
              <w:jc w:val="left"/>
              <w:rPr>
                <w:rFonts w:ascii="宋体" w:hAnsi="宋体" w:cs="宋体" w:eastAsia="宋体" w:hint="default"/>
                <w:sz w:val="18"/>
                <w:szCs w:val="18"/>
              </w:rPr>
            </w:pPr>
            <w:r>
              <w:rPr>
                <w:rFonts w:ascii="宋体" w:hAnsi="宋体" w:cs="宋体" w:eastAsia="宋体" w:hint="default"/>
                <w:sz w:val="18"/>
                <w:szCs w:val="18"/>
              </w:rPr>
              <w:t>新开普</w:t>
            </w:r>
          </w:p>
        </w:tc>
      </w:tr>
      <w:tr>
        <w:trPr>
          <w:trHeight w:val="402" w:hRule="exact"/>
        </w:trPr>
        <w:tc>
          <w:tcPr>
            <w:tcW w:w="2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公司的外文名称（如有）</w:t>
            </w:r>
          </w:p>
        </w:tc>
        <w:tc>
          <w:tcPr>
            <w:tcW w:w="7297" w:type="dxa"/>
            <w:gridSpan w:val="3"/>
            <w:tcBorders>
              <w:top w:val="single" w:sz="4" w:space="0" w:color="000000"/>
              <w:left w:val="single" w:sz="9" w:space="0" w:color="D2D2D2"/>
              <w:bottom w:val="single" w:sz="4" w:space="0" w:color="000000"/>
              <w:right w:val="single" w:sz="4" w:space="0" w:color="000000"/>
            </w:tcBorders>
          </w:tcPr>
          <w:p>
            <w:pPr>
              <w:pStyle w:val="TableParagraph"/>
              <w:spacing w:line="240" w:lineRule="auto" w:before="92"/>
              <w:ind w:left="28" w:right="0"/>
              <w:jc w:val="left"/>
              <w:rPr>
                <w:rFonts w:ascii="Times New Roman" w:hAnsi="Times New Roman" w:cs="Times New Roman" w:eastAsia="Times New Roman" w:hint="default"/>
                <w:sz w:val="18"/>
                <w:szCs w:val="18"/>
              </w:rPr>
            </w:pPr>
            <w:r>
              <w:rPr>
                <w:rFonts w:ascii="Times New Roman"/>
                <w:sz w:val="18"/>
              </w:rPr>
              <w:t>Newcapec Electronics Co.,</w:t>
            </w:r>
            <w:r>
              <w:rPr>
                <w:rFonts w:ascii="Times New Roman"/>
                <w:spacing w:val="-5"/>
                <w:sz w:val="18"/>
              </w:rPr>
              <w:t> </w:t>
            </w:r>
            <w:r>
              <w:rPr>
                <w:rFonts w:ascii="Times New Roman"/>
                <w:sz w:val="18"/>
              </w:rPr>
              <w:t>Ltd.</w:t>
            </w:r>
          </w:p>
        </w:tc>
      </w:tr>
      <w:tr>
        <w:trPr>
          <w:trHeight w:val="402" w:hRule="exact"/>
        </w:trPr>
        <w:tc>
          <w:tcPr>
            <w:tcW w:w="2273" w:type="dxa"/>
            <w:tcBorders>
              <w:top w:val="single" w:sz="4" w:space="0" w:color="000000"/>
              <w:left w:val="single" w:sz="4" w:space="0" w:color="000000"/>
              <w:bottom w:val="single" w:sz="4" w:space="0" w:color="000000"/>
              <w:right w:val="single" w:sz="13" w:space="0" w:color="FFFFFF"/>
            </w:tcBorders>
            <w:shd w:val="clear" w:color="auto" w:fill="D2D2D2"/>
          </w:tcPr>
          <w:p>
            <w:pPr>
              <w:pStyle w:val="TableParagraph"/>
              <w:spacing w:line="240" w:lineRule="auto" w:before="52"/>
              <w:ind w:left="22" w:right="-58"/>
              <w:jc w:val="left"/>
              <w:rPr>
                <w:rFonts w:ascii="宋体" w:hAnsi="宋体" w:cs="宋体" w:eastAsia="宋体" w:hint="default"/>
                <w:sz w:val="18"/>
                <w:szCs w:val="18"/>
              </w:rPr>
            </w:pPr>
            <w:r>
              <w:rPr>
                <w:rFonts w:ascii="宋体" w:hAnsi="宋体" w:cs="宋体" w:eastAsia="宋体" w:hint="default"/>
                <w:spacing w:val="-5"/>
                <w:sz w:val="18"/>
                <w:szCs w:val="18"/>
              </w:rPr>
              <w:t>公司的外文名称缩写（如有）</w:t>
            </w:r>
            <w:r>
              <w:rPr>
                <w:rFonts w:ascii="宋体" w:hAnsi="宋体" w:cs="宋体" w:eastAsia="宋体" w:hint="default"/>
                <w:sz w:val="18"/>
                <w:szCs w:val="18"/>
              </w:rPr>
            </w:r>
          </w:p>
        </w:tc>
        <w:tc>
          <w:tcPr>
            <w:tcW w:w="7297" w:type="dxa"/>
            <w:gridSpan w:val="3"/>
            <w:tcBorders>
              <w:top w:val="single" w:sz="4" w:space="0" w:color="000000"/>
              <w:left w:val="single" w:sz="23" w:space="0" w:color="FFFFFF"/>
              <w:bottom w:val="single" w:sz="4" w:space="0" w:color="000000"/>
              <w:right w:val="single" w:sz="4" w:space="0" w:color="000000"/>
            </w:tcBorders>
          </w:tcPr>
          <w:p>
            <w:pPr>
              <w:pStyle w:val="TableParagraph"/>
              <w:spacing w:line="240" w:lineRule="auto" w:before="92"/>
              <w:ind w:left="12" w:right="0"/>
              <w:jc w:val="left"/>
              <w:rPr>
                <w:rFonts w:ascii="Times New Roman" w:hAnsi="Times New Roman" w:cs="Times New Roman" w:eastAsia="Times New Roman" w:hint="default"/>
                <w:sz w:val="18"/>
                <w:szCs w:val="18"/>
              </w:rPr>
            </w:pPr>
            <w:r>
              <w:rPr>
                <w:rFonts w:ascii="Times New Roman"/>
                <w:sz w:val="18"/>
              </w:rPr>
              <w:t>Newcapec</w:t>
            </w:r>
          </w:p>
        </w:tc>
      </w:tr>
      <w:tr>
        <w:trPr>
          <w:trHeight w:val="402" w:hRule="exact"/>
        </w:trPr>
        <w:tc>
          <w:tcPr>
            <w:tcW w:w="2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公司的法定代表人</w:t>
            </w:r>
          </w:p>
        </w:tc>
        <w:tc>
          <w:tcPr>
            <w:tcW w:w="7297" w:type="dxa"/>
            <w:gridSpan w:val="3"/>
            <w:tcBorders>
              <w:top w:val="single" w:sz="4" w:space="0" w:color="000000"/>
              <w:left w:val="single" w:sz="9" w:space="0" w:color="D2D2D2"/>
              <w:bottom w:val="single" w:sz="4" w:space="0" w:color="000000"/>
              <w:right w:val="single" w:sz="4" w:space="0" w:color="000000"/>
            </w:tcBorders>
          </w:tcPr>
          <w:p>
            <w:pPr>
              <w:pStyle w:val="TableParagraph"/>
              <w:spacing w:line="240" w:lineRule="auto" w:before="52"/>
              <w:ind w:left="28" w:right="0"/>
              <w:jc w:val="left"/>
              <w:rPr>
                <w:rFonts w:ascii="宋体" w:hAnsi="宋体" w:cs="宋体" w:eastAsia="宋体" w:hint="default"/>
                <w:sz w:val="18"/>
                <w:szCs w:val="18"/>
              </w:rPr>
            </w:pPr>
            <w:r>
              <w:rPr>
                <w:rFonts w:ascii="宋体" w:hAnsi="宋体" w:cs="宋体" w:eastAsia="宋体" w:hint="default"/>
                <w:sz w:val="18"/>
                <w:szCs w:val="18"/>
              </w:rPr>
              <w:t>杨维国</w:t>
            </w:r>
          </w:p>
        </w:tc>
      </w:tr>
      <w:tr>
        <w:trPr>
          <w:trHeight w:val="402" w:hRule="exact"/>
        </w:trPr>
        <w:tc>
          <w:tcPr>
            <w:tcW w:w="2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注册地址</w:t>
            </w:r>
          </w:p>
        </w:tc>
        <w:tc>
          <w:tcPr>
            <w:tcW w:w="7297" w:type="dxa"/>
            <w:gridSpan w:val="3"/>
            <w:tcBorders>
              <w:top w:val="single" w:sz="4" w:space="0" w:color="000000"/>
              <w:left w:val="single" w:sz="9" w:space="0" w:color="D2D2D2"/>
              <w:bottom w:val="single" w:sz="4" w:space="0" w:color="000000"/>
              <w:right w:val="single" w:sz="4" w:space="0" w:color="000000"/>
            </w:tcBorders>
          </w:tcPr>
          <w:p>
            <w:pPr>
              <w:pStyle w:val="TableParagraph"/>
              <w:spacing w:line="240" w:lineRule="auto" w:before="52"/>
              <w:ind w:left="28" w:right="0"/>
              <w:jc w:val="left"/>
              <w:rPr>
                <w:rFonts w:ascii="宋体" w:hAnsi="宋体" w:cs="宋体" w:eastAsia="宋体" w:hint="default"/>
                <w:sz w:val="18"/>
                <w:szCs w:val="18"/>
              </w:rPr>
            </w:pPr>
            <w:r>
              <w:rPr>
                <w:rFonts w:ascii="宋体" w:hAnsi="宋体" w:cs="宋体" w:eastAsia="宋体" w:hint="default"/>
                <w:sz w:val="18"/>
                <w:szCs w:val="18"/>
              </w:rPr>
              <w:t>郑州市高新技术产业开发区迎春街</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w:t>
            </w:r>
          </w:p>
        </w:tc>
      </w:tr>
      <w:tr>
        <w:trPr>
          <w:trHeight w:val="402" w:hRule="exact"/>
        </w:trPr>
        <w:tc>
          <w:tcPr>
            <w:tcW w:w="2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注册地址的邮政编码</w:t>
            </w:r>
          </w:p>
        </w:tc>
        <w:tc>
          <w:tcPr>
            <w:tcW w:w="7297" w:type="dxa"/>
            <w:gridSpan w:val="3"/>
            <w:tcBorders>
              <w:top w:val="single" w:sz="4" w:space="0" w:color="000000"/>
              <w:left w:val="single" w:sz="9" w:space="0" w:color="D2D2D2"/>
              <w:bottom w:val="single" w:sz="4" w:space="0" w:color="000000"/>
              <w:right w:val="single" w:sz="4" w:space="0" w:color="000000"/>
            </w:tcBorders>
          </w:tcPr>
          <w:p>
            <w:pPr>
              <w:pStyle w:val="TableParagraph"/>
              <w:spacing w:line="240" w:lineRule="auto" w:before="92"/>
              <w:ind w:left="28" w:right="0"/>
              <w:jc w:val="left"/>
              <w:rPr>
                <w:rFonts w:ascii="Times New Roman" w:hAnsi="Times New Roman" w:cs="Times New Roman" w:eastAsia="Times New Roman" w:hint="default"/>
                <w:sz w:val="18"/>
                <w:szCs w:val="18"/>
              </w:rPr>
            </w:pPr>
            <w:r>
              <w:rPr>
                <w:rFonts w:ascii="Times New Roman"/>
                <w:sz w:val="18"/>
              </w:rPr>
              <w:t>450001</w:t>
            </w:r>
          </w:p>
        </w:tc>
      </w:tr>
      <w:tr>
        <w:trPr>
          <w:trHeight w:val="402" w:hRule="exact"/>
        </w:trPr>
        <w:tc>
          <w:tcPr>
            <w:tcW w:w="2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办公地址</w:t>
            </w:r>
          </w:p>
        </w:tc>
        <w:tc>
          <w:tcPr>
            <w:tcW w:w="7297" w:type="dxa"/>
            <w:gridSpan w:val="3"/>
            <w:tcBorders>
              <w:top w:val="single" w:sz="4" w:space="0" w:color="000000"/>
              <w:left w:val="single" w:sz="9" w:space="0" w:color="D2D2D2"/>
              <w:bottom w:val="single" w:sz="4" w:space="0" w:color="000000"/>
              <w:right w:val="single" w:sz="4" w:space="0" w:color="000000"/>
            </w:tcBorders>
          </w:tcPr>
          <w:p>
            <w:pPr>
              <w:pStyle w:val="TableParagraph"/>
              <w:spacing w:line="240" w:lineRule="auto" w:before="52"/>
              <w:ind w:left="28" w:right="0"/>
              <w:jc w:val="left"/>
              <w:rPr>
                <w:rFonts w:ascii="宋体" w:hAnsi="宋体" w:cs="宋体" w:eastAsia="宋体" w:hint="default"/>
                <w:sz w:val="18"/>
                <w:szCs w:val="18"/>
              </w:rPr>
            </w:pPr>
            <w:r>
              <w:rPr>
                <w:rFonts w:ascii="宋体" w:hAnsi="宋体" w:cs="宋体" w:eastAsia="宋体" w:hint="default"/>
                <w:sz w:val="18"/>
                <w:szCs w:val="18"/>
              </w:rPr>
              <w:t>郑州市高新技术产业开发区迎春街</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w:t>
            </w:r>
          </w:p>
        </w:tc>
      </w:tr>
      <w:tr>
        <w:trPr>
          <w:trHeight w:val="402" w:hRule="exact"/>
        </w:trPr>
        <w:tc>
          <w:tcPr>
            <w:tcW w:w="2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办公地址的邮政编码</w:t>
            </w:r>
          </w:p>
        </w:tc>
        <w:tc>
          <w:tcPr>
            <w:tcW w:w="7297" w:type="dxa"/>
            <w:gridSpan w:val="3"/>
            <w:tcBorders>
              <w:top w:val="single" w:sz="4" w:space="0" w:color="000000"/>
              <w:left w:val="single" w:sz="9" w:space="0" w:color="D2D2D2"/>
              <w:bottom w:val="single" w:sz="4" w:space="0" w:color="000000"/>
              <w:right w:val="single" w:sz="4" w:space="0" w:color="000000"/>
            </w:tcBorders>
          </w:tcPr>
          <w:p>
            <w:pPr>
              <w:pStyle w:val="TableParagraph"/>
              <w:spacing w:line="240" w:lineRule="auto" w:before="92"/>
              <w:ind w:left="28" w:right="0"/>
              <w:jc w:val="left"/>
              <w:rPr>
                <w:rFonts w:ascii="Times New Roman" w:hAnsi="Times New Roman" w:cs="Times New Roman" w:eastAsia="Times New Roman" w:hint="default"/>
                <w:sz w:val="18"/>
                <w:szCs w:val="18"/>
              </w:rPr>
            </w:pPr>
            <w:r>
              <w:rPr>
                <w:rFonts w:ascii="Times New Roman"/>
                <w:sz w:val="18"/>
              </w:rPr>
              <w:t>450001</w:t>
            </w:r>
          </w:p>
        </w:tc>
      </w:tr>
      <w:tr>
        <w:trPr>
          <w:trHeight w:val="402" w:hRule="exact"/>
        </w:trPr>
        <w:tc>
          <w:tcPr>
            <w:tcW w:w="2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公司国际互联网网址</w:t>
            </w:r>
          </w:p>
        </w:tc>
        <w:tc>
          <w:tcPr>
            <w:tcW w:w="7297" w:type="dxa"/>
            <w:gridSpan w:val="3"/>
            <w:tcBorders>
              <w:top w:val="single" w:sz="4" w:space="0" w:color="000000"/>
              <w:left w:val="single" w:sz="9" w:space="0" w:color="D2D2D2"/>
              <w:bottom w:val="single" w:sz="4" w:space="0" w:color="000000"/>
              <w:right w:val="single" w:sz="4" w:space="0" w:color="000000"/>
            </w:tcBorders>
          </w:tcPr>
          <w:p>
            <w:pPr>
              <w:pStyle w:val="TableParagraph"/>
              <w:spacing w:line="240" w:lineRule="auto" w:before="92"/>
              <w:ind w:left="28" w:right="0"/>
              <w:jc w:val="left"/>
              <w:rPr>
                <w:rFonts w:ascii="Times New Roman" w:hAnsi="Times New Roman" w:cs="Times New Roman" w:eastAsia="Times New Roman" w:hint="default"/>
                <w:sz w:val="18"/>
                <w:szCs w:val="18"/>
              </w:rPr>
            </w:pPr>
            <w:hyperlink r:id="rId9">
              <w:r>
                <w:rPr>
                  <w:rFonts w:ascii="Times New Roman"/>
                  <w:sz w:val="18"/>
                </w:rPr>
                <w:t>http://www.newcapec.com.cn/</w:t>
              </w:r>
            </w:hyperlink>
          </w:p>
        </w:tc>
      </w:tr>
      <w:tr>
        <w:trPr>
          <w:trHeight w:val="403" w:hRule="exact"/>
        </w:trPr>
        <w:tc>
          <w:tcPr>
            <w:tcW w:w="2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电子信箱</w:t>
            </w:r>
          </w:p>
        </w:tc>
        <w:tc>
          <w:tcPr>
            <w:tcW w:w="7297" w:type="dxa"/>
            <w:gridSpan w:val="3"/>
            <w:tcBorders>
              <w:top w:val="single" w:sz="4" w:space="0" w:color="000000"/>
              <w:left w:val="single" w:sz="9" w:space="0" w:color="D2D2D2"/>
              <w:bottom w:val="single" w:sz="4" w:space="0" w:color="000000"/>
              <w:right w:val="single" w:sz="4" w:space="0" w:color="000000"/>
            </w:tcBorders>
          </w:tcPr>
          <w:p>
            <w:pPr>
              <w:pStyle w:val="TableParagraph"/>
              <w:spacing w:line="240" w:lineRule="auto" w:before="92"/>
              <w:ind w:left="28" w:right="0"/>
              <w:jc w:val="left"/>
              <w:rPr>
                <w:rFonts w:ascii="Times New Roman" w:hAnsi="Times New Roman" w:cs="Times New Roman" w:eastAsia="Times New Roman" w:hint="default"/>
                <w:sz w:val="18"/>
                <w:szCs w:val="18"/>
              </w:rPr>
            </w:pPr>
            <w:hyperlink r:id="rId10">
              <w:r>
                <w:rPr>
                  <w:rFonts w:ascii="Times New Roman"/>
                  <w:sz w:val="18"/>
                </w:rPr>
                <w:t>zqswb@newcapec.net</w:t>
              </w:r>
            </w:hyperlink>
          </w:p>
        </w:tc>
      </w:tr>
    </w:tbl>
    <w:p>
      <w:pPr>
        <w:spacing w:line="240" w:lineRule="auto" w:before="2"/>
        <w:rPr>
          <w:rFonts w:ascii="宋体" w:hAnsi="宋体" w:cs="宋体" w:eastAsia="宋体" w:hint="default"/>
          <w:b/>
          <w:bCs/>
          <w:sz w:val="18"/>
          <w:szCs w:val="18"/>
        </w:rPr>
      </w:pPr>
    </w:p>
    <w:p>
      <w:pPr>
        <w:pStyle w:val="Heading2"/>
        <w:spacing w:line="240" w:lineRule="auto" w:before="26"/>
        <w:ind w:right="1117"/>
        <w:jc w:val="left"/>
        <w:rPr>
          <w:b w:val="0"/>
          <w:bCs w:val="0"/>
        </w:rPr>
      </w:pPr>
      <w:bookmarkStart w:name="二、联系人和联系方式" w:id="5"/>
      <w:bookmarkEnd w:id="5"/>
      <w:r>
        <w:rPr>
          <w:b w:val="0"/>
          <w:bCs w:val="0"/>
        </w:rPr>
      </w:r>
      <w:r>
        <w:rPr/>
        <w:t>二、联系人和联系方式</w:t>
      </w:r>
      <w:r>
        <w:rPr>
          <w:b w:val="0"/>
          <w:bCs w:val="0"/>
        </w:rPr>
      </w:r>
    </w:p>
    <w:p>
      <w:pPr>
        <w:spacing w:line="240" w:lineRule="auto" w:before="9"/>
        <w:rPr>
          <w:rFonts w:ascii="宋体" w:hAnsi="宋体" w:cs="宋体" w:eastAsia="宋体" w:hint="default"/>
          <w:b/>
          <w:bCs/>
          <w:sz w:val="25"/>
          <w:szCs w:val="25"/>
        </w:rPr>
      </w:pPr>
    </w:p>
    <w:tbl>
      <w:tblPr>
        <w:tblW w:w="0" w:type="auto"/>
        <w:jc w:val="left"/>
        <w:tblInd w:w="160" w:type="dxa"/>
        <w:tblLayout w:type="fixed"/>
        <w:tblCellMar>
          <w:top w:w="0" w:type="dxa"/>
          <w:left w:w="0" w:type="dxa"/>
          <w:bottom w:w="0" w:type="dxa"/>
          <w:right w:w="0" w:type="dxa"/>
        </w:tblCellMar>
        <w:tblLook w:val="01E0"/>
      </w:tblPr>
      <w:tblGrid>
        <w:gridCol w:w="3167"/>
        <w:gridCol w:w="3202"/>
        <w:gridCol w:w="3190"/>
      </w:tblGrid>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center"/>
              <w:rPr>
                <w:rFonts w:ascii="宋体" w:hAnsi="宋体" w:cs="宋体" w:eastAsia="宋体" w:hint="default"/>
                <w:sz w:val="18"/>
                <w:szCs w:val="18"/>
              </w:rPr>
            </w:pPr>
            <w:r>
              <w:rPr>
                <w:rFonts w:ascii="宋体" w:hAnsi="宋体" w:cs="宋体" w:eastAsia="宋体" w:hint="default"/>
                <w:sz w:val="18"/>
                <w:szCs w:val="18"/>
              </w:rPr>
              <w:t>董事会秘书</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50" w:right="0"/>
              <w:jc w:val="left"/>
              <w:rPr>
                <w:rFonts w:ascii="宋体" w:hAnsi="宋体" w:cs="宋体" w:eastAsia="宋体" w:hint="default"/>
                <w:sz w:val="18"/>
                <w:szCs w:val="18"/>
              </w:rPr>
            </w:pPr>
            <w:r>
              <w:rPr>
                <w:rFonts w:ascii="宋体" w:hAnsi="宋体" w:cs="宋体" w:eastAsia="宋体" w:hint="default"/>
                <w:sz w:val="18"/>
                <w:szCs w:val="18"/>
              </w:rPr>
              <w:t>证券事务代表</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姓名</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赵璇</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赵鑫</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联系地址</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郑州市高新技术产业开发区迎春街</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号</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郑州市高新技术产业开发区迎春街</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号</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电话</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0371-56599758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0371-56599758</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传真</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0371-56599716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0371-56599716</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电子信箱</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hyperlink r:id="rId11">
              <w:r>
                <w:rPr>
                  <w:rFonts w:ascii="Times New Roman"/>
                  <w:sz w:val="18"/>
                </w:rPr>
                <w:t>zhaoxuan@newcapec.net</w:t>
              </w:r>
            </w:hyperlink>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hyperlink r:id="rId12">
              <w:r>
                <w:rPr>
                  <w:rFonts w:ascii="Times New Roman"/>
                  <w:sz w:val="18"/>
                </w:rPr>
                <w:t>zhaoxin@newcapec.net</w:t>
              </w:r>
            </w:hyperlink>
          </w:p>
        </w:tc>
      </w:tr>
    </w:tbl>
    <w:p>
      <w:pPr>
        <w:spacing w:line="240" w:lineRule="auto" w:before="2"/>
        <w:rPr>
          <w:rFonts w:ascii="宋体" w:hAnsi="宋体" w:cs="宋体" w:eastAsia="宋体" w:hint="default"/>
          <w:b/>
          <w:bCs/>
          <w:sz w:val="18"/>
          <w:szCs w:val="18"/>
        </w:rPr>
      </w:pPr>
    </w:p>
    <w:p>
      <w:pPr>
        <w:pStyle w:val="Heading2"/>
        <w:spacing w:line="240" w:lineRule="auto" w:before="26"/>
        <w:ind w:right="1117"/>
        <w:jc w:val="left"/>
        <w:rPr>
          <w:b w:val="0"/>
          <w:bCs w:val="0"/>
        </w:rPr>
      </w:pPr>
      <w:bookmarkStart w:name="三、信息披露及备置地点" w:id="6"/>
      <w:bookmarkEnd w:id="6"/>
      <w:r>
        <w:rPr>
          <w:b w:val="0"/>
          <w:bCs w:val="0"/>
        </w:rPr>
      </w:r>
      <w:r>
        <w:rPr/>
        <w:t>三、信息披露及备置地点</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3993"/>
        <w:gridCol w:w="5576"/>
      </w:tblGrid>
      <w:tr>
        <w:trPr>
          <w:trHeight w:val="402" w:hRule="exact"/>
        </w:trPr>
        <w:tc>
          <w:tcPr>
            <w:tcW w:w="39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公司选定的信息披露媒体的名称</w:t>
            </w:r>
          </w:p>
        </w:tc>
        <w:tc>
          <w:tcPr>
            <w:tcW w:w="5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《证券时报</w:t>
            </w:r>
            <w:r>
              <w:rPr>
                <w:rFonts w:ascii="宋体" w:hAnsi="宋体" w:cs="宋体" w:eastAsia="宋体" w:hint="default"/>
                <w:spacing w:val="-90"/>
                <w:sz w:val="18"/>
                <w:szCs w:val="18"/>
              </w:rPr>
              <w:t>》、</w:t>
            </w:r>
            <w:r>
              <w:rPr>
                <w:rFonts w:ascii="宋体" w:hAnsi="宋体" w:cs="宋体" w:eastAsia="宋体" w:hint="default"/>
                <w:sz w:val="18"/>
                <w:szCs w:val="18"/>
              </w:rPr>
              <w:t>《中国证券报》</w:t>
            </w:r>
          </w:p>
        </w:tc>
      </w:tr>
      <w:tr>
        <w:trPr>
          <w:trHeight w:val="402" w:hRule="exact"/>
        </w:trPr>
        <w:tc>
          <w:tcPr>
            <w:tcW w:w="39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登载年度报告的中国证监会指定网站的网址</w:t>
            </w:r>
          </w:p>
        </w:tc>
        <w:tc>
          <w:tcPr>
            <w:tcW w:w="5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402" w:hRule="exact"/>
        </w:trPr>
        <w:tc>
          <w:tcPr>
            <w:tcW w:w="39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公司年度报告备置地点</w:t>
            </w:r>
          </w:p>
        </w:tc>
        <w:tc>
          <w:tcPr>
            <w:tcW w:w="5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公司证券事务部</w:t>
            </w:r>
          </w:p>
        </w:tc>
      </w:tr>
    </w:tbl>
    <w:p>
      <w:pPr>
        <w:spacing w:line="240" w:lineRule="auto" w:before="2"/>
        <w:rPr>
          <w:rFonts w:ascii="宋体" w:hAnsi="宋体" w:cs="宋体" w:eastAsia="宋体" w:hint="default"/>
          <w:b/>
          <w:bCs/>
          <w:sz w:val="18"/>
          <w:szCs w:val="18"/>
        </w:rPr>
      </w:pPr>
    </w:p>
    <w:p>
      <w:pPr>
        <w:pStyle w:val="Heading2"/>
        <w:spacing w:line="240" w:lineRule="auto" w:before="26"/>
        <w:ind w:right="1117"/>
        <w:jc w:val="left"/>
        <w:rPr>
          <w:b w:val="0"/>
          <w:bCs w:val="0"/>
        </w:rPr>
      </w:pPr>
      <w:bookmarkStart w:name="四、其他有关资料" w:id="7"/>
      <w:bookmarkEnd w:id="7"/>
      <w:r>
        <w:rPr>
          <w:b w:val="0"/>
          <w:bCs w:val="0"/>
        </w:rPr>
      </w:r>
      <w:r>
        <w:rPr/>
        <w:t>四、其他有关资料</w:t>
      </w:r>
      <w:r>
        <w:rPr>
          <w:b w:val="0"/>
          <w:bCs w:val="0"/>
        </w:rPr>
      </w:r>
    </w:p>
    <w:p>
      <w:pPr>
        <w:spacing w:line="240" w:lineRule="auto" w:before="7"/>
        <w:rPr>
          <w:rFonts w:ascii="宋体" w:hAnsi="宋体" w:cs="宋体" w:eastAsia="宋体" w:hint="default"/>
          <w:b/>
          <w:bCs/>
          <w:sz w:val="26"/>
          <w:szCs w:val="26"/>
        </w:rPr>
      </w:pPr>
    </w:p>
    <w:p>
      <w:pPr>
        <w:spacing w:before="0"/>
        <w:ind w:left="154" w:right="1117" w:firstLine="0"/>
        <w:jc w:val="left"/>
        <w:rPr>
          <w:rFonts w:ascii="宋体" w:hAnsi="宋体" w:cs="宋体" w:eastAsia="宋体" w:hint="default"/>
          <w:sz w:val="18"/>
          <w:szCs w:val="18"/>
        </w:rPr>
      </w:pPr>
      <w:r>
        <w:rPr>
          <w:rFonts w:ascii="宋体" w:hAnsi="宋体" w:cs="宋体" w:eastAsia="宋体" w:hint="default"/>
          <w:sz w:val="18"/>
          <w:szCs w:val="18"/>
        </w:rPr>
        <w:t>公司聘请的会计师事务所</w:t>
      </w:r>
    </w:p>
    <w:p>
      <w:pPr>
        <w:spacing w:after="0"/>
        <w:jc w:val="left"/>
        <w:rPr>
          <w:rFonts w:ascii="宋体" w:hAnsi="宋体" w:cs="宋体" w:eastAsia="宋体" w:hint="default"/>
          <w:sz w:val="18"/>
          <w:szCs w:val="18"/>
        </w:rPr>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2662"/>
        <w:gridCol w:w="6907"/>
      </w:tblGrid>
      <w:tr>
        <w:trPr>
          <w:trHeight w:val="402" w:hRule="exact"/>
        </w:trPr>
        <w:tc>
          <w:tcPr>
            <w:tcW w:w="2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会计师事务所名称</w:t>
            </w:r>
          </w:p>
        </w:tc>
        <w:tc>
          <w:tcPr>
            <w:tcW w:w="69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立信会计师事务所（特殊普通合伙）</w:t>
            </w:r>
          </w:p>
        </w:tc>
      </w:tr>
      <w:tr>
        <w:trPr>
          <w:trHeight w:val="402" w:hRule="exact"/>
        </w:trPr>
        <w:tc>
          <w:tcPr>
            <w:tcW w:w="2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会计师事务所办公地址</w:t>
            </w:r>
          </w:p>
        </w:tc>
        <w:tc>
          <w:tcPr>
            <w:tcW w:w="69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上海市南京东路</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号新黄浦金融大厦</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楼</w:t>
            </w:r>
          </w:p>
        </w:tc>
      </w:tr>
      <w:tr>
        <w:trPr>
          <w:trHeight w:val="402" w:hRule="exact"/>
        </w:trPr>
        <w:tc>
          <w:tcPr>
            <w:tcW w:w="2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签字会计师姓名</w:t>
            </w:r>
          </w:p>
        </w:tc>
        <w:tc>
          <w:tcPr>
            <w:tcW w:w="69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王娜、王幈</w:t>
            </w:r>
          </w:p>
        </w:tc>
      </w:tr>
    </w:tbl>
    <w:p>
      <w:pPr>
        <w:spacing w:before="51"/>
        <w:ind w:left="154" w:right="1117" w:firstLine="0"/>
        <w:jc w:val="left"/>
        <w:rPr>
          <w:rFonts w:ascii="宋体" w:hAnsi="宋体" w:cs="宋体" w:eastAsia="宋体" w:hint="default"/>
          <w:sz w:val="18"/>
          <w:szCs w:val="18"/>
        </w:rPr>
      </w:pPr>
      <w:r>
        <w:rPr>
          <w:rFonts w:ascii="宋体" w:hAnsi="宋体" w:cs="宋体" w:eastAsia="宋体" w:hint="default"/>
          <w:sz w:val="18"/>
          <w:szCs w:val="18"/>
        </w:rPr>
        <w:t>公司聘请的报告期内履行持续督导职责的保荐机构</w:t>
      </w:r>
    </w:p>
    <w:p>
      <w:pPr>
        <w:spacing w:before="117"/>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3"/>
        <w:rPr>
          <w:rFonts w:ascii="宋体" w:hAnsi="宋体" w:cs="宋体" w:eastAsia="宋体" w:hint="default"/>
          <w:sz w:val="6"/>
          <w:szCs w:val="6"/>
        </w:rPr>
      </w:pPr>
    </w:p>
    <w:tbl>
      <w:tblPr>
        <w:tblW w:w="0" w:type="auto"/>
        <w:jc w:val="left"/>
        <w:tblInd w:w="149" w:type="dxa"/>
        <w:tblLayout w:type="fixed"/>
        <w:tblCellMar>
          <w:top w:w="0" w:type="dxa"/>
          <w:left w:w="0" w:type="dxa"/>
          <w:bottom w:w="0" w:type="dxa"/>
          <w:right w:w="0" w:type="dxa"/>
        </w:tblCellMar>
        <w:tblLook w:val="01E0"/>
      </w:tblPr>
      <w:tblGrid>
        <w:gridCol w:w="2392"/>
        <w:gridCol w:w="2393"/>
        <w:gridCol w:w="2392"/>
        <w:gridCol w:w="2392"/>
      </w:tblGrid>
      <w:tr>
        <w:trPr>
          <w:trHeight w:val="401"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650" w:right="0"/>
              <w:jc w:val="left"/>
              <w:rPr>
                <w:rFonts w:ascii="宋体" w:hAnsi="宋体" w:cs="宋体" w:eastAsia="宋体" w:hint="default"/>
                <w:sz w:val="18"/>
                <w:szCs w:val="18"/>
              </w:rPr>
            </w:pPr>
            <w:r>
              <w:rPr>
                <w:rFonts w:ascii="宋体" w:hAnsi="宋体" w:cs="宋体" w:eastAsia="宋体" w:hint="default"/>
                <w:sz w:val="18"/>
                <w:szCs w:val="18"/>
              </w:rPr>
              <w:t>保荐机构名称</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71" w:right="0"/>
              <w:jc w:val="left"/>
              <w:rPr>
                <w:rFonts w:ascii="宋体" w:hAnsi="宋体" w:cs="宋体" w:eastAsia="宋体" w:hint="default"/>
                <w:sz w:val="18"/>
                <w:szCs w:val="18"/>
              </w:rPr>
            </w:pPr>
            <w:r>
              <w:rPr>
                <w:rFonts w:ascii="宋体" w:hAnsi="宋体" w:cs="宋体" w:eastAsia="宋体" w:hint="default"/>
                <w:sz w:val="18"/>
                <w:szCs w:val="18"/>
              </w:rPr>
              <w:t>保荐机构办公地址</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60" w:right="0"/>
              <w:jc w:val="left"/>
              <w:rPr>
                <w:rFonts w:ascii="宋体" w:hAnsi="宋体" w:cs="宋体" w:eastAsia="宋体" w:hint="default"/>
                <w:sz w:val="18"/>
                <w:szCs w:val="18"/>
              </w:rPr>
            </w:pPr>
            <w:r>
              <w:rPr>
                <w:rFonts w:ascii="宋体" w:hAnsi="宋体" w:cs="宋体" w:eastAsia="宋体" w:hint="default"/>
                <w:sz w:val="18"/>
                <w:szCs w:val="18"/>
              </w:rPr>
              <w:t>保荐代表人姓名</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650" w:right="0"/>
              <w:jc w:val="left"/>
              <w:rPr>
                <w:rFonts w:ascii="宋体" w:hAnsi="宋体" w:cs="宋体" w:eastAsia="宋体" w:hint="default"/>
                <w:sz w:val="18"/>
                <w:szCs w:val="18"/>
              </w:rPr>
            </w:pPr>
            <w:r>
              <w:rPr>
                <w:rFonts w:ascii="宋体" w:hAnsi="宋体" w:cs="宋体" w:eastAsia="宋体" w:hint="default"/>
                <w:sz w:val="18"/>
                <w:szCs w:val="18"/>
              </w:rPr>
              <w:t>持续督导期间</w:t>
            </w:r>
          </w:p>
        </w:tc>
      </w:tr>
      <w:tr>
        <w:trPr>
          <w:trHeight w:val="715"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南京证券股份有限公司</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南京市江东中路</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389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张睿、封燕</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日到</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3"/>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bl>
    <w:p>
      <w:pPr>
        <w:spacing w:before="51"/>
        <w:ind w:left="154" w:right="1117" w:firstLine="0"/>
        <w:jc w:val="left"/>
        <w:rPr>
          <w:rFonts w:ascii="宋体" w:hAnsi="宋体" w:cs="宋体" w:eastAsia="宋体" w:hint="default"/>
          <w:sz w:val="18"/>
          <w:szCs w:val="18"/>
        </w:rPr>
      </w:pPr>
      <w:r>
        <w:rPr>
          <w:rFonts w:ascii="宋体" w:hAnsi="宋体" w:cs="宋体" w:eastAsia="宋体" w:hint="default"/>
          <w:sz w:val="18"/>
          <w:szCs w:val="18"/>
        </w:rPr>
        <w:t>公司聘请的报告期内履行持续督导职责的财务顾问</w:t>
      </w:r>
    </w:p>
    <w:p>
      <w:pPr>
        <w:spacing w:before="116"/>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24"/>
          <w:szCs w:val="24"/>
        </w:rPr>
      </w:pPr>
    </w:p>
    <w:p>
      <w:pPr>
        <w:pStyle w:val="Heading2"/>
        <w:spacing w:line="240" w:lineRule="auto"/>
        <w:ind w:right="1117"/>
        <w:jc w:val="left"/>
        <w:rPr>
          <w:b w:val="0"/>
          <w:bCs w:val="0"/>
        </w:rPr>
      </w:pPr>
      <w:bookmarkStart w:name="五、主要会计数据和财务指标" w:id="8"/>
      <w:bookmarkEnd w:id="8"/>
      <w:r>
        <w:rPr>
          <w:b w:val="0"/>
          <w:bCs w:val="0"/>
        </w:rPr>
      </w:r>
      <w:r>
        <w:rPr/>
        <w:t>五、主要会计数据和财务指标</w:t>
      </w:r>
      <w:r>
        <w:rPr>
          <w:b w:val="0"/>
          <w:bCs w:val="0"/>
        </w:rPr>
      </w:r>
    </w:p>
    <w:p>
      <w:pPr>
        <w:spacing w:line="240" w:lineRule="auto" w:before="7"/>
        <w:rPr>
          <w:rFonts w:ascii="宋体" w:hAnsi="宋体" w:cs="宋体" w:eastAsia="宋体" w:hint="default"/>
          <w:b/>
          <w:bCs/>
          <w:sz w:val="26"/>
          <w:szCs w:val="26"/>
        </w:rPr>
      </w:pPr>
    </w:p>
    <w:p>
      <w:pPr>
        <w:spacing w:before="0"/>
        <w:ind w:left="154" w:right="1117" w:firstLine="0"/>
        <w:jc w:val="left"/>
        <w:rPr>
          <w:rFonts w:ascii="宋体" w:hAnsi="宋体" w:cs="宋体" w:eastAsia="宋体" w:hint="default"/>
          <w:sz w:val="18"/>
          <w:szCs w:val="18"/>
        </w:rPr>
      </w:pPr>
      <w:r>
        <w:rPr>
          <w:rFonts w:ascii="宋体" w:hAnsi="宋体" w:cs="宋体" w:eastAsia="宋体" w:hint="default"/>
          <w:sz w:val="18"/>
          <w:szCs w:val="18"/>
        </w:rPr>
        <w:t>公司是否需追溯调整或重述以前年度会计数据</w:t>
      </w:r>
    </w:p>
    <w:p>
      <w:pPr>
        <w:spacing w:before="117"/>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否</w:t>
      </w:r>
    </w:p>
    <w:p>
      <w:pPr>
        <w:spacing w:line="240" w:lineRule="auto" w:before="12"/>
        <w:rPr>
          <w:rFonts w:ascii="宋体" w:hAnsi="宋体" w:cs="宋体" w:eastAsia="宋体" w:hint="default"/>
          <w:sz w:val="6"/>
          <w:szCs w:val="6"/>
        </w:rPr>
      </w:pPr>
    </w:p>
    <w:tbl>
      <w:tblPr>
        <w:tblW w:w="0" w:type="auto"/>
        <w:jc w:val="left"/>
        <w:tblInd w:w="149" w:type="dxa"/>
        <w:tblLayout w:type="fixed"/>
        <w:tblCellMar>
          <w:top w:w="0" w:type="dxa"/>
          <w:left w:w="0" w:type="dxa"/>
          <w:bottom w:w="0" w:type="dxa"/>
          <w:right w:w="0" w:type="dxa"/>
        </w:tblCellMar>
        <w:tblLook w:val="01E0"/>
      </w:tblPr>
      <w:tblGrid>
        <w:gridCol w:w="2621"/>
        <w:gridCol w:w="1739"/>
        <w:gridCol w:w="1736"/>
        <w:gridCol w:w="1738"/>
        <w:gridCol w:w="1735"/>
      </w:tblGrid>
      <w:tr>
        <w:trPr>
          <w:trHeight w:val="402"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7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7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7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7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32" w:right="0"/>
              <w:jc w:val="left"/>
              <w:rPr>
                <w:rFonts w:ascii="宋体" w:hAnsi="宋体" w:cs="宋体" w:eastAsia="宋体" w:hint="default"/>
                <w:sz w:val="18"/>
                <w:szCs w:val="18"/>
              </w:rPr>
            </w:pPr>
            <w:r>
              <w:rPr>
                <w:rFonts w:ascii="宋体" w:hAnsi="宋体" w:cs="宋体" w:eastAsia="宋体" w:hint="default"/>
                <w:sz w:val="18"/>
                <w:szCs w:val="18"/>
              </w:rPr>
              <w:t>本年比上年增减</w:t>
            </w:r>
          </w:p>
        </w:tc>
        <w:tc>
          <w:tcPr>
            <w:tcW w:w="17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6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r>
      <w:tr>
        <w:trPr>
          <w:trHeight w:val="402"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营业收入（元）</w:t>
            </w:r>
          </w:p>
        </w:tc>
        <w:tc>
          <w:tcPr>
            <w:tcW w:w="173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837,627,576.70</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769,619,720.03</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8.84%</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683,488,129.76</w:t>
            </w:r>
          </w:p>
        </w:tc>
      </w:tr>
      <w:tr>
        <w:trPr>
          <w:trHeight w:val="714"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归属于上市公司股东的净利润</w:t>
            </w:r>
          </w:p>
          <w:p>
            <w:pPr>
              <w:pStyle w:val="TableParagraph"/>
              <w:spacing w:line="240" w:lineRule="auto" w:before="77"/>
              <w:ind w:left="22" w:right="0"/>
              <w:jc w:val="left"/>
              <w:rPr>
                <w:rFonts w:ascii="宋体" w:hAnsi="宋体" w:cs="宋体" w:eastAsia="宋体" w:hint="default"/>
                <w:sz w:val="18"/>
                <w:szCs w:val="18"/>
              </w:rPr>
            </w:pPr>
            <w:r>
              <w:rPr>
                <w:rFonts w:ascii="宋体" w:hAnsi="宋体" w:cs="宋体" w:eastAsia="宋体" w:hint="default"/>
                <w:sz w:val="18"/>
                <w:szCs w:val="18"/>
              </w:rPr>
              <w:t>（元）</w:t>
            </w:r>
          </w:p>
        </w:tc>
        <w:tc>
          <w:tcPr>
            <w:tcW w:w="173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96,112,608.43</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119,671,217.16</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-19.69%</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84,850,220.15</w:t>
            </w:r>
          </w:p>
        </w:tc>
      </w:tr>
      <w:tr>
        <w:trPr>
          <w:trHeight w:val="714"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66"/>
              <w:jc w:val="left"/>
              <w:rPr>
                <w:rFonts w:ascii="宋体" w:hAnsi="宋体" w:cs="宋体" w:eastAsia="宋体" w:hint="default"/>
                <w:sz w:val="18"/>
                <w:szCs w:val="18"/>
              </w:rPr>
            </w:pPr>
            <w:r>
              <w:rPr>
                <w:rFonts w:ascii="宋体" w:hAnsi="宋体" w:cs="宋体" w:eastAsia="宋体" w:hint="default"/>
                <w:sz w:val="18"/>
                <w:szCs w:val="18"/>
              </w:rPr>
              <w:t>归属于上市公司股东的扣除非经 常性损益的净利润（元）</w:t>
            </w:r>
          </w:p>
        </w:tc>
        <w:tc>
          <w:tcPr>
            <w:tcW w:w="173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84,840,232.07</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114,225,842.90</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-25.73%</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80,581,131.49</w:t>
            </w:r>
          </w:p>
        </w:tc>
      </w:tr>
      <w:tr>
        <w:trPr>
          <w:trHeight w:val="755" w:hRule="exact"/>
        </w:trPr>
        <w:tc>
          <w:tcPr>
            <w:tcW w:w="2621" w:type="dxa"/>
            <w:tcBorders>
              <w:top w:val="single" w:sz="4" w:space="0" w:color="000000"/>
              <w:left w:val="single" w:sz="4" w:space="0" w:color="000000"/>
              <w:bottom w:val="single" w:sz="4" w:space="0" w:color="FFFFFF"/>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p>
            <w:pPr>
              <w:pStyle w:val="TableParagraph"/>
              <w:spacing w:line="240" w:lineRule="auto" w:before="77"/>
              <w:ind w:left="22" w:right="0"/>
              <w:jc w:val="left"/>
              <w:rPr>
                <w:rFonts w:ascii="宋体" w:hAnsi="宋体" w:cs="宋体" w:eastAsia="宋体" w:hint="default"/>
                <w:sz w:val="18"/>
                <w:szCs w:val="18"/>
              </w:rPr>
            </w:pPr>
            <w:r>
              <w:rPr>
                <w:rFonts w:ascii="宋体" w:hAnsi="宋体" w:cs="宋体" w:eastAsia="宋体" w:hint="default"/>
                <w:sz w:val="18"/>
                <w:szCs w:val="18"/>
              </w:rPr>
              <w:t>（元）</w:t>
            </w:r>
          </w:p>
        </w:tc>
        <w:tc>
          <w:tcPr>
            <w:tcW w:w="1739" w:type="dxa"/>
            <w:tcBorders>
              <w:top w:val="single" w:sz="4" w:space="0" w:color="000000"/>
              <w:left w:val="single" w:sz="13" w:space="0" w:color="D2D2D2"/>
              <w:bottom w:val="single" w:sz="4" w:space="0" w:color="FFFFFF"/>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30,446,464.52</w:t>
            </w:r>
          </w:p>
        </w:tc>
        <w:tc>
          <w:tcPr>
            <w:tcW w:w="1736"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65,411,485.56</w:t>
            </w:r>
          </w:p>
        </w:tc>
        <w:tc>
          <w:tcPr>
            <w:tcW w:w="1738"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-53.45%</w:t>
            </w:r>
          </w:p>
        </w:tc>
        <w:tc>
          <w:tcPr>
            <w:tcW w:w="1735"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140,431,576.89</w:t>
            </w:r>
          </w:p>
        </w:tc>
      </w:tr>
      <w:tr>
        <w:trPr>
          <w:trHeight w:val="558" w:hRule="exact"/>
        </w:trPr>
        <w:tc>
          <w:tcPr>
            <w:tcW w:w="2621" w:type="dxa"/>
            <w:tcBorders>
              <w:top w:val="single" w:sz="4" w:space="0" w:color="FFFFFF"/>
              <w:left w:val="single" w:sz="4" w:space="0" w:color="000000"/>
              <w:bottom w:val="single" w:sz="4" w:space="0" w:color="FFFFFF"/>
              <w:right w:val="single" w:sz="4" w:space="0" w:color="000000"/>
            </w:tcBorders>
            <w:shd w:val="clear" w:color="auto" w:fill="D2D2D2"/>
          </w:tcPr>
          <w:p>
            <w:pPr>
              <w:pStyle w:val="TableParagraph"/>
              <w:spacing w:line="240" w:lineRule="auto" w:before="88"/>
              <w:ind w:left="22" w:right="0"/>
              <w:jc w:val="left"/>
              <w:rPr>
                <w:rFonts w:ascii="宋体" w:hAnsi="宋体" w:cs="宋体" w:eastAsia="宋体" w:hint="default"/>
                <w:sz w:val="18"/>
                <w:szCs w:val="18"/>
              </w:rPr>
            </w:pPr>
            <w:r>
              <w:rPr>
                <w:rFonts w:ascii="宋体" w:hAnsi="宋体" w:cs="宋体" w:eastAsia="宋体" w:hint="default"/>
                <w:sz w:val="18"/>
                <w:szCs w:val="18"/>
              </w:rPr>
              <w:t>基本每股收益（元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739" w:type="dxa"/>
            <w:tcBorders>
              <w:top w:val="single" w:sz="4" w:space="0" w:color="FFFFFF"/>
              <w:left w:val="single" w:sz="13" w:space="0" w:color="D2D2D2"/>
              <w:bottom w:val="single" w:sz="4" w:space="0" w:color="FFFFFF"/>
              <w:right w:val="single" w:sz="4" w:space="0" w:color="000000"/>
            </w:tcBorders>
          </w:tcPr>
          <w:p>
            <w:pPr>
              <w:pStyle w:val="TableParagraph"/>
              <w:spacing w:line="240" w:lineRule="auto" w:before="127"/>
              <w:ind w:right="21"/>
              <w:jc w:val="right"/>
              <w:rPr>
                <w:rFonts w:ascii="Times New Roman" w:hAnsi="Times New Roman" w:cs="Times New Roman" w:eastAsia="Times New Roman" w:hint="default"/>
                <w:sz w:val="18"/>
                <w:szCs w:val="18"/>
              </w:rPr>
            </w:pPr>
            <w:r>
              <w:rPr>
                <w:rFonts w:ascii="Times New Roman"/>
                <w:sz w:val="18"/>
              </w:rPr>
              <w:t>0.1988</w:t>
            </w:r>
          </w:p>
        </w:tc>
        <w:tc>
          <w:tcPr>
            <w:tcW w:w="1736" w:type="dxa"/>
            <w:tcBorders>
              <w:top w:val="single" w:sz="4" w:space="0" w:color="FFFFFF"/>
              <w:left w:val="single" w:sz="4" w:space="0" w:color="000000"/>
              <w:bottom w:val="single" w:sz="4" w:space="0" w:color="FFFFFF"/>
              <w:right w:val="single" w:sz="4" w:space="0" w:color="000000"/>
            </w:tcBorders>
          </w:tcPr>
          <w:p>
            <w:pPr>
              <w:pStyle w:val="TableParagraph"/>
              <w:spacing w:line="240" w:lineRule="auto" w:before="127"/>
              <w:ind w:right="19"/>
              <w:jc w:val="right"/>
              <w:rPr>
                <w:rFonts w:ascii="Times New Roman" w:hAnsi="Times New Roman" w:cs="Times New Roman" w:eastAsia="Times New Roman" w:hint="default"/>
                <w:sz w:val="18"/>
                <w:szCs w:val="18"/>
              </w:rPr>
            </w:pPr>
            <w:r>
              <w:rPr>
                <w:rFonts w:ascii="Times New Roman"/>
                <w:sz w:val="18"/>
              </w:rPr>
              <w:t>0.2443</w:t>
            </w:r>
          </w:p>
        </w:tc>
        <w:tc>
          <w:tcPr>
            <w:tcW w:w="1738" w:type="dxa"/>
            <w:tcBorders>
              <w:top w:val="single" w:sz="4" w:space="0" w:color="FFFFFF"/>
              <w:left w:val="single" w:sz="4" w:space="0" w:color="000000"/>
              <w:bottom w:val="single" w:sz="4" w:space="0" w:color="FFFFFF"/>
              <w:right w:val="single" w:sz="4" w:space="0" w:color="000000"/>
            </w:tcBorders>
          </w:tcPr>
          <w:p>
            <w:pPr>
              <w:pStyle w:val="TableParagraph"/>
              <w:spacing w:line="240" w:lineRule="auto" w:before="127"/>
              <w:ind w:right="21"/>
              <w:jc w:val="right"/>
              <w:rPr>
                <w:rFonts w:ascii="Times New Roman" w:hAnsi="Times New Roman" w:cs="Times New Roman" w:eastAsia="Times New Roman" w:hint="default"/>
                <w:sz w:val="18"/>
                <w:szCs w:val="18"/>
              </w:rPr>
            </w:pPr>
            <w:r>
              <w:rPr>
                <w:rFonts w:ascii="Times New Roman"/>
                <w:sz w:val="18"/>
              </w:rPr>
              <w:t>-18.62%</w:t>
            </w:r>
          </w:p>
        </w:tc>
        <w:tc>
          <w:tcPr>
            <w:tcW w:w="1735" w:type="dxa"/>
            <w:tcBorders>
              <w:top w:val="single" w:sz="4" w:space="0" w:color="FFFFFF"/>
              <w:left w:val="single" w:sz="4" w:space="0" w:color="000000"/>
              <w:bottom w:val="single" w:sz="4" w:space="0" w:color="FFFFFF"/>
              <w:right w:val="single" w:sz="4" w:space="0" w:color="000000"/>
            </w:tcBorders>
          </w:tcPr>
          <w:p>
            <w:pPr>
              <w:pStyle w:val="TableParagraph"/>
              <w:spacing w:line="240" w:lineRule="auto" w:before="127"/>
              <w:ind w:right="19"/>
              <w:jc w:val="right"/>
              <w:rPr>
                <w:rFonts w:ascii="Times New Roman" w:hAnsi="Times New Roman" w:cs="Times New Roman" w:eastAsia="Times New Roman" w:hint="default"/>
                <w:sz w:val="18"/>
                <w:szCs w:val="18"/>
              </w:rPr>
            </w:pPr>
            <w:r>
              <w:rPr>
                <w:rFonts w:ascii="Times New Roman"/>
                <w:sz w:val="18"/>
              </w:rPr>
              <w:t>0.28</w:t>
            </w:r>
          </w:p>
        </w:tc>
      </w:tr>
      <w:tr>
        <w:trPr>
          <w:trHeight w:val="558" w:hRule="exact"/>
        </w:trPr>
        <w:tc>
          <w:tcPr>
            <w:tcW w:w="2621" w:type="dxa"/>
            <w:tcBorders>
              <w:top w:val="single" w:sz="4" w:space="0" w:color="FFFFFF"/>
              <w:left w:val="single" w:sz="4" w:space="0" w:color="000000"/>
              <w:bottom w:val="single" w:sz="4" w:space="0" w:color="FFFFFF"/>
              <w:right w:val="single" w:sz="4" w:space="0" w:color="000000"/>
            </w:tcBorders>
            <w:shd w:val="clear" w:color="auto" w:fill="D2D2D2"/>
          </w:tcPr>
          <w:p>
            <w:pPr>
              <w:pStyle w:val="TableParagraph"/>
              <w:spacing w:line="240" w:lineRule="auto" w:before="88"/>
              <w:ind w:left="22" w:right="0"/>
              <w:jc w:val="left"/>
              <w:rPr>
                <w:rFonts w:ascii="宋体" w:hAnsi="宋体" w:cs="宋体" w:eastAsia="宋体" w:hint="default"/>
                <w:sz w:val="18"/>
                <w:szCs w:val="18"/>
              </w:rPr>
            </w:pPr>
            <w:r>
              <w:rPr>
                <w:rFonts w:ascii="宋体" w:hAnsi="宋体" w:cs="宋体" w:eastAsia="宋体" w:hint="default"/>
                <w:sz w:val="18"/>
                <w:szCs w:val="18"/>
              </w:rPr>
              <w:t>稀释每股收益（元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739" w:type="dxa"/>
            <w:tcBorders>
              <w:top w:val="single" w:sz="4" w:space="0" w:color="FFFFFF"/>
              <w:left w:val="single" w:sz="13" w:space="0" w:color="D2D2D2"/>
              <w:bottom w:val="single" w:sz="4" w:space="0" w:color="FFFFFF"/>
              <w:right w:val="single" w:sz="4" w:space="0" w:color="000000"/>
            </w:tcBorders>
          </w:tcPr>
          <w:p>
            <w:pPr>
              <w:pStyle w:val="TableParagraph"/>
              <w:spacing w:line="240" w:lineRule="auto" w:before="127"/>
              <w:ind w:right="21"/>
              <w:jc w:val="right"/>
              <w:rPr>
                <w:rFonts w:ascii="Times New Roman" w:hAnsi="Times New Roman" w:cs="Times New Roman" w:eastAsia="Times New Roman" w:hint="default"/>
                <w:sz w:val="18"/>
                <w:szCs w:val="18"/>
              </w:rPr>
            </w:pPr>
            <w:r>
              <w:rPr>
                <w:rFonts w:ascii="Times New Roman"/>
                <w:sz w:val="18"/>
              </w:rPr>
              <w:t>0.1988</w:t>
            </w:r>
          </w:p>
        </w:tc>
        <w:tc>
          <w:tcPr>
            <w:tcW w:w="1736" w:type="dxa"/>
            <w:tcBorders>
              <w:top w:val="single" w:sz="4" w:space="0" w:color="FFFFFF"/>
              <w:left w:val="single" w:sz="4" w:space="0" w:color="000000"/>
              <w:bottom w:val="single" w:sz="4" w:space="0" w:color="FFFFFF"/>
              <w:right w:val="single" w:sz="4" w:space="0" w:color="000000"/>
            </w:tcBorders>
          </w:tcPr>
          <w:p>
            <w:pPr>
              <w:pStyle w:val="TableParagraph"/>
              <w:spacing w:line="240" w:lineRule="auto" w:before="127"/>
              <w:ind w:right="19"/>
              <w:jc w:val="right"/>
              <w:rPr>
                <w:rFonts w:ascii="Times New Roman" w:hAnsi="Times New Roman" w:cs="Times New Roman" w:eastAsia="Times New Roman" w:hint="default"/>
                <w:sz w:val="18"/>
                <w:szCs w:val="18"/>
              </w:rPr>
            </w:pPr>
            <w:r>
              <w:rPr>
                <w:rFonts w:ascii="Times New Roman"/>
                <w:sz w:val="18"/>
              </w:rPr>
              <w:t>0.2443</w:t>
            </w:r>
          </w:p>
        </w:tc>
        <w:tc>
          <w:tcPr>
            <w:tcW w:w="1738" w:type="dxa"/>
            <w:tcBorders>
              <w:top w:val="single" w:sz="4" w:space="0" w:color="FFFFFF"/>
              <w:left w:val="single" w:sz="4" w:space="0" w:color="000000"/>
              <w:bottom w:val="single" w:sz="4" w:space="0" w:color="FFFFFF"/>
              <w:right w:val="single" w:sz="4" w:space="0" w:color="000000"/>
            </w:tcBorders>
          </w:tcPr>
          <w:p>
            <w:pPr>
              <w:pStyle w:val="TableParagraph"/>
              <w:spacing w:line="240" w:lineRule="auto" w:before="127"/>
              <w:ind w:right="21"/>
              <w:jc w:val="right"/>
              <w:rPr>
                <w:rFonts w:ascii="Times New Roman" w:hAnsi="Times New Roman" w:cs="Times New Roman" w:eastAsia="Times New Roman" w:hint="default"/>
                <w:sz w:val="18"/>
                <w:szCs w:val="18"/>
              </w:rPr>
            </w:pPr>
            <w:r>
              <w:rPr>
                <w:rFonts w:ascii="Times New Roman"/>
                <w:sz w:val="18"/>
              </w:rPr>
              <w:t>-18.62%</w:t>
            </w:r>
          </w:p>
        </w:tc>
        <w:tc>
          <w:tcPr>
            <w:tcW w:w="1735" w:type="dxa"/>
            <w:tcBorders>
              <w:top w:val="single" w:sz="4" w:space="0" w:color="FFFFFF"/>
              <w:left w:val="single" w:sz="4" w:space="0" w:color="000000"/>
              <w:bottom w:val="single" w:sz="4" w:space="0" w:color="FFFFFF"/>
              <w:right w:val="single" w:sz="4" w:space="0" w:color="000000"/>
            </w:tcBorders>
          </w:tcPr>
          <w:p>
            <w:pPr>
              <w:pStyle w:val="TableParagraph"/>
              <w:spacing w:line="240" w:lineRule="auto" w:before="127"/>
              <w:ind w:right="19"/>
              <w:jc w:val="right"/>
              <w:rPr>
                <w:rFonts w:ascii="Times New Roman" w:hAnsi="Times New Roman" w:cs="Times New Roman" w:eastAsia="Times New Roman" w:hint="default"/>
                <w:sz w:val="18"/>
                <w:szCs w:val="18"/>
              </w:rPr>
            </w:pPr>
            <w:r>
              <w:rPr>
                <w:rFonts w:ascii="Times New Roman"/>
                <w:sz w:val="18"/>
              </w:rPr>
              <w:t>0.28</w:t>
            </w:r>
          </w:p>
        </w:tc>
      </w:tr>
      <w:tr>
        <w:trPr>
          <w:trHeight w:val="517" w:hRule="exact"/>
        </w:trPr>
        <w:tc>
          <w:tcPr>
            <w:tcW w:w="2621" w:type="dxa"/>
            <w:tcBorders>
              <w:top w:val="single" w:sz="4" w:space="0" w:color="FFFFFF"/>
              <w:left w:val="single" w:sz="4" w:space="0" w:color="000000"/>
              <w:bottom w:val="single" w:sz="4" w:space="0" w:color="000000"/>
              <w:right w:val="single" w:sz="4" w:space="0" w:color="000000"/>
            </w:tcBorders>
            <w:shd w:val="clear" w:color="auto" w:fill="D2D2D2"/>
          </w:tcPr>
          <w:p>
            <w:pPr>
              <w:pStyle w:val="TableParagraph"/>
              <w:spacing w:line="240" w:lineRule="auto" w:before="88"/>
              <w:ind w:left="22" w:right="0"/>
              <w:jc w:val="left"/>
              <w:rPr>
                <w:rFonts w:ascii="宋体" w:hAnsi="宋体" w:cs="宋体" w:eastAsia="宋体" w:hint="default"/>
                <w:sz w:val="18"/>
                <w:szCs w:val="18"/>
              </w:rPr>
            </w:pPr>
            <w:r>
              <w:rPr>
                <w:rFonts w:ascii="宋体" w:hAnsi="宋体" w:cs="宋体" w:eastAsia="宋体" w:hint="default"/>
                <w:sz w:val="18"/>
                <w:szCs w:val="18"/>
              </w:rPr>
              <w:t>加权平均净资产收益率</w:t>
            </w:r>
          </w:p>
        </w:tc>
        <w:tc>
          <w:tcPr>
            <w:tcW w:w="1739" w:type="dxa"/>
            <w:tcBorders>
              <w:top w:val="single" w:sz="4" w:space="0" w:color="FFFFFF"/>
              <w:left w:val="single" w:sz="13" w:space="0" w:color="D2D2D2"/>
              <w:bottom w:val="single" w:sz="4" w:space="0" w:color="000000"/>
              <w:right w:val="single" w:sz="4" w:space="0" w:color="000000"/>
            </w:tcBorders>
          </w:tcPr>
          <w:p>
            <w:pPr>
              <w:pStyle w:val="TableParagraph"/>
              <w:spacing w:line="240" w:lineRule="auto" w:before="127"/>
              <w:ind w:right="21"/>
              <w:jc w:val="right"/>
              <w:rPr>
                <w:rFonts w:ascii="Times New Roman" w:hAnsi="Times New Roman" w:cs="Times New Roman" w:eastAsia="Times New Roman" w:hint="default"/>
                <w:sz w:val="18"/>
                <w:szCs w:val="18"/>
              </w:rPr>
            </w:pPr>
            <w:r>
              <w:rPr>
                <w:rFonts w:ascii="Times New Roman"/>
                <w:sz w:val="18"/>
              </w:rPr>
              <w:t>6.87%</w:t>
            </w:r>
          </w:p>
        </w:tc>
        <w:tc>
          <w:tcPr>
            <w:tcW w:w="1736"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127"/>
              <w:ind w:right="19"/>
              <w:jc w:val="right"/>
              <w:rPr>
                <w:rFonts w:ascii="Times New Roman" w:hAnsi="Times New Roman" w:cs="Times New Roman" w:eastAsia="Times New Roman" w:hint="default"/>
                <w:sz w:val="18"/>
                <w:szCs w:val="18"/>
              </w:rPr>
            </w:pPr>
            <w:r>
              <w:rPr>
                <w:rFonts w:ascii="Times New Roman"/>
                <w:sz w:val="18"/>
              </w:rPr>
              <w:t>9.57%</w:t>
            </w:r>
          </w:p>
        </w:tc>
        <w:tc>
          <w:tcPr>
            <w:tcW w:w="1738"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127"/>
              <w:ind w:right="21"/>
              <w:jc w:val="right"/>
              <w:rPr>
                <w:rFonts w:ascii="Times New Roman" w:hAnsi="Times New Roman" w:cs="Times New Roman" w:eastAsia="Times New Roman" w:hint="default"/>
                <w:sz w:val="18"/>
                <w:szCs w:val="18"/>
              </w:rPr>
            </w:pPr>
            <w:r>
              <w:rPr>
                <w:rFonts w:ascii="Times New Roman"/>
                <w:sz w:val="18"/>
              </w:rPr>
              <w:t>-2.70%</w:t>
            </w:r>
          </w:p>
        </w:tc>
        <w:tc>
          <w:tcPr>
            <w:tcW w:w="1735"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127"/>
              <w:ind w:right="19"/>
              <w:jc w:val="right"/>
              <w:rPr>
                <w:rFonts w:ascii="Times New Roman" w:hAnsi="Times New Roman" w:cs="Times New Roman" w:eastAsia="Times New Roman" w:hint="default"/>
                <w:sz w:val="18"/>
                <w:szCs w:val="18"/>
              </w:rPr>
            </w:pPr>
            <w:r>
              <w:rPr>
                <w:rFonts w:ascii="Times New Roman"/>
                <w:sz w:val="18"/>
              </w:rPr>
              <w:t>9.75%</w:t>
            </w:r>
          </w:p>
        </w:tc>
      </w:tr>
      <w:tr>
        <w:trPr>
          <w:trHeight w:val="402"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7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8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c>
          <w:tcPr>
            <w:tcW w:w="1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8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c>
          <w:tcPr>
            <w:tcW w:w="17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53"/>
              <w:jc w:val="right"/>
              <w:rPr>
                <w:rFonts w:ascii="宋体" w:hAnsi="宋体" w:cs="宋体" w:eastAsia="宋体" w:hint="default"/>
                <w:sz w:val="18"/>
                <w:szCs w:val="18"/>
              </w:rPr>
            </w:pPr>
            <w:r>
              <w:rPr>
                <w:rFonts w:ascii="宋体" w:hAnsi="宋体" w:cs="宋体" w:eastAsia="宋体" w:hint="default"/>
                <w:sz w:val="18"/>
                <w:szCs w:val="18"/>
              </w:rPr>
              <w:t>本年末比上年末增减</w:t>
            </w:r>
          </w:p>
        </w:tc>
        <w:tc>
          <w:tcPr>
            <w:tcW w:w="17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7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r>
      <w:tr>
        <w:trPr>
          <w:trHeight w:val="402"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资产总额（元）</w:t>
            </w:r>
          </w:p>
        </w:tc>
        <w:tc>
          <w:tcPr>
            <w:tcW w:w="173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2,109,236,347.89</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2,038,092,539.69</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3.49%</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1,814,313,795.60</w:t>
            </w:r>
          </w:p>
        </w:tc>
      </w:tr>
      <w:tr>
        <w:trPr>
          <w:trHeight w:val="714"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归属于上市公司股东的净资产</w:t>
            </w:r>
          </w:p>
          <w:p>
            <w:pPr>
              <w:pStyle w:val="TableParagraph"/>
              <w:spacing w:line="240" w:lineRule="auto" w:before="77"/>
              <w:ind w:left="22" w:right="0"/>
              <w:jc w:val="left"/>
              <w:rPr>
                <w:rFonts w:ascii="宋体" w:hAnsi="宋体" w:cs="宋体" w:eastAsia="宋体" w:hint="default"/>
                <w:sz w:val="18"/>
                <w:szCs w:val="18"/>
              </w:rPr>
            </w:pPr>
            <w:r>
              <w:rPr>
                <w:rFonts w:ascii="宋体" w:hAnsi="宋体" w:cs="宋体" w:eastAsia="宋体" w:hint="default"/>
                <w:sz w:val="18"/>
                <w:szCs w:val="18"/>
              </w:rPr>
              <w:t>（元）</w:t>
            </w:r>
          </w:p>
        </w:tc>
        <w:tc>
          <w:tcPr>
            <w:tcW w:w="173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1,442,579,183.48</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1,361,604,158.46</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5.95%</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1,198,951,237.06</w:t>
            </w:r>
          </w:p>
        </w:tc>
      </w:tr>
    </w:tbl>
    <w:p>
      <w:pPr>
        <w:spacing w:line="240" w:lineRule="auto" w:before="2"/>
        <w:rPr>
          <w:rFonts w:ascii="宋体" w:hAnsi="宋体" w:cs="宋体" w:eastAsia="宋体" w:hint="default"/>
          <w:sz w:val="18"/>
          <w:szCs w:val="18"/>
        </w:rPr>
      </w:pPr>
    </w:p>
    <w:p>
      <w:pPr>
        <w:pStyle w:val="Heading2"/>
        <w:spacing w:line="240" w:lineRule="auto" w:before="26"/>
        <w:ind w:right="1117"/>
        <w:jc w:val="left"/>
        <w:rPr>
          <w:b w:val="0"/>
          <w:bCs w:val="0"/>
        </w:rPr>
      </w:pPr>
      <w:bookmarkStart w:name="六、分季度主要财务指标" w:id="9"/>
      <w:bookmarkEnd w:id="9"/>
      <w:r>
        <w:rPr>
          <w:b w:val="0"/>
          <w:bCs w:val="0"/>
        </w:rPr>
      </w:r>
      <w:r>
        <w:rPr/>
        <w:t>六、分季度主要财务指标</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2598"/>
        <w:gridCol w:w="1752"/>
        <w:gridCol w:w="1739"/>
        <w:gridCol w:w="1740"/>
        <w:gridCol w:w="1729"/>
      </w:tblGrid>
      <w:tr>
        <w:trPr>
          <w:trHeight w:val="402"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7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15" w:right="0"/>
              <w:jc w:val="left"/>
              <w:rPr>
                <w:rFonts w:ascii="宋体" w:hAnsi="宋体" w:cs="宋体" w:eastAsia="宋体" w:hint="default"/>
                <w:sz w:val="18"/>
                <w:szCs w:val="18"/>
              </w:rPr>
            </w:pPr>
            <w:r>
              <w:rPr>
                <w:rFonts w:ascii="宋体" w:hAnsi="宋体" w:cs="宋体" w:eastAsia="宋体" w:hint="default"/>
                <w:sz w:val="18"/>
                <w:szCs w:val="18"/>
              </w:rPr>
              <w:t>第一季度</w:t>
            </w:r>
          </w:p>
        </w:tc>
        <w:tc>
          <w:tcPr>
            <w:tcW w:w="17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04" w:right="0"/>
              <w:jc w:val="left"/>
              <w:rPr>
                <w:rFonts w:ascii="宋体" w:hAnsi="宋体" w:cs="宋体" w:eastAsia="宋体" w:hint="default"/>
                <w:sz w:val="18"/>
                <w:szCs w:val="18"/>
              </w:rPr>
            </w:pPr>
            <w:r>
              <w:rPr>
                <w:rFonts w:ascii="宋体" w:hAnsi="宋体" w:cs="宋体" w:eastAsia="宋体" w:hint="default"/>
                <w:sz w:val="18"/>
                <w:szCs w:val="18"/>
              </w:rPr>
              <w:t>第二季度</w:t>
            </w:r>
          </w:p>
        </w:tc>
        <w:tc>
          <w:tcPr>
            <w:tcW w:w="17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05" w:right="0"/>
              <w:jc w:val="left"/>
              <w:rPr>
                <w:rFonts w:ascii="宋体" w:hAnsi="宋体" w:cs="宋体" w:eastAsia="宋体" w:hint="default"/>
                <w:sz w:val="18"/>
                <w:szCs w:val="18"/>
              </w:rPr>
            </w:pPr>
            <w:r>
              <w:rPr>
                <w:rFonts w:ascii="宋体" w:hAnsi="宋体" w:cs="宋体" w:eastAsia="宋体" w:hint="default"/>
                <w:sz w:val="18"/>
                <w:szCs w:val="18"/>
              </w:rPr>
              <w:t>第三季度</w:t>
            </w:r>
          </w:p>
        </w:tc>
        <w:tc>
          <w:tcPr>
            <w:tcW w:w="17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99" w:right="0"/>
              <w:jc w:val="left"/>
              <w:rPr>
                <w:rFonts w:ascii="宋体" w:hAnsi="宋体" w:cs="宋体" w:eastAsia="宋体" w:hint="default"/>
                <w:sz w:val="18"/>
                <w:szCs w:val="18"/>
              </w:rPr>
            </w:pPr>
            <w:r>
              <w:rPr>
                <w:rFonts w:ascii="宋体" w:hAnsi="宋体" w:cs="宋体" w:eastAsia="宋体" w:hint="default"/>
                <w:sz w:val="18"/>
                <w:szCs w:val="18"/>
              </w:rPr>
              <w:t>第四季度</w:t>
            </w:r>
          </w:p>
        </w:tc>
      </w:tr>
      <w:tr>
        <w:trPr>
          <w:trHeight w:val="402"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75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left="581" w:right="0"/>
              <w:jc w:val="left"/>
              <w:rPr>
                <w:rFonts w:ascii="Times New Roman" w:hAnsi="Times New Roman" w:cs="Times New Roman" w:eastAsia="Times New Roman" w:hint="default"/>
                <w:sz w:val="18"/>
                <w:szCs w:val="18"/>
              </w:rPr>
            </w:pPr>
            <w:r>
              <w:rPr>
                <w:rFonts w:ascii="Times New Roman"/>
                <w:sz w:val="18"/>
              </w:rPr>
              <w:t>132,158,072.07</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80" w:right="0"/>
              <w:jc w:val="left"/>
              <w:rPr>
                <w:rFonts w:ascii="Times New Roman" w:hAnsi="Times New Roman" w:cs="Times New Roman" w:eastAsia="Times New Roman" w:hint="default"/>
                <w:sz w:val="18"/>
                <w:szCs w:val="18"/>
              </w:rPr>
            </w:pPr>
            <w:r>
              <w:rPr>
                <w:rFonts w:ascii="Times New Roman"/>
                <w:sz w:val="18"/>
              </w:rPr>
              <w:t>143,414,638.74</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81" w:right="0"/>
              <w:jc w:val="left"/>
              <w:rPr>
                <w:rFonts w:ascii="Times New Roman" w:hAnsi="Times New Roman" w:cs="Times New Roman" w:eastAsia="Times New Roman" w:hint="default"/>
                <w:sz w:val="18"/>
                <w:szCs w:val="18"/>
              </w:rPr>
            </w:pPr>
            <w:r>
              <w:rPr>
                <w:rFonts w:ascii="Times New Roman"/>
                <w:sz w:val="18"/>
              </w:rPr>
              <w:t>191,093,288.89</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72" w:right="0"/>
              <w:jc w:val="left"/>
              <w:rPr>
                <w:rFonts w:ascii="Times New Roman" w:hAnsi="Times New Roman" w:cs="Times New Roman" w:eastAsia="Times New Roman" w:hint="default"/>
                <w:sz w:val="18"/>
                <w:szCs w:val="18"/>
              </w:rPr>
            </w:pPr>
            <w:r>
              <w:rPr>
                <w:rFonts w:ascii="Times New Roman"/>
                <w:sz w:val="18"/>
              </w:rPr>
              <w:t>370,961,577.00</w:t>
            </w:r>
          </w:p>
        </w:tc>
      </w:tr>
    </w:tbl>
    <w:p>
      <w:pPr>
        <w:spacing w:after="0" w:line="240" w:lineRule="auto"/>
        <w:jc w:val="left"/>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2621"/>
        <w:gridCol w:w="1740"/>
        <w:gridCol w:w="1739"/>
        <w:gridCol w:w="1740"/>
        <w:gridCol w:w="1729"/>
      </w:tblGrid>
      <w:tr>
        <w:trPr>
          <w:trHeight w:val="402"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归属于上市公司股东的净利润</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-13,093,861.50</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3,631,768.29</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28,808,118.93</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76,766,582.71</w:t>
            </w:r>
          </w:p>
        </w:tc>
      </w:tr>
      <w:tr>
        <w:trPr>
          <w:trHeight w:val="714"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66"/>
              <w:jc w:val="left"/>
              <w:rPr>
                <w:rFonts w:ascii="宋体" w:hAnsi="宋体" w:cs="宋体" w:eastAsia="宋体" w:hint="default"/>
                <w:sz w:val="18"/>
                <w:szCs w:val="18"/>
              </w:rPr>
            </w:pPr>
            <w:r>
              <w:rPr>
                <w:rFonts w:ascii="宋体" w:hAnsi="宋体" w:cs="宋体" w:eastAsia="宋体" w:hint="default"/>
                <w:sz w:val="18"/>
                <w:szCs w:val="18"/>
              </w:rPr>
              <w:t>归属于上市公司股东的扣除非经 常性损益的净利润</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-13,198,488.13</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-2,858,661.07</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27,563,139.23</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73,334,242.04</w:t>
            </w:r>
          </w:p>
        </w:tc>
      </w:tr>
      <w:tr>
        <w:trPr>
          <w:trHeight w:val="402"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-129,001,258.39</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-43,591,235.39</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-58,257,065.12</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261,296,023.42</w:t>
            </w:r>
          </w:p>
        </w:tc>
      </w:tr>
    </w:tbl>
    <w:p>
      <w:pPr>
        <w:spacing w:before="51"/>
        <w:ind w:left="154" w:right="1117" w:firstLine="0"/>
        <w:jc w:val="left"/>
        <w:rPr>
          <w:rFonts w:ascii="宋体" w:hAnsi="宋体" w:cs="宋体" w:eastAsia="宋体" w:hint="default"/>
          <w:sz w:val="18"/>
          <w:szCs w:val="18"/>
        </w:rPr>
      </w:pPr>
      <w:r>
        <w:rPr>
          <w:rFonts w:ascii="宋体" w:hAnsi="宋体" w:cs="宋体" w:eastAsia="宋体" w:hint="default"/>
          <w:sz w:val="18"/>
          <w:szCs w:val="18"/>
        </w:rPr>
        <w:t>上述财务指标或其加总数是否与公司已披露季度报告、半年度报告相关财务指标存在重大差异</w:t>
      </w:r>
    </w:p>
    <w:p>
      <w:pPr>
        <w:spacing w:before="117"/>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否</w:t>
      </w:r>
    </w:p>
    <w:p>
      <w:pPr>
        <w:spacing w:line="240" w:lineRule="auto" w:before="12"/>
        <w:rPr>
          <w:rFonts w:ascii="宋体" w:hAnsi="宋体" w:cs="宋体" w:eastAsia="宋体" w:hint="default"/>
          <w:sz w:val="23"/>
          <w:szCs w:val="23"/>
        </w:rPr>
      </w:pPr>
    </w:p>
    <w:p>
      <w:pPr>
        <w:pStyle w:val="Heading2"/>
        <w:spacing w:line="240" w:lineRule="auto"/>
        <w:ind w:right="1117"/>
        <w:jc w:val="left"/>
        <w:rPr>
          <w:b w:val="0"/>
          <w:bCs w:val="0"/>
        </w:rPr>
      </w:pPr>
      <w:bookmarkStart w:name="七、境内外会计准则下会计数据差异" w:id="10"/>
      <w:bookmarkEnd w:id="10"/>
      <w:r>
        <w:rPr>
          <w:b w:val="0"/>
          <w:bCs w:val="0"/>
        </w:rPr>
      </w:r>
      <w:r>
        <w:rPr/>
        <w:t>七、境内外会计准则下会计数据差异</w:t>
      </w:r>
      <w:r>
        <w:rPr>
          <w:b w:val="0"/>
          <w:bCs w:val="0"/>
        </w:rPr>
      </w:r>
    </w:p>
    <w:p>
      <w:pPr>
        <w:spacing w:line="240" w:lineRule="auto" w:before="9"/>
        <w:rPr>
          <w:rFonts w:ascii="宋体" w:hAnsi="宋体" w:cs="宋体" w:eastAsia="宋体" w:hint="default"/>
          <w:b/>
          <w:bCs/>
          <w:sz w:val="24"/>
          <w:szCs w:val="24"/>
        </w:rPr>
      </w:pPr>
    </w:p>
    <w:p>
      <w:pPr>
        <w:pStyle w:val="Heading4"/>
        <w:spacing w:line="240" w:lineRule="auto"/>
        <w:ind w:right="1117"/>
        <w:jc w:val="left"/>
        <w:rPr>
          <w:b w:val="0"/>
          <w:bCs w:val="0"/>
        </w:rPr>
      </w:pPr>
      <w:bookmarkStart w:name="1、同时按照国际会计准则与按照中国会计准则披露的财务报告中净利润和净资产差异情况" w:id="11"/>
      <w:bookmarkEnd w:id="11"/>
      <w:r>
        <w:rPr>
          <w:b w:val="0"/>
          <w:bCs w:val="0"/>
        </w:rPr>
      </w:r>
      <w:r>
        <w:rPr>
          <w:rFonts w:ascii="Times New Roman" w:hAnsi="Times New Roman" w:cs="Times New Roman" w:eastAsia="Times New Roman" w:hint="default"/>
        </w:rPr>
        <w:t>1</w:t>
      </w:r>
      <w:r>
        <w:rPr/>
        <w:t>、同时按照国际会计准则与按照中国会计准则披露的财务报告中净利润和净资产差异情况</w:t>
      </w:r>
      <w:r>
        <w:rPr>
          <w:b w:val="0"/>
          <w:bCs w:val="0"/>
        </w:rPr>
      </w:r>
    </w:p>
    <w:p>
      <w:pPr>
        <w:spacing w:line="240" w:lineRule="auto" w:before="8"/>
        <w:rPr>
          <w:rFonts w:ascii="宋体" w:hAnsi="宋体" w:cs="宋体" w:eastAsia="宋体" w:hint="default"/>
          <w:b/>
          <w:bCs/>
          <w:sz w:val="26"/>
          <w:szCs w:val="26"/>
        </w:rPr>
      </w:pPr>
    </w:p>
    <w:p>
      <w:pPr>
        <w:spacing w:line="338" w:lineRule="auto" w:before="0"/>
        <w:ind w:left="154" w:right="139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公司报告期不存在按照国际会计准则与按照中国会计准则披露的财务报告中净利润和净资产差异情况。</w:t>
      </w:r>
    </w:p>
    <w:p>
      <w:pPr>
        <w:spacing w:line="240" w:lineRule="auto" w:before="2"/>
        <w:rPr>
          <w:rFonts w:ascii="宋体" w:hAnsi="宋体" w:cs="宋体" w:eastAsia="宋体" w:hint="default"/>
          <w:sz w:val="21"/>
          <w:szCs w:val="21"/>
        </w:rPr>
      </w:pPr>
    </w:p>
    <w:p>
      <w:pPr>
        <w:pStyle w:val="Heading4"/>
        <w:spacing w:line="240" w:lineRule="auto"/>
        <w:ind w:right="1117"/>
        <w:jc w:val="left"/>
        <w:rPr>
          <w:b w:val="0"/>
          <w:bCs w:val="0"/>
        </w:rPr>
      </w:pPr>
      <w:bookmarkStart w:name="2、同时按照境外会计准则与按照中国会计准则披露的财务报告中净利润和净资产差异情况" w:id="12"/>
      <w:bookmarkEnd w:id="12"/>
      <w:r>
        <w:rPr>
          <w:b w:val="0"/>
          <w:bCs w:val="0"/>
        </w:rPr>
      </w:r>
      <w:r>
        <w:rPr>
          <w:rFonts w:ascii="Times New Roman" w:hAnsi="Times New Roman" w:cs="Times New Roman" w:eastAsia="Times New Roman" w:hint="default"/>
        </w:rPr>
        <w:t>2</w:t>
      </w:r>
      <w:r>
        <w:rPr/>
        <w:t>、同时按照境外会计准则与按照中国会计准则披露的财务报告中净利润和净资产差异情况</w:t>
      </w:r>
      <w:r>
        <w:rPr>
          <w:b w:val="0"/>
          <w:bCs w:val="0"/>
        </w:rPr>
      </w:r>
    </w:p>
    <w:p>
      <w:pPr>
        <w:spacing w:line="240" w:lineRule="auto" w:before="9"/>
        <w:rPr>
          <w:rFonts w:ascii="宋体" w:hAnsi="宋体" w:cs="宋体" w:eastAsia="宋体" w:hint="default"/>
          <w:b/>
          <w:bCs/>
          <w:sz w:val="26"/>
          <w:szCs w:val="26"/>
        </w:rPr>
      </w:pPr>
    </w:p>
    <w:p>
      <w:pPr>
        <w:spacing w:line="338" w:lineRule="auto" w:before="0"/>
        <w:ind w:left="154" w:right="265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公司报告期不存在按照境外会计准则与按照中国会计准则披露的财务报告中净利润和净资产差异情况。</w:t>
      </w:r>
    </w:p>
    <w:p>
      <w:pPr>
        <w:spacing w:line="240" w:lineRule="auto" w:before="4"/>
        <w:rPr>
          <w:rFonts w:ascii="宋体" w:hAnsi="宋体" w:cs="宋体" w:eastAsia="宋体" w:hint="default"/>
          <w:sz w:val="19"/>
          <w:szCs w:val="19"/>
        </w:rPr>
      </w:pPr>
    </w:p>
    <w:p>
      <w:pPr>
        <w:pStyle w:val="Heading2"/>
        <w:spacing w:line="240" w:lineRule="auto"/>
        <w:ind w:right="1117"/>
        <w:jc w:val="left"/>
        <w:rPr>
          <w:b w:val="0"/>
          <w:bCs w:val="0"/>
        </w:rPr>
      </w:pPr>
      <w:bookmarkStart w:name="八、非经常性损益项目及金额" w:id="13"/>
      <w:bookmarkEnd w:id="13"/>
      <w:r>
        <w:rPr>
          <w:b w:val="0"/>
          <w:bCs w:val="0"/>
        </w:rPr>
      </w:r>
      <w:r>
        <w:rPr/>
        <w:t>八、非经常性损益项目及金额</w:t>
      </w:r>
      <w:r>
        <w:rPr>
          <w:b w:val="0"/>
          <w:bCs w:val="0"/>
        </w:rPr>
      </w:r>
    </w:p>
    <w:p>
      <w:pPr>
        <w:spacing w:line="240" w:lineRule="auto" w:before="4"/>
        <w:rPr>
          <w:rFonts w:ascii="宋体" w:hAnsi="宋体" w:cs="宋体" w:eastAsia="宋体" w:hint="default"/>
          <w:b/>
          <w:bCs/>
          <w:sz w:val="23"/>
          <w:szCs w:val="23"/>
        </w:rPr>
      </w:pPr>
    </w:p>
    <w:p>
      <w:pPr>
        <w:spacing w:before="44"/>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before="102"/>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297"/>
        <w:gridCol w:w="1520"/>
        <w:gridCol w:w="1520"/>
        <w:gridCol w:w="1522"/>
        <w:gridCol w:w="1710"/>
      </w:tblGrid>
      <w:tr>
        <w:trPr>
          <w:trHeight w:val="402" w:hRule="exact"/>
        </w:trPr>
        <w:tc>
          <w:tcPr>
            <w:tcW w:w="32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8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年金额</w:t>
            </w:r>
          </w:p>
        </w:tc>
        <w:tc>
          <w:tcPr>
            <w:tcW w:w="15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8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年金额</w:t>
            </w:r>
          </w:p>
        </w:tc>
        <w:tc>
          <w:tcPr>
            <w:tcW w:w="15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8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年金额</w:t>
            </w:r>
          </w:p>
        </w:tc>
        <w:tc>
          <w:tcPr>
            <w:tcW w:w="17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说明</w:t>
            </w:r>
          </w:p>
        </w:tc>
      </w:tr>
      <w:tr>
        <w:trPr>
          <w:trHeight w:val="714" w:hRule="exact"/>
        </w:trPr>
        <w:tc>
          <w:tcPr>
            <w:tcW w:w="32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22"/>
              <w:jc w:val="left"/>
              <w:rPr>
                <w:rFonts w:ascii="宋体" w:hAnsi="宋体" w:cs="宋体" w:eastAsia="宋体" w:hint="default"/>
                <w:sz w:val="18"/>
                <w:szCs w:val="18"/>
              </w:rPr>
            </w:pPr>
            <w:r>
              <w:rPr>
                <w:rFonts w:ascii="宋体" w:hAnsi="宋体" w:cs="宋体" w:eastAsia="宋体" w:hint="default"/>
                <w:sz w:val="18"/>
                <w:szCs w:val="18"/>
              </w:rPr>
              <w:t>非流动资产处置损益（包括已计提资产减 值准备的冲销部分）</w:t>
            </w:r>
          </w:p>
        </w:tc>
        <w:tc>
          <w:tcPr>
            <w:tcW w:w="152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5"/>
                <w:sz w:val="18"/>
              </w:rPr>
              <w:t>-225,825.93</w:t>
            </w:r>
            <w:r>
              <w:rPr>
                <w:rFonts w:ascii="Times New Roman"/>
                <w:sz w:val="18"/>
              </w:rPr>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5"/>
                <w:sz w:val="18"/>
              </w:rPr>
              <w:t>-106,446.49</w:t>
            </w:r>
            <w:r>
              <w:rPr>
                <w:rFonts w:ascii="Times New Roman"/>
                <w:sz w:val="18"/>
              </w:rPr>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5"/>
                <w:sz w:val="18"/>
              </w:rPr>
              <w:t>-67,928.84</w:t>
            </w:r>
            <w:r>
              <w:rPr>
                <w:rFonts w:ascii="Times New Roman"/>
                <w:sz w:val="18"/>
              </w:rPr>
            </w:r>
          </w:p>
        </w:tc>
        <w:tc>
          <w:tcPr>
            <w:tcW w:w="1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处置固定资产损失</w:t>
            </w:r>
          </w:p>
        </w:tc>
      </w:tr>
      <w:tr>
        <w:trPr>
          <w:trHeight w:val="1026" w:hRule="exact"/>
        </w:trPr>
        <w:tc>
          <w:tcPr>
            <w:tcW w:w="32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22"/>
              <w:jc w:val="both"/>
              <w:rPr>
                <w:rFonts w:ascii="宋体" w:hAnsi="宋体" w:cs="宋体" w:eastAsia="宋体" w:hint="default"/>
                <w:sz w:val="18"/>
                <w:szCs w:val="18"/>
              </w:rPr>
            </w:pPr>
            <w:r>
              <w:rPr>
                <w:rFonts w:ascii="宋体" w:hAnsi="宋体" w:cs="宋体" w:eastAsia="宋体" w:hint="default"/>
                <w:sz w:val="18"/>
                <w:szCs w:val="18"/>
              </w:rPr>
              <w:t>计入当期损益的政府补助（与企业业务密 切相关，按照国家统一标准定额或定量享 受的政府补助除外）</w:t>
            </w:r>
          </w:p>
        </w:tc>
        <w:tc>
          <w:tcPr>
            <w:tcW w:w="152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6,170,396.86</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3,751,268.00</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4,343,229.85</w:t>
            </w:r>
          </w:p>
        </w:tc>
        <w:tc>
          <w:tcPr>
            <w:tcW w:w="1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3" w:right="54"/>
              <w:jc w:val="left"/>
              <w:rPr>
                <w:rFonts w:ascii="宋体" w:hAnsi="宋体" w:cs="宋体" w:eastAsia="宋体" w:hint="default"/>
                <w:sz w:val="18"/>
                <w:szCs w:val="18"/>
              </w:rPr>
            </w:pPr>
            <w:r>
              <w:rPr>
                <w:rFonts w:ascii="宋体" w:hAnsi="宋体" w:cs="宋体" w:eastAsia="宋体" w:hint="default"/>
                <w:sz w:val="18"/>
                <w:szCs w:val="18"/>
              </w:rPr>
              <w:t>除增值税软件退税外 的政府补助</w:t>
            </w:r>
          </w:p>
        </w:tc>
      </w:tr>
      <w:tr>
        <w:trPr>
          <w:trHeight w:val="161" w:hRule="exact"/>
        </w:trPr>
        <w:tc>
          <w:tcPr>
            <w:tcW w:w="3297" w:type="dxa"/>
            <w:tcBorders>
              <w:top w:val="single" w:sz="4" w:space="0" w:color="000000"/>
              <w:left w:val="single" w:sz="4" w:space="0" w:color="000000"/>
              <w:bottom w:val="nil" w:sz="6" w:space="0" w:color="auto"/>
              <w:right w:val="single" w:sz="4" w:space="0" w:color="000000"/>
            </w:tcBorders>
            <w:shd w:val="clear" w:color="auto" w:fill="D2D2D2"/>
          </w:tcPr>
          <w:p>
            <w:pPr/>
          </w:p>
        </w:tc>
        <w:tc>
          <w:tcPr>
            <w:tcW w:w="1520" w:type="dxa"/>
            <w:vMerge w:val="restart"/>
            <w:tcBorders>
              <w:top w:val="single" w:sz="4" w:space="0" w:color="000000"/>
              <w:left w:val="single" w:sz="10" w:space="0" w:color="D2D2D2"/>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35" w:right="0"/>
              <w:jc w:val="left"/>
              <w:rPr>
                <w:rFonts w:ascii="Times New Roman" w:hAnsi="Times New Roman" w:cs="Times New Roman" w:eastAsia="Times New Roman" w:hint="default"/>
                <w:sz w:val="18"/>
                <w:szCs w:val="18"/>
              </w:rPr>
            </w:pPr>
            <w:r>
              <w:rPr>
                <w:rFonts w:ascii="Times New Roman"/>
                <w:sz w:val="18"/>
              </w:rPr>
              <w:t>2,048,388.38</w:t>
            </w:r>
          </w:p>
        </w:tc>
        <w:tc>
          <w:tcPr>
            <w:tcW w:w="1520"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43" w:right="0"/>
              <w:jc w:val="left"/>
              <w:rPr>
                <w:rFonts w:ascii="Times New Roman" w:hAnsi="Times New Roman" w:cs="Times New Roman" w:eastAsia="Times New Roman" w:hint="default"/>
                <w:sz w:val="18"/>
                <w:szCs w:val="18"/>
              </w:rPr>
            </w:pPr>
            <w:r>
              <w:rPr>
                <w:rFonts w:ascii="Times New Roman"/>
                <w:sz w:val="18"/>
              </w:rPr>
              <w:t>2,868,931.51</w:t>
            </w:r>
          </w:p>
        </w:tc>
        <w:tc>
          <w:tcPr>
            <w:tcW w:w="1522" w:type="dxa"/>
            <w:vMerge w:val="restart"/>
            <w:tcBorders>
              <w:top w:val="single" w:sz="4" w:space="0" w:color="000000"/>
              <w:left w:val="single" w:sz="4" w:space="0" w:color="000000"/>
              <w:right w:val="single" w:sz="4" w:space="0" w:color="000000"/>
            </w:tcBorders>
          </w:tcPr>
          <w:p>
            <w:pPr/>
          </w:p>
        </w:tc>
        <w:tc>
          <w:tcPr>
            <w:tcW w:w="1710" w:type="dxa"/>
            <w:vMerge w:val="restart"/>
            <w:tcBorders>
              <w:top w:val="single" w:sz="4" w:space="0" w:color="000000"/>
              <w:left w:val="single" w:sz="4" w:space="0" w:color="000000"/>
              <w:right w:val="single" w:sz="4" w:space="0" w:color="000000"/>
            </w:tcBorders>
          </w:tcPr>
          <w:p>
            <w:pPr>
              <w:pStyle w:val="TableParagraph"/>
              <w:spacing w:line="316" w:lineRule="auto" w:before="51"/>
              <w:ind w:left="23" w:right="54"/>
              <w:jc w:val="left"/>
              <w:rPr>
                <w:rFonts w:ascii="宋体" w:hAnsi="宋体" w:cs="宋体" w:eastAsia="宋体" w:hint="default"/>
                <w:sz w:val="18"/>
                <w:szCs w:val="18"/>
              </w:rPr>
            </w:pPr>
            <w:r>
              <w:rPr>
                <w:rFonts w:ascii="宋体" w:hAnsi="宋体" w:cs="宋体" w:eastAsia="宋体" w:hint="default"/>
                <w:sz w:val="18"/>
                <w:szCs w:val="18"/>
              </w:rPr>
              <w:t>募集资金购买理财产 品利息收入</w:t>
            </w:r>
          </w:p>
        </w:tc>
      </w:tr>
      <w:tr>
        <w:trPr>
          <w:trHeight w:val="392" w:hRule="exact"/>
        </w:trPr>
        <w:tc>
          <w:tcPr>
            <w:tcW w:w="329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委托他人投资或管理资产的损益</w:t>
            </w:r>
          </w:p>
        </w:tc>
        <w:tc>
          <w:tcPr>
            <w:tcW w:w="1520" w:type="dxa"/>
            <w:vMerge/>
            <w:tcBorders>
              <w:left w:val="single" w:sz="10" w:space="0" w:color="D2D2D2"/>
              <w:right w:val="single" w:sz="4" w:space="0" w:color="000000"/>
            </w:tcBorders>
          </w:tcPr>
          <w:p>
            <w:pPr/>
          </w:p>
        </w:tc>
        <w:tc>
          <w:tcPr>
            <w:tcW w:w="1520" w:type="dxa"/>
            <w:vMerge/>
            <w:tcBorders>
              <w:left w:val="single" w:sz="4" w:space="0" w:color="000000"/>
              <w:right w:val="single" w:sz="4" w:space="0" w:color="000000"/>
            </w:tcBorders>
          </w:tcPr>
          <w:p>
            <w:pPr/>
          </w:p>
        </w:tc>
        <w:tc>
          <w:tcPr>
            <w:tcW w:w="1522" w:type="dxa"/>
            <w:vMerge/>
            <w:tcBorders>
              <w:left w:val="single" w:sz="4" w:space="0" w:color="000000"/>
              <w:right w:val="single" w:sz="4" w:space="0" w:color="000000"/>
            </w:tcBorders>
          </w:tcPr>
          <w:p>
            <w:pPr/>
          </w:p>
        </w:tc>
        <w:tc>
          <w:tcPr>
            <w:tcW w:w="1710" w:type="dxa"/>
            <w:vMerge/>
            <w:tcBorders>
              <w:left w:val="single" w:sz="4" w:space="0" w:color="000000"/>
              <w:right w:val="single" w:sz="4" w:space="0" w:color="000000"/>
            </w:tcBorders>
          </w:tcPr>
          <w:p>
            <w:pPr/>
          </w:p>
        </w:tc>
      </w:tr>
      <w:tr>
        <w:trPr>
          <w:trHeight w:val="161" w:hRule="exact"/>
        </w:trPr>
        <w:tc>
          <w:tcPr>
            <w:tcW w:w="3297" w:type="dxa"/>
            <w:tcBorders>
              <w:top w:val="nil" w:sz="6" w:space="0" w:color="auto"/>
              <w:left w:val="single" w:sz="4" w:space="0" w:color="000000"/>
              <w:bottom w:val="single" w:sz="4" w:space="0" w:color="000000"/>
              <w:right w:val="single" w:sz="4" w:space="0" w:color="000000"/>
            </w:tcBorders>
            <w:shd w:val="clear" w:color="auto" w:fill="D2D2D2"/>
          </w:tcPr>
          <w:p>
            <w:pPr/>
          </w:p>
        </w:tc>
        <w:tc>
          <w:tcPr>
            <w:tcW w:w="1520" w:type="dxa"/>
            <w:vMerge/>
            <w:tcBorders>
              <w:left w:val="single" w:sz="10" w:space="0" w:color="D2D2D2"/>
              <w:bottom w:val="single" w:sz="4" w:space="0" w:color="000000"/>
              <w:right w:val="single" w:sz="4" w:space="0" w:color="000000"/>
            </w:tcBorders>
          </w:tcPr>
          <w:p>
            <w:pPr/>
          </w:p>
        </w:tc>
        <w:tc>
          <w:tcPr>
            <w:tcW w:w="1520" w:type="dxa"/>
            <w:vMerge/>
            <w:tcBorders>
              <w:left w:val="single" w:sz="4" w:space="0" w:color="000000"/>
              <w:bottom w:val="single" w:sz="4" w:space="0" w:color="000000"/>
              <w:right w:val="single" w:sz="4" w:space="0" w:color="000000"/>
            </w:tcBorders>
          </w:tcPr>
          <w:p>
            <w:pPr/>
          </w:p>
        </w:tc>
        <w:tc>
          <w:tcPr>
            <w:tcW w:w="1522" w:type="dxa"/>
            <w:vMerge/>
            <w:tcBorders>
              <w:left w:val="single" w:sz="4" w:space="0" w:color="000000"/>
              <w:bottom w:val="single" w:sz="4" w:space="0" w:color="000000"/>
              <w:right w:val="single" w:sz="4" w:space="0" w:color="000000"/>
            </w:tcBorders>
          </w:tcPr>
          <w:p>
            <w:pPr/>
          </w:p>
        </w:tc>
        <w:tc>
          <w:tcPr>
            <w:tcW w:w="1710" w:type="dxa"/>
            <w:vMerge/>
            <w:tcBorders>
              <w:left w:val="single" w:sz="4" w:space="0" w:color="000000"/>
              <w:bottom w:val="single" w:sz="4" w:space="0" w:color="000000"/>
              <w:right w:val="single" w:sz="4" w:space="0" w:color="000000"/>
            </w:tcBorders>
          </w:tcPr>
          <w:p>
            <w:pPr/>
          </w:p>
        </w:tc>
      </w:tr>
      <w:tr>
        <w:trPr>
          <w:trHeight w:val="714" w:hRule="exact"/>
        </w:trPr>
        <w:tc>
          <w:tcPr>
            <w:tcW w:w="32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22"/>
              <w:jc w:val="left"/>
              <w:rPr>
                <w:rFonts w:ascii="宋体" w:hAnsi="宋体" w:cs="宋体" w:eastAsia="宋体" w:hint="default"/>
                <w:sz w:val="18"/>
                <w:szCs w:val="18"/>
              </w:rPr>
            </w:pPr>
            <w:r>
              <w:rPr>
                <w:rFonts w:ascii="宋体" w:hAnsi="宋体" w:cs="宋体" w:eastAsia="宋体" w:hint="default"/>
                <w:sz w:val="18"/>
                <w:szCs w:val="18"/>
              </w:rPr>
              <w:t>与公司正常经营业务无关的或有事项产生 的损益</w:t>
            </w:r>
          </w:p>
        </w:tc>
        <w:tc>
          <w:tcPr>
            <w:tcW w:w="152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6,402,000.00</w:t>
            </w:r>
          </w:p>
        </w:tc>
        <w:tc>
          <w:tcPr>
            <w:tcW w:w="1520" w:type="dxa"/>
            <w:tcBorders>
              <w:top w:val="single" w:sz="4" w:space="0" w:color="000000"/>
              <w:left w:val="single" w:sz="4" w:space="0" w:color="000000"/>
              <w:bottom w:val="single" w:sz="4" w:space="0" w:color="000000"/>
              <w:right w:val="single" w:sz="4" w:space="0" w:color="000000"/>
            </w:tcBorders>
          </w:tcPr>
          <w:p>
            <w:pPr/>
          </w:p>
        </w:tc>
        <w:tc>
          <w:tcPr>
            <w:tcW w:w="1522" w:type="dxa"/>
            <w:tcBorders>
              <w:top w:val="single" w:sz="4" w:space="0" w:color="000000"/>
              <w:left w:val="single" w:sz="4" w:space="0" w:color="000000"/>
              <w:bottom w:val="single" w:sz="4" w:space="0" w:color="000000"/>
              <w:right w:val="single" w:sz="4" w:space="0" w:color="000000"/>
            </w:tcBorders>
          </w:tcPr>
          <w:p>
            <w:pPr/>
          </w:p>
        </w:tc>
        <w:tc>
          <w:tcPr>
            <w:tcW w:w="1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投资收益款</w:t>
            </w:r>
          </w:p>
        </w:tc>
      </w:tr>
      <w:tr>
        <w:trPr>
          <w:trHeight w:val="1650" w:hRule="exact"/>
        </w:trPr>
        <w:tc>
          <w:tcPr>
            <w:tcW w:w="32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22"/>
              <w:jc w:val="both"/>
              <w:rPr>
                <w:rFonts w:ascii="宋体" w:hAnsi="宋体" w:cs="宋体" w:eastAsia="宋体" w:hint="default"/>
                <w:sz w:val="18"/>
                <w:szCs w:val="18"/>
              </w:rPr>
            </w:pPr>
            <w:r>
              <w:rPr>
                <w:rFonts w:ascii="宋体" w:hAnsi="宋体" w:cs="宋体" w:eastAsia="宋体" w:hint="default"/>
                <w:sz w:val="18"/>
                <w:szCs w:val="18"/>
              </w:rPr>
              <w:t>除同公司正常经营业务相关的有效套期保 值业务外，持有交易性金融资产、交易性 金融负债产生的公允价值变动损益，以及 处置交易性金融资产、交易性金融负债和 可供出售金融资产取得的投资收益</w:t>
            </w:r>
          </w:p>
        </w:tc>
        <w:tc>
          <w:tcPr>
            <w:tcW w:w="1520" w:type="dxa"/>
            <w:tcBorders>
              <w:top w:val="single" w:sz="4" w:space="0" w:color="000000"/>
              <w:left w:val="single" w:sz="13" w:space="0" w:color="D2D2D2"/>
              <w:bottom w:val="single" w:sz="4" w:space="0" w:color="000000"/>
              <w:right w:val="single" w:sz="4" w:space="0" w:color="000000"/>
            </w:tcBorders>
          </w:tcPr>
          <w:p>
            <w:pPr/>
          </w:p>
        </w:tc>
        <w:tc>
          <w:tcPr>
            <w:tcW w:w="1520" w:type="dxa"/>
            <w:tcBorders>
              <w:top w:val="single" w:sz="4" w:space="0" w:color="000000"/>
              <w:left w:val="single" w:sz="4" w:space="0" w:color="000000"/>
              <w:bottom w:val="single" w:sz="4" w:space="0" w:color="000000"/>
              <w:right w:val="single" w:sz="4" w:space="0" w:color="000000"/>
            </w:tcBorders>
          </w:tcPr>
          <w:p>
            <w:pP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5"/>
                <w:sz w:val="18"/>
              </w:rPr>
              <w:t>-71,046.93</w:t>
            </w:r>
            <w:r>
              <w:rPr>
                <w:rFonts w:ascii="Times New Roman"/>
                <w:sz w:val="18"/>
              </w:rPr>
            </w: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除上述各项之外的其他营业外收入和支出</w:t>
            </w:r>
          </w:p>
        </w:tc>
        <w:tc>
          <w:tcPr>
            <w:tcW w:w="152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-994,558.02</w:t>
            </w:r>
            <w:r>
              <w:rPr>
                <w:rFonts w:ascii="Times New Roman"/>
                <w:sz w:val="18"/>
              </w:rPr>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40,938.08</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-1,087,083.83</w:t>
            </w: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其他符合非经常性损益定义的损益项目</w:t>
            </w:r>
          </w:p>
        </w:tc>
        <w:tc>
          <w:tcPr>
            <w:tcW w:w="1520" w:type="dxa"/>
            <w:tcBorders>
              <w:top w:val="single" w:sz="4" w:space="0" w:color="000000"/>
              <w:left w:val="single" w:sz="13" w:space="0" w:color="D2D2D2"/>
              <w:bottom w:val="single" w:sz="4" w:space="0" w:color="000000"/>
              <w:right w:val="single" w:sz="4" w:space="0" w:color="000000"/>
            </w:tcBorders>
          </w:tcPr>
          <w:p>
            <w:pPr/>
          </w:p>
        </w:tc>
        <w:tc>
          <w:tcPr>
            <w:tcW w:w="1520" w:type="dxa"/>
            <w:tcBorders>
              <w:top w:val="single" w:sz="4" w:space="0" w:color="000000"/>
              <w:left w:val="single" w:sz="4" w:space="0" w:color="000000"/>
              <w:bottom w:val="single" w:sz="4" w:space="0" w:color="000000"/>
              <w:right w:val="single" w:sz="4" w:space="0" w:color="000000"/>
            </w:tcBorders>
          </w:tcPr>
          <w:p>
            <w:pP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1,899,768.20</w:t>
            </w:r>
          </w:p>
        </w:tc>
        <w:tc>
          <w:tcPr>
            <w:tcW w:w="171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3297"/>
        <w:gridCol w:w="1520"/>
        <w:gridCol w:w="1520"/>
        <w:gridCol w:w="1522"/>
        <w:gridCol w:w="1710"/>
      </w:tblGrid>
      <w:tr>
        <w:trPr>
          <w:trHeight w:val="402" w:hRule="exact"/>
        </w:trPr>
        <w:tc>
          <w:tcPr>
            <w:tcW w:w="32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减：所得税影响额</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2,010,060.19</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983,203.66</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746,919.53</w:t>
            </w: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少数股东权益影响额（税后）</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117,964.74</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126,113.18</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930.26</w:t>
            </w: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11,272,376.36</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5,445,374.26</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4,269,088.66</w:t>
            </w:r>
          </w:p>
        </w:tc>
        <w:tc>
          <w:tcPr>
            <w:tcW w:w="17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pacing w:val="-3"/>
          <w:sz w:val="18"/>
          <w:szCs w:val="18"/>
        </w:rPr>
        <w:t>对公司根据《公开发行证券的公司信息披露解释性公告第</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5"/>
          <w:sz w:val="18"/>
          <w:szCs w:val="18"/>
        </w:rPr>
        <w:t> </w:t>
      </w:r>
      <w:r>
        <w:rPr>
          <w:rFonts w:ascii="宋体" w:hAnsi="宋体" w:cs="宋体" w:eastAsia="宋体" w:hint="default"/>
          <w:spacing w:val="-7"/>
          <w:sz w:val="18"/>
          <w:szCs w:val="18"/>
        </w:rPr>
        <w:t>号</w:t>
      </w:r>
      <w:r>
        <w:rPr>
          <w:rFonts w:ascii="Times New Roman" w:hAnsi="Times New Roman" w:cs="Times New Roman" w:eastAsia="Times New Roman" w:hint="default"/>
          <w:spacing w:val="-7"/>
          <w:sz w:val="18"/>
          <w:szCs w:val="18"/>
        </w:rPr>
        <w:t>——</w:t>
      </w:r>
      <w:r>
        <w:rPr>
          <w:rFonts w:ascii="宋体" w:hAnsi="宋体" w:cs="宋体" w:eastAsia="宋体" w:hint="default"/>
          <w:spacing w:val="-7"/>
          <w:sz w:val="18"/>
          <w:szCs w:val="18"/>
        </w:rPr>
        <w:t>非经常性损益》定义界定的非经常性损益项目，以及把《公</w:t>
      </w:r>
    </w:p>
    <w:p>
      <w:pPr>
        <w:spacing w:line="302" w:lineRule="auto" w:before="63"/>
        <w:ind w:left="154" w:right="1118" w:firstLine="0"/>
        <w:jc w:val="left"/>
        <w:rPr>
          <w:rFonts w:ascii="宋体" w:hAnsi="宋体" w:cs="宋体" w:eastAsia="宋体" w:hint="default"/>
          <w:sz w:val="18"/>
          <w:szCs w:val="18"/>
        </w:rPr>
      </w:pPr>
      <w:r>
        <w:rPr>
          <w:rFonts w:ascii="宋体" w:hAnsi="宋体" w:cs="宋体" w:eastAsia="宋体" w:hint="default"/>
          <w:sz w:val="18"/>
          <w:szCs w:val="18"/>
        </w:rPr>
        <w:t>开发行证券的公司信息披露解释性公告第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6"/>
          <w:sz w:val="18"/>
          <w:szCs w:val="18"/>
        </w:rPr>
        <w:t> </w:t>
      </w:r>
      <w:r>
        <w:rPr>
          <w:rFonts w:ascii="宋体" w:hAnsi="宋体" w:cs="宋体" w:eastAsia="宋体" w:hint="default"/>
          <w:spacing w:val="-3"/>
          <w:sz w:val="18"/>
          <w:szCs w:val="18"/>
        </w:rPr>
        <w:t>号</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非经常性损益》中列举的非经常性损益项目界定为经常性损益的项目，应</w:t>
      </w:r>
      <w:r>
        <w:rPr>
          <w:rFonts w:ascii="宋体" w:hAnsi="宋体" w:cs="宋体" w:eastAsia="宋体" w:hint="default"/>
          <w:sz w:val="18"/>
          <w:szCs w:val="18"/>
        </w:rPr>
        <w:t> 说明原因</w:t>
      </w:r>
    </w:p>
    <w:p>
      <w:pPr>
        <w:spacing w:before="69"/>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302" w:lineRule="auto" w:before="101"/>
        <w:ind w:left="154" w:right="1115" w:firstLine="0"/>
        <w:jc w:val="left"/>
        <w:rPr>
          <w:rFonts w:ascii="宋体" w:hAnsi="宋体" w:cs="宋体" w:eastAsia="宋体" w:hint="default"/>
          <w:sz w:val="18"/>
          <w:szCs w:val="18"/>
        </w:rPr>
      </w:pPr>
      <w:r>
        <w:rPr>
          <w:rFonts w:ascii="宋体" w:hAnsi="宋体" w:cs="宋体" w:eastAsia="宋体" w:hint="default"/>
          <w:sz w:val="18"/>
          <w:szCs w:val="18"/>
        </w:rPr>
        <w:t>公司报告期不存在将根据《公开发行证券的公司信息披露解释性公告第</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9"/>
          <w:sz w:val="18"/>
          <w:szCs w:val="18"/>
        </w:rPr>
        <w:t> </w:t>
      </w:r>
      <w:r>
        <w:rPr>
          <w:rFonts w:ascii="宋体" w:hAnsi="宋体" w:cs="宋体" w:eastAsia="宋体" w:hint="default"/>
          <w:spacing w:val="-3"/>
          <w:sz w:val="18"/>
          <w:szCs w:val="18"/>
        </w:rPr>
        <w:t>号</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非经常性损益》定义、列举的非经常性损益</w:t>
      </w:r>
      <w:r>
        <w:rPr>
          <w:rFonts w:ascii="宋体" w:hAnsi="宋体" w:cs="宋体" w:eastAsia="宋体" w:hint="default"/>
          <w:sz w:val="18"/>
          <w:szCs w:val="18"/>
        </w:rPr>
        <w:t> 项目界定为经常性损益的项目的情形。</w:t>
      </w:r>
    </w:p>
    <w:p>
      <w:pPr>
        <w:spacing w:after="0" w:line="302" w:lineRule="auto"/>
        <w:jc w:val="left"/>
        <w:rPr>
          <w:rFonts w:ascii="宋体" w:hAnsi="宋体" w:cs="宋体" w:eastAsia="宋体" w:hint="default"/>
          <w:sz w:val="18"/>
          <w:szCs w:val="18"/>
        </w:rPr>
        <w:sectPr>
          <w:pgSz w:w="11910" w:h="16840"/>
          <w:pgMar w:header="747" w:footer="979" w:top="106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0"/>
          <w:szCs w:val="20"/>
        </w:rPr>
      </w:pPr>
    </w:p>
    <w:p>
      <w:pPr>
        <w:pStyle w:val="Heading1"/>
        <w:spacing w:line="240" w:lineRule="auto"/>
        <w:ind w:left="3447" w:right="1117"/>
        <w:jc w:val="left"/>
        <w:rPr>
          <w:b w:val="0"/>
          <w:bCs w:val="0"/>
        </w:rPr>
      </w:pPr>
      <w:bookmarkStart w:name="第三节 公司业务概要" w:id="14"/>
      <w:bookmarkEnd w:id="14"/>
      <w:r>
        <w:rPr>
          <w:b w:val="0"/>
          <w:bCs w:val="0"/>
        </w:rPr>
      </w:r>
      <w:bookmarkStart w:name="_bookmark1" w:id="15"/>
      <w:bookmarkEnd w:id="15"/>
      <w:r>
        <w:rPr>
          <w:b w:val="0"/>
          <w:bCs w:val="0"/>
        </w:rPr>
      </w:r>
      <w:r>
        <w:rPr/>
        <w:t>第三节</w:t>
      </w:r>
      <w:r>
        <w:rPr>
          <w:spacing w:val="-7"/>
        </w:rPr>
        <w:t> </w:t>
      </w:r>
      <w:r>
        <w:rPr/>
        <w:t>公司业务概要</w:t>
      </w:r>
      <w:r>
        <w:rPr>
          <w:b w:val="0"/>
          <w:bCs w:val="0"/>
        </w:rPr>
      </w:r>
    </w:p>
    <w:p>
      <w:pPr>
        <w:spacing w:line="240" w:lineRule="auto" w:before="12"/>
        <w:rPr>
          <w:rFonts w:ascii="宋体" w:hAnsi="宋体" w:cs="宋体" w:eastAsia="宋体" w:hint="default"/>
          <w:b/>
          <w:bCs/>
          <w:sz w:val="38"/>
          <w:szCs w:val="38"/>
        </w:rPr>
      </w:pPr>
    </w:p>
    <w:p>
      <w:pPr>
        <w:pStyle w:val="Heading2"/>
        <w:spacing w:line="240" w:lineRule="auto"/>
        <w:ind w:right="0"/>
        <w:jc w:val="both"/>
        <w:rPr>
          <w:b w:val="0"/>
          <w:bCs w:val="0"/>
        </w:rPr>
      </w:pPr>
      <w:bookmarkStart w:name="一、报告期内公司从事的主要业务" w:id="16"/>
      <w:bookmarkEnd w:id="16"/>
      <w:r>
        <w:rPr>
          <w:b w:val="0"/>
          <w:bCs w:val="0"/>
        </w:rPr>
      </w:r>
      <w:r>
        <w:rPr/>
        <w:t>一、报告期内公司从事的主要业务</w:t>
      </w:r>
      <w:r>
        <w:rPr>
          <w:b w:val="0"/>
          <w:bCs w:val="0"/>
        </w:rPr>
      </w:r>
    </w:p>
    <w:p>
      <w:pPr>
        <w:spacing w:line="240" w:lineRule="auto" w:before="7"/>
        <w:rPr>
          <w:rFonts w:ascii="宋体" w:hAnsi="宋体" w:cs="宋体" w:eastAsia="宋体" w:hint="default"/>
          <w:b/>
          <w:bCs/>
          <w:sz w:val="26"/>
          <w:szCs w:val="26"/>
        </w:rPr>
      </w:pPr>
    </w:p>
    <w:p>
      <w:pPr>
        <w:spacing w:line="360" w:lineRule="auto" w:before="0"/>
        <w:ind w:left="154" w:right="7692" w:firstLine="0"/>
        <w:jc w:val="left"/>
        <w:rPr>
          <w:rFonts w:ascii="宋体" w:hAnsi="宋体" w:cs="宋体" w:eastAsia="宋体" w:hint="default"/>
          <w:sz w:val="18"/>
          <w:szCs w:val="18"/>
        </w:rPr>
      </w:pPr>
      <w:r>
        <w:rPr>
          <w:rFonts w:ascii="宋体" w:hAnsi="宋体" w:cs="宋体" w:eastAsia="宋体" w:hint="default"/>
          <w:sz w:val="18"/>
          <w:szCs w:val="18"/>
        </w:rPr>
        <w:t>公司是否需要遵守特殊行业的披露要求 否</w:t>
      </w:r>
    </w:p>
    <w:p>
      <w:pPr>
        <w:pStyle w:val="BodyText"/>
        <w:spacing w:line="408" w:lineRule="auto" w:before="77"/>
        <w:ind w:right="1131" w:firstLine="420"/>
        <w:jc w:val="both"/>
      </w:pPr>
      <w:r>
        <w:rPr>
          <w:spacing w:val="-1"/>
        </w:rPr>
        <w:t>公司自设立以来，始终专注于高校信息化、教育信息化解决方案建设，并不断拓展多行业信息化应用</w:t>
      </w:r>
      <w:r>
        <w:rPr/>
        <w:t> </w:t>
      </w:r>
      <w:r>
        <w:rPr>
          <w:spacing w:val="-1"/>
        </w:rPr>
        <w:t>服务。报告期内，公司依托自身科技服务能力，为客户赋能，提供集智慧校园、智慧教育及校园移动互联</w:t>
      </w:r>
      <w:r>
        <w:rPr>
          <w:spacing w:val="-83"/>
        </w:rPr>
        <w:t> </w:t>
      </w:r>
      <w:r>
        <w:rPr>
          <w:spacing w:val="-83"/>
        </w:rPr>
      </w:r>
      <w:r>
        <w:rPr/>
        <w:t>服务在内的综合解决方案。</w:t>
      </w:r>
    </w:p>
    <w:p>
      <w:pPr>
        <w:pStyle w:val="BodyText"/>
        <w:spacing w:line="403" w:lineRule="auto"/>
        <w:ind w:right="1130" w:firstLine="420"/>
        <w:jc w:val="both"/>
      </w:pPr>
      <w:r>
        <w:rPr>
          <w:rFonts w:ascii="Times New Roman" w:hAnsi="Times New Roman" w:cs="Times New Roman" w:eastAsia="Times New Roman" w:hint="default"/>
          <w:spacing w:val="-1"/>
        </w:rPr>
        <w:t>2018</w:t>
      </w:r>
      <w:r>
        <w:rPr>
          <w:spacing w:val="-1"/>
        </w:rPr>
        <w:t>年度，公司持续围绕研发及运营的核心优势，以使命愿景凝聚团队、以科技创新拓展市场、以一</w:t>
      </w:r>
      <w:r>
        <w:rPr/>
        <w:t> </w:t>
      </w:r>
      <w:r>
        <w:rPr>
          <w:spacing w:val="-1"/>
        </w:rPr>
        <w:t>线持续的卓越品质服务赢得客户的长期信赖，为全国各地的高校、高职、中职、普高等学校提供校园信息</w:t>
      </w:r>
      <w:r>
        <w:rPr>
          <w:spacing w:val="-85"/>
        </w:rPr>
        <w:t> </w:t>
      </w:r>
      <w:r>
        <w:rPr>
          <w:spacing w:val="-85"/>
        </w:rPr>
      </w:r>
      <w:r>
        <w:rPr>
          <w:spacing w:val="-5"/>
        </w:rPr>
        <w:t>化管理、教育信息化产品和定制化整体解决方案及运营服务。同时，公司通过移动互联网平台的创新服务，</w:t>
      </w:r>
      <w:r>
        <w:rPr>
          <w:spacing w:val="-101"/>
        </w:rPr>
        <w:t> </w:t>
      </w:r>
      <w:r>
        <w:rPr>
          <w:spacing w:val="-101"/>
        </w:rPr>
      </w:r>
      <w:r>
        <w:rPr>
          <w:spacing w:val="-1"/>
        </w:rPr>
        <w:t>构建大数据分析应用平台，围绕着“硬件</w:t>
      </w:r>
      <w:r>
        <w:rPr>
          <w:rFonts w:ascii="宋体" w:hAnsi="宋体" w:cs="宋体" w:eastAsia="宋体" w:hint="default"/>
          <w:spacing w:val="-1"/>
        </w:rPr>
        <w:t>+</w:t>
      </w:r>
      <w:r>
        <w:rPr>
          <w:spacing w:val="-1"/>
        </w:rPr>
        <w:t>软件”、“产品</w:t>
      </w:r>
      <w:r>
        <w:rPr>
          <w:rFonts w:ascii="宋体" w:hAnsi="宋体" w:cs="宋体" w:eastAsia="宋体" w:hint="default"/>
          <w:spacing w:val="-1"/>
        </w:rPr>
        <w:t>+</w:t>
      </w:r>
      <w:r>
        <w:rPr>
          <w:spacing w:val="-1"/>
        </w:rPr>
        <w:t>服务”、“平台</w:t>
      </w:r>
      <w:r>
        <w:rPr>
          <w:rFonts w:ascii="宋体" w:hAnsi="宋体" w:cs="宋体" w:eastAsia="宋体" w:hint="default"/>
          <w:spacing w:val="-1"/>
        </w:rPr>
        <w:t>+</w:t>
      </w:r>
      <w:r>
        <w:rPr>
          <w:spacing w:val="-1"/>
        </w:rPr>
        <w:t>内容”、“线上</w:t>
      </w:r>
      <w:r>
        <w:rPr>
          <w:rFonts w:ascii="宋体" w:hAnsi="宋体" w:cs="宋体" w:eastAsia="宋体" w:hint="default"/>
          <w:spacing w:val="-1"/>
        </w:rPr>
        <w:t>+</w:t>
      </w:r>
      <w:r>
        <w:rPr>
          <w:spacing w:val="-1"/>
        </w:rPr>
        <w:t>线下”生态</w:t>
      </w:r>
      <w:r>
        <w:rPr>
          <w:spacing w:val="-83"/>
        </w:rPr>
        <w:t> </w:t>
      </w:r>
      <w:r>
        <w:rPr>
          <w:spacing w:val="-83"/>
        </w:rPr>
      </w:r>
      <w:r>
        <w:rPr/>
        <w:t>体系建设，为广大学校、大型企事业单位提供智慧解决方案、产业互联网、物联网运维服务。</w:t>
      </w:r>
    </w:p>
    <w:p>
      <w:pPr>
        <w:pStyle w:val="BodyText"/>
        <w:spacing w:line="405" w:lineRule="auto" w:before="50"/>
        <w:ind w:right="1129" w:firstLine="420"/>
        <w:jc w:val="both"/>
      </w:pPr>
      <w:r>
        <w:rPr>
          <w:spacing w:val="-6"/>
        </w:rPr>
        <w:t>报告期内，公司依托专业的高校信息化服务能力，不断创新服务形式与内容，打造并全方位推广以“高</w:t>
      </w:r>
      <w:r>
        <w:rPr/>
        <w:t> </w:t>
      </w:r>
      <w:r>
        <w:rPr>
          <w:spacing w:val="-7"/>
        </w:rPr>
        <w:t>校互联网</w:t>
      </w:r>
      <w:r>
        <w:rPr>
          <w:rFonts w:ascii="宋体" w:hAnsi="宋体" w:cs="宋体" w:eastAsia="宋体" w:hint="default"/>
          <w:spacing w:val="-7"/>
        </w:rPr>
        <w:t>+</w:t>
      </w:r>
      <w:r>
        <w:rPr>
          <w:spacing w:val="-7"/>
        </w:rPr>
        <w:t>”、大学生在校学习生活、大学生就业、成就创业人才为目标的</w:t>
      </w:r>
      <w:r>
        <w:rPr>
          <w:rFonts w:ascii="Times New Roman" w:hAnsi="Times New Roman" w:cs="Times New Roman" w:eastAsia="Times New Roman" w:hint="default"/>
          <w:spacing w:val="-7"/>
        </w:rPr>
        <w:t>“</w:t>
      </w:r>
      <w:r>
        <w:rPr>
          <w:spacing w:val="-7"/>
        </w:rPr>
        <w:t>完美校园</w:t>
      </w:r>
      <w:r>
        <w:rPr>
          <w:rFonts w:ascii="Times New Roman" w:hAnsi="Times New Roman" w:cs="Times New Roman" w:eastAsia="Times New Roman" w:hint="default"/>
          <w:spacing w:val="-7"/>
        </w:rPr>
        <w:t>”</w:t>
      </w:r>
      <w:r>
        <w:rPr>
          <w:spacing w:val="-7"/>
        </w:rPr>
        <w:t>移动互联网服务平台，</w:t>
      </w:r>
      <w:r>
        <w:rPr>
          <w:spacing w:val="-76"/>
        </w:rPr>
        <w:t> </w:t>
      </w:r>
      <w:r>
        <w:rPr>
          <w:spacing w:val="-1"/>
        </w:rPr>
        <w:t>通过双边型平台建设，加速推进企业与高校、学生之间的链接，助力智慧型校园建设，推动公司快速发展</w:t>
      </w:r>
      <w:r>
        <w:rPr>
          <w:spacing w:val="-86"/>
        </w:rPr>
        <w:t> </w:t>
      </w:r>
      <w:r>
        <w:rPr>
          <w:spacing w:val="-86"/>
        </w:rPr>
      </w:r>
      <w:r>
        <w:rPr>
          <w:spacing w:val="-1"/>
        </w:rPr>
        <w:t>成为领先的高校信息化、互联网及人才事业服务商。同时，公司依托在大数据、云计算、物联网、智能硬</w:t>
      </w:r>
      <w:r>
        <w:rPr>
          <w:spacing w:val="-83"/>
        </w:rPr>
        <w:t> </w:t>
      </w:r>
      <w:r>
        <w:rPr>
          <w:spacing w:val="-83"/>
        </w:rPr>
      </w:r>
      <w:r>
        <w:rPr>
          <w:spacing w:val="-1"/>
        </w:rPr>
        <w:t>件、人工智能等产业背景，结合公司在高校市场的资源优势，为各大高校、高职等校相关专业提供了虚拟</w:t>
      </w:r>
      <w:r>
        <w:rPr>
          <w:spacing w:val="-86"/>
        </w:rPr>
        <w:t> </w:t>
      </w:r>
      <w:r>
        <w:rPr>
          <w:spacing w:val="-86"/>
        </w:rPr>
      </w:r>
      <w:r>
        <w:rPr>
          <w:spacing w:val="-1"/>
        </w:rPr>
        <w:t>现实教学实验室、工业机器人教学实验室、大数据教学实验室等服务，达到信息技术与教学管理、教学实</w:t>
      </w:r>
      <w:r>
        <w:rPr>
          <w:spacing w:val="-86"/>
        </w:rPr>
        <w:t> </w:t>
      </w:r>
      <w:r>
        <w:rPr>
          <w:spacing w:val="-86"/>
        </w:rPr>
      </w:r>
      <w:r>
        <w:rPr>
          <w:spacing w:val="-1"/>
        </w:rPr>
        <w:t>践的深度融合，优化教学、教研、管理和服务等过程，使校园生活及管理智能化、安全化、丰富化，实现</w:t>
      </w:r>
      <w:r>
        <w:rPr>
          <w:spacing w:val="-85"/>
        </w:rPr>
        <w:t> </w:t>
      </w:r>
      <w:r>
        <w:rPr>
          <w:spacing w:val="-85"/>
        </w:rPr>
      </w:r>
      <w:r>
        <w:rPr>
          <w:spacing w:val="-1"/>
        </w:rPr>
        <w:t>学习方式和教育教学模式创新，提升决策水平与管理效率，实现校园与师生全面和谐发展，推进国内学校</w:t>
      </w:r>
      <w:r>
        <w:rPr>
          <w:spacing w:val="-83"/>
        </w:rPr>
        <w:t> </w:t>
      </w:r>
      <w:r>
        <w:rPr>
          <w:spacing w:val="-83"/>
        </w:rPr>
      </w:r>
      <w:r>
        <w:rPr/>
        <w:t>信息化水平与国际职业教育现代化接轨。</w:t>
      </w:r>
    </w:p>
    <w:p>
      <w:pPr>
        <w:pStyle w:val="BodyText"/>
        <w:spacing w:line="240" w:lineRule="auto" w:before="48"/>
        <w:ind w:left="574" w:right="1117"/>
        <w:jc w:val="left"/>
      </w:pPr>
      <w:r>
        <w:rPr/>
        <w:t>（一）公司所属行业特点</w:t>
      </w:r>
    </w:p>
    <w:p>
      <w:pPr>
        <w:spacing w:line="240" w:lineRule="auto" w:before="10"/>
        <w:rPr>
          <w:rFonts w:ascii="宋体" w:hAnsi="宋体" w:cs="宋体" w:eastAsia="宋体" w:hint="default"/>
          <w:sz w:val="14"/>
          <w:szCs w:val="14"/>
        </w:rPr>
      </w:pPr>
    </w:p>
    <w:p>
      <w:pPr>
        <w:pStyle w:val="BodyText"/>
        <w:spacing w:line="386" w:lineRule="auto" w:before="0"/>
        <w:ind w:left="574" w:right="1117"/>
        <w:jc w:val="left"/>
      </w:pPr>
      <w:r>
        <w:rPr>
          <w:rFonts w:ascii="Times New Roman" w:hAnsi="Times New Roman" w:cs="Times New Roman" w:eastAsia="Times New Roman" w:hint="default"/>
        </w:rPr>
        <w:t>1</w:t>
      </w:r>
      <w:r>
        <w:rPr/>
        <w:t>、《中国教育现代化</w:t>
      </w:r>
      <w:r>
        <w:rPr>
          <w:rFonts w:ascii="Times New Roman" w:hAnsi="Times New Roman" w:cs="Times New Roman" w:eastAsia="Times New Roman" w:hint="default"/>
        </w:rPr>
        <w:t>2035</w:t>
      </w:r>
      <w:r>
        <w:rPr/>
        <w:t>》提出加快信息化时代教育变革。 </w:t>
      </w:r>
      <w:r>
        <w:rPr>
          <w:spacing w:val="-1"/>
        </w:rPr>
        <w:t>建设智能化校园，统筹建设一体化智能化教学、管理与服务平台。利用现代技术加快推动人才培养模</w:t>
      </w:r>
    </w:p>
    <w:p>
      <w:pPr>
        <w:pStyle w:val="BodyText"/>
        <w:spacing w:line="408" w:lineRule="auto" w:before="65"/>
        <w:ind w:right="1130"/>
        <w:jc w:val="both"/>
      </w:pPr>
      <w:r>
        <w:rPr>
          <w:spacing w:val="-5"/>
        </w:rPr>
        <w:t>式改革，实现规模化教育与个性化培养的有机结合。创新教育服务业态，建立数字教育资源共建共享机制，</w:t>
      </w:r>
      <w:r>
        <w:rPr>
          <w:spacing w:val="-101"/>
        </w:rPr>
        <w:t> </w:t>
      </w:r>
      <w:r>
        <w:rPr>
          <w:spacing w:val="-101"/>
        </w:rPr>
      </w:r>
      <w:r>
        <w:rPr>
          <w:spacing w:val="-1"/>
        </w:rPr>
        <w:t>完善利益分配机制、知识产权保护制度和新型教育服务监管制度。推进教育治理方式变革，加快形成现代</w:t>
      </w:r>
      <w:r>
        <w:rPr>
          <w:spacing w:val="-83"/>
        </w:rPr>
        <w:t> </w:t>
      </w:r>
      <w:r>
        <w:rPr>
          <w:spacing w:val="-83"/>
        </w:rPr>
      </w:r>
      <w:r>
        <w:rPr/>
        <w:t>化的教育管理与监测体系，推进管理精准化和决策科学化。</w:t>
      </w:r>
    </w:p>
    <w:p>
      <w:pPr>
        <w:pStyle w:val="BodyText"/>
        <w:spacing w:line="240" w:lineRule="auto"/>
        <w:ind w:left="574" w:right="0"/>
        <w:jc w:val="left"/>
      </w:pPr>
      <w:r>
        <w:rPr/>
        <w:t>为确保教育现代化目标任务的实现，《中国教育现代化</w:t>
      </w:r>
      <w:r>
        <w:rPr>
          <w:rFonts w:ascii="Times New Roman" w:hAnsi="Times New Roman" w:cs="Times New Roman" w:eastAsia="Times New Roman" w:hint="default"/>
        </w:rPr>
        <w:t>2035</w:t>
      </w:r>
      <w:r>
        <w:rPr/>
        <w:t>》还明确了在财政支持上的保障措施：完</w:t>
      </w:r>
    </w:p>
    <w:p>
      <w:pPr>
        <w:spacing w:after="0" w:line="240" w:lineRule="auto"/>
        <w:jc w:val="left"/>
        <w:sectPr>
          <w:pgSz w:w="11910" w:h="16840"/>
          <w:pgMar w:header="747" w:footer="979" w:top="1060" w:bottom="1160" w:left="980" w:right="0"/>
        </w:sectPr>
      </w:pPr>
    </w:p>
    <w:p>
      <w:pPr>
        <w:spacing w:line="240" w:lineRule="auto" w:before="0"/>
        <w:rPr>
          <w:rFonts w:ascii="宋体" w:hAnsi="宋体" w:cs="宋体" w:eastAsia="宋体" w:hint="default"/>
          <w:sz w:val="20"/>
          <w:szCs w:val="20"/>
        </w:rPr>
      </w:pPr>
    </w:p>
    <w:p>
      <w:pPr>
        <w:pStyle w:val="BodyText"/>
        <w:spacing w:line="403" w:lineRule="auto" w:before="174"/>
        <w:ind w:right="0"/>
        <w:jc w:val="left"/>
      </w:pPr>
      <w:r>
        <w:rPr/>
        <w:t>善教育现代化投入支撑体制。健全保证财政教育投入持续稳定增长的长效机制，确保财政一般公共预算教 育支出逐年只增不减，确保按在校学生人数平均的一般公共预算教育支出逐年只增不减，保证国家财政性 </w:t>
      </w:r>
      <w:r>
        <w:rPr>
          <w:spacing w:val="-2"/>
        </w:rPr>
        <w:t>教育经费支出占国内生产总值的比例一般不低于</w:t>
      </w:r>
      <w:r>
        <w:rPr>
          <w:rFonts w:ascii="Times New Roman" w:hAnsi="Times New Roman" w:cs="Times New Roman" w:eastAsia="Times New Roman" w:hint="default"/>
          <w:spacing w:val="-2"/>
        </w:rPr>
        <w:t>4%</w:t>
      </w:r>
      <w:r>
        <w:rPr>
          <w:spacing w:val="-2"/>
        </w:rPr>
        <w:t>。依法落实各级政府教育支出责任，完善多渠道教育经</w:t>
      </w:r>
      <w:r>
        <w:rPr/>
        <w:t> 费筹措体制，完善国家、社会和受教育者合理分担非义务教育培养成本的机制，支持和规范社会力量兴办 教育。优化教育经费使用结构，全面实施绩效管理，建立健全全覆盖全过程全方位的教育经费监管体系，</w:t>
      </w:r>
      <w:r>
        <w:rPr>
          <w:spacing w:val="-35"/>
        </w:rPr>
        <w:t> </w:t>
      </w:r>
      <w:r>
        <w:rPr>
          <w:spacing w:val="-35"/>
        </w:rPr>
      </w:r>
      <w:r>
        <w:rPr/>
        <w:t>全面提高经费使用效益。</w:t>
      </w:r>
    </w:p>
    <w:p>
      <w:pPr>
        <w:pStyle w:val="BodyText"/>
        <w:spacing w:line="386" w:lineRule="auto" w:before="50"/>
        <w:ind w:left="574" w:right="1117"/>
        <w:jc w:val="left"/>
      </w:pPr>
      <w:r>
        <w:rPr>
          <w:rFonts w:ascii="Times New Roman" w:hAnsi="Times New Roman" w:cs="Times New Roman" w:eastAsia="Times New Roman" w:hint="default"/>
        </w:rPr>
        <w:t>2</w:t>
      </w:r>
      <w:r>
        <w:rPr/>
        <w:t>、产教融合、校企合作是职业教育的基本办学模式，是办好职业教育的关键所在。 </w:t>
      </w:r>
      <w:r>
        <w:rPr>
          <w:spacing w:val="-1"/>
        </w:rPr>
        <w:t>为深入贯彻落实党的十九大精神，落实《国务院关于加快发展现代职业教育的决定》要求，完善职业</w:t>
      </w:r>
    </w:p>
    <w:p>
      <w:pPr>
        <w:pStyle w:val="BodyText"/>
        <w:spacing w:line="398" w:lineRule="auto" w:before="65"/>
        <w:ind w:right="1132"/>
        <w:jc w:val="both"/>
      </w:pPr>
      <w:r>
        <w:rPr>
          <w:spacing w:val="-7"/>
        </w:rPr>
        <w:t>教育和培训体系，深化产教融合、校企合作，</w:t>
      </w:r>
      <w:r>
        <w:rPr>
          <w:rFonts w:ascii="Times New Roman" w:hAnsi="Times New Roman" w:cs="Times New Roman" w:eastAsia="Times New Roman" w:hint="default"/>
          <w:spacing w:val="-7"/>
        </w:rPr>
        <w:t>2018</w:t>
      </w:r>
      <w:r>
        <w:rPr>
          <w:spacing w:val="-7"/>
        </w:rPr>
        <w:t>年</w:t>
      </w:r>
      <w:r>
        <w:rPr>
          <w:rFonts w:ascii="Times New Roman" w:hAnsi="Times New Roman" w:cs="Times New Roman" w:eastAsia="Times New Roman" w:hint="default"/>
          <w:spacing w:val="-7"/>
        </w:rPr>
        <w:t>2</w:t>
      </w:r>
      <w:r>
        <w:rPr>
          <w:spacing w:val="-7"/>
        </w:rPr>
        <w:t>月，六部联合制定了《职业学校校企合作促进办法》。</w:t>
      </w:r>
      <w:r>
        <w:rPr>
          <w:spacing w:val="-97"/>
        </w:rPr>
        <w:t> </w:t>
      </w:r>
      <w:r>
        <w:rPr>
          <w:spacing w:val="-97"/>
        </w:rPr>
      </w:r>
      <w:r>
        <w:rPr>
          <w:spacing w:val="-1"/>
        </w:rPr>
        <w:t>对深度参与校企合作，行为规范、成效显著、具有较大影响力的企业，按照国家有关规定予以表彰和相应</w:t>
      </w:r>
      <w:r>
        <w:rPr>
          <w:spacing w:val="-86"/>
        </w:rPr>
        <w:t> </w:t>
      </w:r>
      <w:r>
        <w:rPr>
          <w:spacing w:val="-86"/>
        </w:rPr>
      </w:r>
      <w:r>
        <w:rPr/>
        <w:t>政策支持。</w:t>
      </w:r>
    </w:p>
    <w:p>
      <w:pPr>
        <w:pStyle w:val="BodyText"/>
        <w:spacing w:line="398" w:lineRule="auto" w:before="54"/>
        <w:ind w:right="1117" w:firstLine="420"/>
        <w:jc w:val="left"/>
      </w:pPr>
      <w:r>
        <w:rPr>
          <w:rFonts w:ascii="Times New Roman" w:hAnsi="Times New Roman" w:cs="Times New Roman" w:eastAsia="Times New Roman" w:hint="default"/>
        </w:rPr>
        <w:t>2019</w:t>
      </w:r>
      <w:r>
        <w:rPr/>
        <w:t>年</w:t>
      </w:r>
      <w:r>
        <w:rPr>
          <w:rFonts w:ascii="Times New Roman" w:hAnsi="Times New Roman" w:cs="Times New Roman" w:eastAsia="Times New Roman" w:hint="default"/>
        </w:rPr>
        <w:t>2</w:t>
      </w:r>
      <w:r>
        <w:rPr/>
        <w:t>月</w:t>
      </w:r>
      <w:r>
        <w:rPr>
          <w:rFonts w:ascii="Times New Roman" w:hAnsi="Times New Roman" w:cs="Times New Roman" w:eastAsia="Times New Roman" w:hint="default"/>
        </w:rPr>
        <w:t>13</w:t>
      </w:r>
      <w:r>
        <w:rPr/>
        <w:t>日，国务院印发的《国务院关于印发国家职业教育改革实施方案的通知》提出，到</w:t>
      </w:r>
      <w:r>
        <w:rPr>
          <w:rFonts w:ascii="Times New Roman" w:hAnsi="Times New Roman" w:cs="Times New Roman" w:eastAsia="Times New Roman" w:hint="default"/>
        </w:rPr>
        <w:t>2022 </w:t>
      </w:r>
      <w:r>
        <w:rPr>
          <w:spacing w:val="-1"/>
        </w:rPr>
        <w:t>年，企业参与职业教育的积极性有较大提升，培育数以万计的产教融合型企业，打造一批优秀职业教育培</w:t>
      </w:r>
      <w:r>
        <w:rPr>
          <w:spacing w:val="-83"/>
        </w:rPr>
        <w:t> </w:t>
      </w:r>
      <w:r>
        <w:rPr>
          <w:spacing w:val="-83"/>
        </w:rPr>
      </w:r>
      <w:r>
        <w:rPr/>
        <w:t>训评价组织，推动建设</w:t>
      </w:r>
      <w:r>
        <w:rPr>
          <w:rFonts w:ascii="Times New Roman" w:hAnsi="Times New Roman" w:cs="Times New Roman" w:eastAsia="Times New Roman" w:hint="default"/>
        </w:rPr>
        <w:t>300</w:t>
      </w:r>
      <w:r>
        <w:rPr/>
        <w:t>个具有辐射引领作用的高水平专业化产教融合实训基地。</w:t>
      </w:r>
    </w:p>
    <w:p>
      <w:pPr>
        <w:pStyle w:val="BodyText"/>
        <w:spacing w:line="240" w:lineRule="auto" w:before="24"/>
        <w:ind w:left="574" w:right="1117"/>
        <w:jc w:val="left"/>
      </w:pPr>
      <w:r>
        <w:rPr/>
        <w:t>近几年国家政策的相继出台，职业教育信息化市场的进入规范化高速规模和智能升级的建设期。</w:t>
      </w:r>
    </w:p>
    <w:p>
      <w:pPr>
        <w:spacing w:line="240" w:lineRule="auto" w:before="10"/>
        <w:rPr>
          <w:rFonts w:ascii="宋体" w:hAnsi="宋体" w:cs="宋体" w:eastAsia="宋体" w:hint="default"/>
          <w:sz w:val="14"/>
          <w:szCs w:val="14"/>
        </w:rPr>
      </w:pPr>
    </w:p>
    <w:p>
      <w:pPr>
        <w:pStyle w:val="BodyText"/>
        <w:spacing w:line="240" w:lineRule="auto" w:before="0"/>
        <w:ind w:left="574" w:right="1117"/>
        <w:jc w:val="left"/>
      </w:pPr>
      <w:r>
        <w:rPr/>
        <w:t>（二）公司主要从事业务</w:t>
      </w:r>
    </w:p>
    <w:p>
      <w:pPr>
        <w:spacing w:line="240" w:lineRule="auto" w:before="10"/>
        <w:rPr>
          <w:rFonts w:ascii="宋体" w:hAnsi="宋体" w:cs="宋体" w:eastAsia="宋体" w:hint="default"/>
          <w:sz w:val="14"/>
          <w:szCs w:val="14"/>
        </w:rPr>
      </w:pPr>
    </w:p>
    <w:p>
      <w:pPr>
        <w:pStyle w:val="BodyText"/>
        <w:spacing w:line="386" w:lineRule="auto" w:before="0"/>
        <w:ind w:left="574" w:right="1123"/>
        <w:jc w:val="left"/>
      </w:pPr>
      <w:r>
        <w:rPr>
          <w:rFonts w:ascii="Times New Roman" w:hAnsi="Times New Roman" w:cs="Times New Roman" w:eastAsia="Times New Roman" w:hint="default"/>
        </w:rPr>
        <w:t>1</w:t>
      </w:r>
      <w:r>
        <w:rPr/>
        <w:t>、智慧校园应用解决方案 </w:t>
      </w:r>
      <w:r>
        <w:rPr>
          <w:spacing w:val="-6"/>
        </w:rPr>
        <w:t>回顾教育信息化的发展历程，在国家“教育信息化</w:t>
      </w:r>
      <w:r>
        <w:rPr>
          <w:rFonts w:ascii="Times New Roman" w:hAnsi="Times New Roman" w:cs="Times New Roman" w:eastAsia="Times New Roman" w:hint="default"/>
          <w:spacing w:val="-6"/>
        </w:rPr>
        <w:t>2.</w:t>
      </w:r>
      <w:r>
        <w:rPr>
          <w:rFonts w:ascii="宋体" w:hAnsi="宋体" w:cs="宋体" w:eastAsia="宋体" w:hint="default"/>
          <w:spacing w:val="-6"/>
        </w:rPr>
        <w:t>0</w:t>
      </w:r>
      <w:r>
        <w:rPr>
          <w:spacing w:val="-6"/>
        </w:rPr>
        <w:t>”和“教育现代化</w:t>
      </w:r>
      <w:r>
        <w:rPr>
          <w:rFonts w:ascii="宋体" w:hAnsi="宋体" w:cs="宋体" w:eastAsia="宋体" w:hint="default"/>
          <w:spacing w:val="-6"/>
        </w:rPr>
        <w:t>2035</w:t>
      </w:r>
      <w:r>
        <w:rPr>
          <w:spacing w:val="-6"/>
        </w:rPr>
        <w:t>”的政策下，随着大数据、</w:t>
      </w:r>
    </w:p>
    <w:p>
      <w:pPr>
        <w:pStyle w:val="BodyText"/>
        <w:spacing w:line="408" w:lineRule="auto" w:before="35"/>
        <w:ind w:right="1117"/>
        <w:jc w:val="left"/>
      </w:pPr>
      <w:r>
        <w:rPr>
          <w:spacing w:val="-1"/>
        </w:rPr>
        <w:t>云计算、物联网、智能硬件等多项新兴技术的深度融合，校园信息化已经从数字化校园模式逐步发展到智</w:t>
      </w:r>
      <w:r>
        <w:rPr>
          <w:spacing w:val="-83"/>
        </w:rPr>
        <w:t> </w:t>
      </w:r>
      <w:r>
        <w:rPr>
          <w:spacing w:val="-83"/>
        </w:rPr>
      </w:r>
      <w:r>
        <w:rPr/>
        <w:t>慧校园阶段。</w:t>
      </w:r>
    </w:p>
    <w:p>
      <w:pPr>
        <w:pStyle w:val="BodyText"/>
        <w:spacing w:line="408" w:lineRule="auto"/>
        <w:ind w:right="1131" w:firstLine="420"/>
        <w:jc w:val="both"/>
      </w:pPr>
      <w:r>
        <w:rPr>
          <w:spacing w:val="-1"/>
        </w:rPr>
        <w:t>公司的校园一站式服务解决方案旨在助力高校智慧校园信息化建设升级，通过构建校园物联网、金融</w:t>
      </w:r>
      <w:r>
        <w:rPr/>
        <w:t> </w:t>
      </w:r>
      <w:r>
        <w:rPr>
          <w:spacing w:val="-1"/>
        </w:rPr>
        <w:t>服务管理平台、校园生活服务平台、鉴权管理平台，为高校信息化建设提供基于智慧校园的顶层架构设计</w:t>
      </w:r>
      <w:r>
        <w:rPr>
          <w:spacing w:val="-83"/>
        </w:rPr>
        <w:t> </w:t>
      </w:r>
      <w:r>
        <w:rPr>
          <w:spacing w:val="-83"/>
        </w:rPr>
      </w:r>
      <w:r>
        <w:rPr>
          <w:spacing w:val="-1"/>
        </w:rPr>
        <w:t>和全新的智能管理模式。平台采用微服务架构设计，分布式部署系统，构建全新服务场景，实现全智能运</w:t>
      </w:r>
      <w:r>
        <w:rPr>
          <w:spacing w:val="-86"/>
        </w:rPr>
        <w:t> </w:t>
      </w:r>
      <w:r>
        <w:rPr>
          <w:spacing w:val="-86"/>
        </w:rPr>
      </w:r>
      <w:r>
        <w:rPr/>
        <w:t>维服务生态体系。将先进的互联网</w:t>
      </w:r>
      <w:r>
        <w:rPr>
          <w:rFonts w:ascii="Times New Roman" w:hAnsi="Times New Roman" w:cs="Times New Roman" w:eastAsia="Times New Roman" w:hint="default"/>
        </w:rPr>
        <w:t>+</w:t>
      </w:r>
      <w:r>
        <w:rPr/>
        <w:t>、物联网等技术落地到校园信息化建设过程中，最终服务全体师生。</w:t>
      </w:r>
    </w:p>
    <w:p>
      <w:pPr>
        <w:pStyle w:val="BodyText"/>
        <w:spacing w:line="240" w:lineRule="auto" w:before="14"/>
        <w:ind w:left="574" w:right="1117"/>
        <w:jc w:val="left"/>
      </w:pPr>
      <w:r>
        <w:rPr>
          <w:rFonts w:ascii="Times New Roman" w:hAnsi="Times New Roman" w:cs="Times New Roman" w:eastAsia="Times New Roman" w:hint="default"/>
        </w:rPr>
        <w:t>1.1 </w:t>
      </w:r>
      <w:r>
        <w:rPr>
          <w:rFonts w:ascii="Times New Roman" w:hAnsi="Times New Roman" w:cs="Times New Roman" w:eastAsia="Times New Roman" w:hint="default"/>
          <w:spacing w:val="51"/>
        </w:rPr>
        <w:t> </w:t>
      </w:r>
      <w:r>
        <w:rPr/>
        <w:t>智慧校园应用解决方案平台架构说明</w:t>
      </w:r>
    </w:p>
    <w:p>
      <w:pPr>
        <w:pStyle w:val="BodyText"/>
        <w:tabs>
          <w:tab w:pos="1414" w:val="left" w:leader="none"/>
        </w:tabs>
        <w:spacing w:line="240" w:lineRule="auto" w:before="177"/>
        <w:ind w:left="574" w:right="1117"/>
        <w:jc w:val="left"/>
      </w:pPr>
      <w:r>
        <w:rPr>
          <w:rFonts w:ascii="Times New Roman" w:hAnsi="Times New Roman" w:cs="Times New Roman" w:eastAsia="Times New Roman" w:hint="default"/>
        </w:rPr>
        <w:t>1.1.1</w:t>
        <w:tab/>
      </w:r>
      <w:r>
        <w:rPr/>
        <w:t>核心服务平台</w:t>
      </w:r>
    </w:p>
    <w:p>
      <w:pPr>
        <w:spacing w:after="0" w:line="240" w:lineRule="auto"/>
        <w:jc w:val="left"/>
        <w:sectPr>
          <w:pgSz w:w="11910" w:h="16840"/>
          <w:pgMar w:header="747" w:footer="979" w:top="106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19"/>
          <w:szCs w:val="19"/>
        </w:rPr>
      </w:pPr>
    </w:p>
    <w:p>
      <w:pPr>
        <w:spacing w:line="3780" w:lineRule="exact"/>
        <w:ind w:left="818" w:right="0" w:firstLine="0"/>
        <w:rPr>
          <w:rFonts w:ascii="宋体" w:hAnsi="宋体" w:cs="宋体" w:eastAsia="宋体" w:hint="default"/>
          <w:sz w:val="20"/>
          <w:szCs w:val="20"/>
        </w:rPr>
      </w:pPr>
      <w:r>
        <w:rPr>
          <w:rFonts w:ascii="宋体" w:hAnsi="宋体" w:cs="宋体" w:eastAsia="宋体" w:hint="default"/>
          <w:position w:val="-75"/>
          <w:sz w:val="20"/>
          <w:szCs w:val="20"/>
        </w:rPr>
        <w:drawing>
          <wp:inline distT="0" distB="0" distL="0" distR="0">
            <wp:extent cx="5267325" cy="2400300"/>
            <wp:effectExtent l="0" t="0" r="0" b="0"/>
            <wp:docPr id="3" name="image3.jpeg" descr=""/>
            <wp:cNvGraphicFramePr>
              <a:graphicFrameLocks noChangeAspect="1"/>
            </wp:cNvGraphicFramePr>
            <a:graphic>
              <a:graphicData uri="http://schemas.openxmlformats.org/drawingml/2006/picture">
                <pic:pic>
                  <pic:nvPicPr>
                    <pic:cNvPr id="4" name="image3.jpeg"/>
                    <pic:cNvPicPr/>
                  </pic:nvPicPr>
                  <pic:blipFill>
                    <a:blip r:embed="rId13" cstate="print"/>
                    <a:stretch>
                      <a:fillRect/>
                    </a:stretch>
                  </pic:blipFill>
                  <pic:spPr>
                    <a:xfrm>
                      <a:off x="0" y="0"/>
                      <a:ext cx="5267325" cy="2400300"/>
                    </a:xfrm>
                    <a:prstGeom prst="rect">
                      <a:avLst/>
                    </a:prstGeom>
                  </pic:spPr>
                </pic:pic>
              </a:graphicData>
            </a:graphic>
          </wp:inline>
        </w:drawing>
      </w:r>
      <w:r>
        <w:rPr>
          <w:rFonts w:ascii="宋体" w:hAnsi="宋体" w:cs="宋体" w:eastAsia="宋体" w:hint="default"/>
          <w:position w:val="-75"/>
          <w:sz w:val="20"/>
          <w:szCs w:val="20"/>
        </w:rPr>
      </w:r>
    </w:p>
    <w:p>
      <w:pPr>
        <w:spacing w:line="240" w:lineRule="auto" w:before="9"/>
        <w:rPr>
          <w:rFonts w:ascii="宋体" w:hAnsi="宋体" w:cs="宋体" w:eastAsia="宋体" w:hint="default"/>
          <w:sz w:val="12"/>
          <w:szCs w:val="12"/>
        </w:rPr>
      </w:pPr>
    </w:p>
    <w:p>
      <w:pPr>
        <w:pStyle w:val="BodyText"/>
        <w:spacing w:line="408" w:lineRule="auto" w:before="35"/>
        <w:ind w:right="1182" w:firstLine="330"/>
        <w:jc w:val="left"/>
      </w:pPr>
      <w:r>
        <w:rPr/>
        <w:t>核心服务平台是传统一卡通系统的业务处理中心，负责处理一卡通运行时进行的所有系统业务和账务 结算业务的处理。</w:t>
      </w:r>
    </w:p>
    <w:p>
      <w:pPr>
        <w:pStyle w:val="BodyText"/>
        <w:spacing w:line="240" w:lineRule="auto"/>
        <w:ind w:left="484" w:right="1117"/>
        <w:jc w:val="left"/>
      </w:pPr>
      <w:r>
        <w:rPr>
          <w:rFonts w:ascii="Times New Roman" w:hAnsi="Times New Roman" w:cs="Times New Roman" w:eastAsia="Times New Roman" w:hint="default"/>
        </w:rPr>
        <w:t>1.1.2</w:t>
      </w:r>
      <w:r>
        <w:rPr>
          <w:rFonts w:ascii="Times New Roman" w:hAnsi="Times New Roman" w:cs="Times New Roman" w:eastAsia="Times New Roman" w:hint="default"/>
          <w:spacing w:val="36"/>
        </w:rPr>
        <w:t> </w:t>
      </w:r>
      <w:r>
        <w:rPr/>
        <w:t>支付服务平台</w:t>
      </w:r>
    </w:p>
    <w:p>
      <w:pPr>
        <w:spacing w:line="240" w:lineRule="auto" w:before="9"/>
        <w:rPr>
          <w:rFonts w:ascii="宋体" w:hAnsi="宋体" w:cs="宋体" w:eastAsia="宋体" w:hint="default"/>
          <w:sz w:val="19"/>
          <w:szCs w:val="19"/>
        </w:rPr>
      </w:pPr>
    </w:p>
    <w:p>
      <w:pPr>
        <w:spacing w:line="7185" w:lineRule="exact"/>
        <w:ind w:left="1328" w:right="0" w:firstLine="0"/>
        <w:rPr>
          <w:rFonts w:ascii="宋体" w:hAnsi="宋体" w:cs="宋体" w:eastAsia="宋体" w:hint="default"/>
          <w:sz w:val="20"/>
          <w:szCs w:val="20"/>
        </w:rPr>
      </w:pPr>
      <w:r>
        <w:rPr>
          <w:rFonts w:ascii="宋体" w:hAnsi="宋体" w:cs="宋体" w:eastAsia="宋体" w:hint="default"/>
          <w:position w:val="-143"/>
          <w:sz w:val="20"/>
          <w:szCs w:val="20"/>
        </w:rPr>
        <w:drawing>
          <wp:inline distT="0" distB="0" distL="0" distR="0">
            <wp:extent cx="4629150" cy="4562475"/>
            <wp:effectExtent l="0" t="0" r="0" b="0"/>
            <wp:docPr id="5" name="image4.png" descr=""/>
            <wp:cNvGraphicFramePr>
              <a:graphicFrameLocks noChangeAspect="1"/>
            </wp:cNvGraphicFramePr>
            <a:graphic>
              <a:graphicData uri="http://schemas.openxmlformats.org/drawingml/2006/picture">
                <pic:pic>
                  <pic:nvPicPr>
                    <pic:cNvPr id="6" name="image4.png"/>
                    <pic:cNvPicPr/>
                  </pic:nvPicPr>
                  <pic:blipFill>
                    <a:blip r:embed="rId14" cstate="print"/>
                    <a:stretch>
                      <a:fillRect/>
                    </a:stretch>
                  </pic:blipFill>
                  <pic:spPr>
                    <a:xfrm>
                      <a:off x="0" y="0"/>
                      <a:ext cx="4629150" cy="4562475"/>
                    </a:xfrm>
                    <a:prstGeom prst="rect">
                      <a:avLst/>
                    </a:prstGeom>
                  </pic:spPr>
                </pic:pic>
              </a:graphicData>
            </a:graphic>
          </wp:inline>
        </w:drawing>
      </w:r>
      <w:r>
        <w:rPr>
          <w:rFonts w:ascii="宋体" w:hAnsi="宋体" w:cs="宋体" w:eastAsia="宋体" w:hint="default"/>
          <w:position w:val="-143"/>
          <w:sz w:val="20"/>
          <w:szCs w:val="20"/>
        </w:rPr>
      </w:r>
    </w:p>
    <w:p>
      <w:pPr>
        <w:spacing w:line="240" w:lineRule="auto" w:before="1"/>
        <w:rPr>
          <w:rFonts w:ascii="宋体" w:hAnsi="宋体" w:cs="宋体" w:eastAsia="宋体" w:hint="default"/>
          <w:sz w:val="17"/>
          <w:szCs w:val="17"/>
        </w:rPr>
      </w:pPr>
    </w:p>
    <w:p>
      <w:pPr>
        <w:pStyle w:val="BodyText"/>
        <w:spacing w:line="408" w:lineRule="auto" w:before="0"/>
        <w:ind w:right="1117" w:firstLine="420"/>
        <w:jc w:val="left"/>
      </w:pPr>
      <w:r>
        <w:rPr>
          <w:spacing w:val="-1"/>
        </w:rPr>
        <w:t>支付管理平台提供多场景的支付服务，主要包括支付应用、支付路由、支付渠道等模块。支付渠道模</w:t>
      </w:r>
      <w:r>
        <w:rPr/>
        <w:t> </w:t>
      </w:r>
      <w:r>
        <w:rPr>
          <w:spacing w:val="-1"/>
        </w:rPr>
        <w:t>块负责将银行网银、微信支付，支付宝支付、银联支付等社会化支付手段封装为统一的支付接口，提供聚</w:t>
      </w:r>
    </w:p>
    <w:p>
      <w:pPr>
        <w:spacing w:after="0" w:line="408" w:lineRule="auto"/>
        <w:jc w:val="left"/>
        <w:sectPr>
          <w:pgSz w:w="11910" w:h="16840"/>
          <w:pgMar w:header="747" w:footer="979" w:top="1060" w:bottom="1160" w:left="980" w:right="0"/>
        </w:sectPr>
      </w:pPr>
    </w:p>
    <w:p>
      <w:pPr>
        <w:spacing w:line="240" w:lineRule="auto" w:before="0"/>
        <w:rPr>
          <w:rFonts w:ascii="宋体" w:hAnsi="宋体" w:cs="宋体" w:eastAsia="宋体" w:hint="default"/>
          <w:sz w:val="20"/>
          <w:szCs w:val="20"/>
        </w:rPr>
      </w:pPr>
    </w:p>
    <w:p>
      <w:pPr>
        <w:pStyle w:val="BodyText"/>
        <w:spacing w:line="408" w:lineRule="auto" w:before="174"/>
        <w:ind w:right="1023"/>
        <w:jc w:val="left"/>
      </w:pPr>
      <w:r>
        <w:rPr>
          <w:spacing w:val="-3"/>
        </w:rPr>
        <w:t>合支付账户接入到校园支付系统；通过支付路由模块将支付方式配置到不同的支付应用上，对外提供消费、</w:t>
      </w:r>
      <w:r>
        <w:rPr>
          <w:spacing w:val="-92"/>
        </w:rPr>
        <w:t> </w:t>
      </w:r>
      <w:r>
        <w:rPr>
          <w:spacing w:val="-92"/>
        </w:rPr>
      </w:r>
      <w:r>
        <w:rPr/>
        <w:t>充值、缴费、转账等多样化支付服务。</w:t>
      </w:r>
    </w:p>
    <w:p>
      <w:pPr>
        <w:pStyle w:val="BodyText"/>
        <w:tabs>
          <w:tab w:pos="1414" w:val="left" w:leader="none"/>
        </w:tabs>
        <w:spacing w:line="240" w:lineRule="auto"/>
        <w:ind w:left="574" w:right="1117"/>
        <w:jc w:val="left"/>
      </w:pPr>
      <w:r>
        <w:rPr>
          <w:rFonts w:ascii="Times New Roman" w:hAnsi="Times New Roman" w:cs="Times New Roman" w:eastAsia="Times New Roman" w:hint="default"/>
        </w:rPr>
        <w:t>1.1.3</w:t>
        <w:tab/>
      </w:r>
      <w:r>
        <w:rPr/>
        <w:t>物联网平台</w:t>
      </w:r>
    </w:p>
    <w:p>
      <w:pPr>
        <w:spacing w:line="240" w:lineRule="auto" w:before="5"/>
        <w:rPr>
          <w:rFonts w:ascii="宋体" w:hAnsi="宋体" w:cs="宋体" w:eastAsia="宋体" w:hint="default"/>
          <w:sz w:val="18"/>
          <w:szCs w:val="18"/>
        </w:rPr>
      </w:pPr>
    </w:p>
    <w:p>
      <w:pPr>
        <w:spacing w:line="4725" w:lineRule="exact"/>
        <w:ind w:left="818" w:right="0" w:firstLine="0"/>
        <w:rPr>
          <w:rFonts w:ascii="宋体" w:hAnsi="宋体" w:cs="宋体" w:eastAsia="宋体" w:hint="default"/>
          <w:sz w:val="20"/>
          <w:szCs w:val="20"/>
        </w:rPr>
      </w:pPr>
      <w:r>
        <w:rPr>
          <w:rFonts w:ascii="宋体" w:hAnsi="宋体" w:cs="宋体" w:eastAsia="宋体" w:hint="default"/>
          <w:position w:val="-94"/>
          <w:sz w:val="20"/>
          <w:szCs w:val="20"/>
        </w:rPr>
        <w:drawing>
          <wp:inline distT="0" distB="0" distL="0" distR="0">
            <wp:extent cx="5276849" cy="3000375"/>
            <wp:effectExtent l="0" t="0" r="0" b="0"/>
            <wp:docPr id="7" name="image5.jpeg" descr=""/>
            <wp:cNvGraphicFramePr>
              <a:graphicFrameLocks noChangeAspect="1"/>
            </wp:cNvGraphicFramePr>
            <a:graphic>
              <a:graphicData uri="http://schemas.openxmlformats.org/drawingml/2006/picture">
                <pic:pic>
                  <pic:nvPicPr>
                    <pic:cNvPr id="8" name="image5.jpeg"/>
                    <pic:cNvPicPr/>
                  </pic:nvPicPr>
                  <pic:blipFill>
                    <a:blip r:embed="rId15" cstate="print"/>
                    <a:stretch>
                      <a:fillRect/>
                    </a:stretch>
                  </pic:blipFill>
                  <pic:spPr>
                    <a:xfrm>
                      <a:off x="0" y="0"/>
                      <a:ext cx="5276849" cy="3000375"/>
                    </a:xfrm>
                    <a:prstGeom prst="rect">
                      <a:avLst/>
                    </a:prstGeom>
                  </pic:spPr>
                </pic:pic>
              </a:graphicData>
            </a:graphic>
          </wp:inline>
        </w:drawing>
      </w:r>
      <w:r>
        <w:rPr>
          <w:rFonts w:ascii="宋体" w:hAnsi="宋体" w:cs="宋体" w:eastAsia="宋体" w:hint="default"/>
          <w:position w:val="-94"/>
          <w:sz w:val="20"/>
          <w:szCs w:val="20"/>
        </w:rPr>
      </w:r>
    </w:p>
    <w:p>
      <w:pPr>
        <w:spacing w:line="240" w:lineRule="auto" w:before="8"/>
        <w:rPr>
          <w:rFonts w:ascii="宋体" w:hAnsi="宋体" w:cs="宋体" w:eastAsia="宋体" w:hint="default"/>
          <w:sz w:val="15"/>
          <w:szCs w:val="15"/>
        </w:rPr>
      </w:pPr>
    </w:p>
    <w:p>
      <w:pPr>
        <w:pStyle w:val="BodyText"/>
        <w:spacing w:line="408" w:lineRule="auto" w:before="0"/>
        <w:ind w:right="1131" w:firstLine="420"/>
        <w:jc w:val="both"/>
      </w:pPr>
      <w:r>
        <w:rPr>
          <w:spacing w:val="-1"/>
        </w:rPr>
        <w:t>解决校园信息化过程中的大量设备的联接和管理、海量数据的处理和实时分析，为设备供应商提供快</w:t>
      </w:r>
      <w:r>
        <w:rPr/>
        <w:t> </w:t>
      </w:r>
      <w:r>
        <w:rPr>
          <w:spacing w:val="-1"/>
        </w:rPr>
        <w:t>速接入物联网的能力，为业务应用系统供应商提供设备的抽象，为智慧校园建设提供完整的物联网解决方</w:t>
      </w:r>
      <w:r>
        <w:rPr>
          <w:spacing w:val="-81"/>
        </w:rPr>
        <w:t> </w:t>
      </w:r>
      <w:r>
        <w:rPr>
          <w:spacing w:val="-81"/>
        </w:rPr>
      </w:r>
      <w:r>
        <w:rPr/>
        <w:t>案。</w:t>
      </w:r>
    </w:p>
    <w:p>
      <w:pPr>
        <w:pStyle w:val="BodyText"/>
        <w:tabs>
          <w:tab w:pos="1414" w:val="left" w:leader="none"/>
        </w:tabs>
        <w:spacing w:line="240" w:lineRule="auto"/>
        <w:ind w:left="574" w:right="1117"/>
        <w:jc w:val="left"/>
      </w:pPr>
      <w:r>
        <w:rPr>
          <w:rFonts w:ascii="Times New Roman" w:hAnsi="Times New Roman" w:cs="Times New Roman" w:eastAsia="Times New Roman" w:hint="default"/>
        </w:rPr>
        <w:t>1.1.4</w:t>
        <w:tab/>
      </w:r>
      <w:r>
        <w:rPr/>
        <w:t>权鉴管理平台</w:t>
      </w:r>
    </w:p>
    <w:p>
      <w:pPr>
        <w:spacing w:line="240" w:lineRule="auto" w:before="12"/>
        <w:rPr>
          <w:rFonts w:ascii="宋体" w:hAnsi="宋体" w:cs="宋体" w:eastAsia="宋体" w:hint="default"/>
          <w:sz w:val="16"/>
          <w:szCs w:val="16"/>
        </w:rPr>
      </w:pPr>
    </w:p>
    <w:p>
      <w:pPr>
        <w:spacing w:line="5385" w:lineRule="exact"/>
        <w:ind w:left="818" w:right="0" w:firstLine="0"/>
        <w:rPr>
          <w:rFonts w:ascii="宋体" w:hAnsi="宋体" w:cs="宋体" w:eastAsia="宋体" w:hint="default"/>
          <w:sz w:val="20"/>
          <w:szCs w:val="20"/>
        </w:rPr>
      </w:pPr>
      <w:r>
        <w:rPr>
          <w:rFonts w:ascii="宋体" w:hAnsi="宋体" w:cs="宋体" w:eastAsia="宋体" w:hint="default"/>
          <w:position w:val="-107"/>
          <w:sz w:val="20"/>
          <w:szCs w:val="20"/>
        </w:rPr>
        <w:drawing>
          <wp:inline distT="0" distB="0" distL="0" distR="0">
            <wp:extent cx="5267325" cy="3419475"/>
            <wp:effectExtent l="0" t="0" r="0" b="0"/>
            <wp:docPr id="9" name="image6.jpeg" descr=""/>
            <wp:cNvGraphicFramePr>
              <a:graphicFrameLocks noChangeAspect="1"/>
            </wp:cNvGraphicFramePr>
            <a:graphic>
              <a:graphicData uri="http://schemas.openxmlformats.org/drawingml/2006/picture">
                <pic:pic>
                  <pic:nvPicPr>
                    <pic:cNvPr id="10" name="image6.jpeg"/>
                    <pic:cNvPicPr/>
                  </pic:nvPicPr>
                  <pic:blipFill>
                    <a:blip r:embed="rId16" cstate="print"/>
                    <a:stretch>
                      <a:fillRect/>
                    </a:stretch>
                  </pic:blipFill>
                  <pic:spPr>
                    <a:xfrm>
                      <a:off x="0" y="0"/>
                      <a:ext cx="5267325" cy="3419475"/>
                    </a:xfrm>
                    <a:prstGeom prst="rect">
                      <a:avLst/>
                    </a:prstGeom>
                  </pic:spPr>
                </pic:pic>
              </a:graphicData>
            </a:graphic>
          </wp:inline>
        </w:drawing>
      </w:r>
      <w:r>
        <w:rPr>
          <w:rFonts w:ascii="宋体" w:hAnsi="宋体" w:cs="宋体" w:eastAsia="宋体" w:hint="default"/>
          <w:position w:val="-107"/>
          <w:sz w:val="20"/>
          <w:szCs w:val="20"/>
        </w:rPr>
      </w:r>
    </w:p>
    <w:p>
      <w:pPr>
        <w:spacing w:after="0" w:line="5385" w:lineRule="exact"/>
        <w:rPr>
          <w:rFonts w:ascii="宋体" w:hAnsi="宋体" w:cs="宋体" w:eastAsia="宋体" w:hint="default"/>
          <w:sz w:val="20"/>
          <w:szCs w:val="20"/>
        </w:rPr>
        <w:sectPr>
          <w:pgSz w:w="11910" w:h="16840"/>
          <w:pgMar w:header="747" w:footer="979" w:top="1060" w:bottom="1160" w:left="980" w:right="0"/>
        </w:sectPr>
      </w:pPr>
    </w:p>
    <w:p>
      <w:pPr>
        <w:spacing w:line="240" w:lineRule="auto" w:before="0"/>
        <w:rPr>
          <w:rFonts w:ascii="宋体" w:hAnsi="宋体" w:cs="宋体" w:eastAsia="宋体" w:hint="default"/>
          <w:sz w:val="20"/>
          <w:szCs w:val="20"/>
        </w:rPr>
      </w:pPr>
    </w:p>
    <w:p>
      <w:pPr>
        <w:pStyle w:val="BodyText"/>
        <w:spacing w:line="408" w:lineRule="auto" w:before="174"/>
        <w:ind w:right="0" w:firstLine="420"/>
        <w:jc w:val="left"/>
      </w:pPr>
      <w:r>
        <w:rPr/>
        <w:t>权鉴管理平台主要从人、物、权三方面进行管理，做到平台开放、统一管理、事权分离、智能授权、 应用联动、全局监控。</w:t>
      </w:r>
    </w:p>
    <w:p>
      <w:pPr>
        <w:pStyle w:val="BodyText"/>
        <w:tabs>
          <w:tab w:pos="1414" w:val="left" w:leader="none"/>
        </w:tabs>
        <w:spacing w:line="240" w:lineRule="auto"/>
        <w:ind w:left="574" w:right="1117"/>
        <w:jc w:val="left"/>
      </w:pPr>
      <w:r>
        <w:rPr>
          <w:rFonts w:ascii="Times New Roman" w:hAnsi="Times New Roman" w:cs="Times New Roman" w:eastAsia="Times New Roman" w:hint="default"/>
        </w:rPr>
        <w:t>1.1.5</w:t>
        <w:tab/>
      </w:r>
      <w:r>
        <w:rPr/>
        <w:t>人脸认证服务平台</w:t>
      </w:r>
    </w:p>
    <w:p>
      <w:pPr>
        <w:spacing w:line="240" w:lineRule="auto" w:before="1"/>
        <w:rPr>
          <w:rFonts w:ascii="宋体" w:hAnsi="宋体" w:cs="宋体" w:eastAsia="宋体" w:hint="default"/>
          <w:sz w:val="16"/>
          <w:szCs w:val="16"/>
        </w:rPr>
      </w:pPr>
    </w:p>
    <w:p>
      <w:pPr>
        <w:spacing w:line="4785" w:lineRule="exact"/>
        <w:ind w:left="818" w:right="0" w:firstLine="0"/>
        <w:rPr>
          <w:rFonts w:ascii="宋体" w:hAnsi="宋体" w:cs="宋体" w:eastAsia="宋体" w:hint="default"/>
          <w:sz w:val="20"/>
          <w:szCs w:val="20"/>
        </w:rPr>
      </w:pPr>
      <w:r>
        <w:rPr>
          <w:rFonts w:ascii="宋体" w:hAnsi="宋体" w:cs="宋体" w:eastAsia="宋体" w:hint="default"/>
          <w:position w:val="-95"/>
          <w:sz w:val="20"/>
          <w:szCs w:val="20"/>
        </w:rPr>
        <w:drawing>
          <wp:inline distT="0" distB="0" distL="0" distR="0">
            <wp:extent cx="5267324" cy="3038475"/>
            <wp:effectExtent l="0" t="0" r="0" b="0"/>
            <wp:docPr id="11" name="image7.jpeg" descr=""/>
            <wp:cNvGraphicFramePr>
              <a:graphicFrameLocks noChangeAspect="1"/>
            </wp:cNvGraphicFramePr>
            <a:graphic>
              <a:graphicData uri="http://schemas.openxmlformats.org/drawingml/2006/picture">
                <pic:pic>
                  <pic:nvPicPr>
                    <pic:cNvPr id="12" name="image7.jpeg"/>
                    <pic:cNvPicPr/>
                  </pic:nvPicPr>
                  <pic:blipFill>
                    <a:blip r:embed="rId17" cstate="print"/>
                    <a:stretch>
                      <a:fillRect/>
                    </a:stretch>
                  </pic:blipFill>
                  <pic:spPr>
                    <a:xfrm>
                      <a:off x="0" y="0"/>
                      <a:ext cx="5267324" cy="3038475"/>
                    </a:xfrm>
                    <a:prstGeom prst="rect">
                      <a:avLst/>
                    </a:prstGeom>
                  </pic:spPr>
                </pic:pic>
              </a:graphicData>
            </a:graphic>
          </wp:inline>
        </w:drawing>
      </w:r>
      <w:r>
        <w:rPr>
          <w:rFonts w:ascii="宋体" w:hAnsi="宋体" w:cs="宋体" w:eastAsia="宋体" w:hint="default"/>
          <w:position w:val="-95"/>
          <w:sz w:val="20"/>
          <w:szCs w:val="20"/>
        </w:rPr>
      </w:r>
    </w:p>
    <w:p>
      <w:pPr>
        <w:pStyle w:val="BodyText"/>
        <w:spacing w:line="403" w:lineRule="auto" w:before="174"/>
        <w:ind w:right="0" w:firstLine="420"/>
        <w:jc w:val="left"/>
      </w:pPr>
      <w:r>
        <w:rPr/>
        <w:t>人脸认证服务平台提供人脸认证服务，通过软件和硬件同步升级形成一套基于人脸识别技术数据融汇 共享的综合性管理系统。公司融合和集成各人脸识别厂家的算法，屏蔽差异化，通过人脸认证服务平台，</w:t>
      </w:r>
      <w:r>
        <w:rPr>
          <w:spacing w:val="-38"/>
        </w:rPr>
        <w:t> </w:t>
      </w:r>
      <w:r>
        <w:rPr>
          <w:spacing w:val="-38"/>
        </w:rPr>
      </w:r>
      <w:r>
        <w:rPr/>
        <w:t>向各个业务系统赋能，共享一个身份识别库。通过提供人脸识别服务扩充高校身份识别介质，用户除了使</w:t>
      </w:r>
      <w:r>
        <w:rPr/>
        <w:t> 用校园卡、手机二维码外，还可以使用人脸识别完成身份认证和交易支付，从</w:t>
      </w:r>
      <w:r>
        <w:rPr>
          <w:rFonts w:ascii="Times New Roman" w:hAnsi="Times New Roman" w:cs="Times New Roman" w:eastAsia="Times New Roman" w:hint="default"/>
        </w:rPr>
        <w:t>“</w:t>
      </w:r>
      <w:r>
        <w:rPr/>
        <w:t>以物识人</w:t>
      </w:r>
      <w:r>
        <w:rPr>
          <w:rFonts w:ascii="Times New Roman" w:hAnsi="Times New Roman" w:cs="Times New Roman" w:eastAsia="Times New Roman" w:hint="default"/>
        </w:rPr>
        <w:t>”</w:t>
      </w:r>
      <w:r>
        <w:rPr/>
        <w:t>转变为“以人识 人”，真正实现无卡通行。各应用系统接入人脸认证服务后可实现刷脸考勤、刷脸进出校园</w:t>
      </w:r>
      <w:r>
        <w:rPr>
          <w:rFonts w:ascii="宋体" w:hAnsi="宋体" w:cs="宋体" w:eastAsia="宋体" w:hint="default"/>
        </w:rPr>
        <w:t>/</w:t>
      </w:r>
      <w:r>
        <w:rPr/>
        <w:t>宿舍</w:t>
      </w:r>
      <w:r>
        <w:rPr>
          <w:rFonts w:ascii="宋体" w:hAnsi="宋体" w:cs="宋体" w:eastAsia="宋体" w:hint="default"/>
        </w:rPr>
        <w:t>/</w:t>
      </w:r>
      <w:r>
        <w:rPr/>
        <w:t>实验室</w:t>
      </w:r>
    </w:p>
    <w:p>
      <w:pPr>
        <w:pStyle w:val="BodyText"/>
        <w:spacing w:line="386" w:lineRule="auto" w:before="50"/>
        <w:ind w:right="1117"/>
        <w:jc w:val="left"/>
      </w:pPr>
      <w:r>
        <w:rPr>
          <w:rFonts w:ascii="宋体" w:hAnsi="宋体" w:cs="宋体" w:eastAsia="宋体" w:hint="default"/>
          <w:spacing w:val="-5"/>
        </w:rPr>
        <w:t>/</w:t>
      </w:r>
      <w:r>
        <w:rPr>
          <w:spacing w:val="-5"/>
        </w:rPr>
        <w:t>图书馆、刷脸进入考场、刷脸注册报到、刷脸消费等各种需要身份识别的校园场景。帮助高校真正实现</w:t>
      </w:r>
      <w:r>
        <w:rPr>
          <w:rFonts w:ascii="Times New Roman" w:hAnsi="Times New Roman" w:cs="Times New Roman" w:eastAsia="Times New Roman" w:hint="default"/>
          <w:spacing w:val="-5"/>
        </w:rPr>
        <w:t>“</w:t>
      </w:r>
      <w:r>
        <w:rPr>
          <w:spacing w:val="-5"/>
        </w:rPr>
        <w:t>一</w:t>
      </w:r>
      <w:r>
        <w:rPr>
          <w:spacing w:val="-90"/>
        </w:rPr>
        <w:t> </w:t>
      </w:r>
      <w:r>
        <w:rPr/>
        <w:t>体化、智能化</w:t>
      </w:r>
      <w:r>
        <w:rPr>
          <w:rFonts w:ascii="Times New Roman" w:hAnsi="Times New Roman" w:cs="Times New Roman" w:eastAsia="Times New Roman" w:hint="default"/>
        </w:rPr>
        <w:t>”</w:t>
      </w:r>
      <w:r>
        <w:rPr/>
        <w:t>管理，打造平安校园、智慧校园，让师生在学校得到更好的生活和服务体验。</w:t>
      </w:r>
    </w:p>
    <w:p>
      <w:pPr>
        <w:pStyle w:val="BodyText"/>
        <w:spacing w:line="240" w:lineRule="auto" w:before="35"/>
        <w:ind w:left="574" w:right="1117"/>
        <w:jc w:val="left"/>
      </w:pPr>
      <w:r>
        <w:rPr>
          <w:rFonts w:ascii="Times New Roman" w:hAnsi="Times New Roman" w:cs="Times New Roman" w:eastAsia="Times New Roman" w:hint="default"/>
        </w:rPr>
        <w:t>1.1.6</w:t>
      </w:r>
      <w:r>
        <w:rPr>
          <w:rFonts w:ascii="Times New Roman" w:hAnsi="Times New Roman" w:cs="Times New Roman" w:eastAsia="Times New Roman" w:hint="default"/>
          <w:spacing w:val="29"/>
        </w:rPr>
        <w:t> </w:t>
      </w:r>
      <w:r>
        <w:rPr/>
        <w:t>能力开放平台</w:t>
      </w:r>
    </w:p>
    <w:p>
      <w:pPr>
        <w:spacing w:after="0" w:line="240" w:lineRule="auto"/>
        <w:jc w:val="left"/>
        <w:sectPr>
          <w:pgSz w:w="11910" w:h="16840"/>
          <w:pgMar w:header="747" w:footer="979" w:top="1060" w:bottom="1160" w:left="980" w:right="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8"/>
          <w:szCs w:val="18"/>
        </w:rPr>
      </w:pPr>
    </w:p>
    <w:p>
      <w:pPr>
        <w:spacing w:line="4740" w:lineRule="exact"/>
        <w:ind w:left="818" w:right="0" w:firstLine="0"/>
        <w:rPr>
          <w:rFonts w:ascii="宋体" w:hAnsi="宋体" w:cs="宋体" w:eastAsia="宋体" w:hint="default"/>
          <w:sz w:val="20"/>
          <w:szCs w:val="20"/>
        </w:rPr>
      </w:pPr>
      <w:r>
        <w:rPr>
          <w:rFonts w:ascii="宋体" w:hAnsi="宋体" w:cs="宋体" w:eastAsia="宋体" w:hint="default"/>
          <w:position w:val="-94"/>
          <w:sz w:val="20"/>
          <w:szCs w:val="20"/>
        </w:rPr>
        <w:drawing>
          <wp:inline distT="0" distB="0" distL="0" distR="0">
            <wp:extent cx="5267325" cy="3009900"/>
            <wp:effectExtent l="0" t="0" r="0" b="0"/>
            <wp:docPr id="13" name="image8.jpeg" descr=""/>
            <wp:cNvGraphicFramePr>
              <a:graphicFrameLocks noChangeAspect="1"/>
            </wp:cNvGraphicFramePr>
            <a:graphic>
              <a:graphicData uri="http://schemas.openxmlformats.org/drawingml/2006/picture">
                <pic:pic>
                  <pic:nvPicPr>
                    <pic:cNvPr id="14" name="image8.jpeg"/>
                    <pic:cNvPicPr/>
                  </pic:nvPicPr>
                  <pic:blipFill>
                    <a:blip r:embed="rId18" cstate="print"/>
                    <a:stretch>
                      <a:fillRect/>
                    </a:stretch>
                  </pic:blipFill>
                  <pic:spPr>
                    <a:xfrm>
                      <a:off x="0" y="0"/>
                      <a:ext cx="5267325" cy="3009900"/>
                    </a:xfrm>
                    <a:prstGeom prst="rect">
                      <a:avLst/>
                    </a:prstGeom>
                  </pic:spPr>
                </pic:pic>
              </a:graphicData>
            </a:graphic>
          </wp:inline>
        </w:drawing>
      </w:r>
      <w:r>
        <w:rPr>
          <w:rFonts w:ascii="宋体" w:hAnsi="宋体" w:cs="宋体" w:eastAsia="宋体" w:hint="default"/>
          <w:position w:val="-94"/>
          <w:sz w:val="20"/>
          <w:szCs w:val="20"/>
        </w:rPr>
      </w:r>
    </w:p>
    <w:p>
      <w:pPr>
        <w:spacing w:line="240" w:lineRule="auto" w:before="10"/>
        <w:rPr>
          <w:rFonts w:ascii="宋体" w:hAnsi="宋体" w:cs="宋体" w:eastAsia="宋体" w:hint="default"/>
          <w:sz w:val="11"/>
          <w:szCs w:val="11"/>
        </w:rPr>
      </w:pPr>
    </w:p>
    <w:p>
      <w:pPr>
        <w:pStyle w:val="BodyText"/>
        <w:spacing w:line="408" w:lineRule="auto" w:before="35"/>
        <w:ind w:right="1117" w:firstLine="420"/>
        <w:jc w:val="left"/>
      </w:pPr>
      <w:r>
        <w:rPr/>
        <w:t>公司能力开放平台提供核心业务能力输出、支撑全新校园通平台与其他信息化系统进行业务合作。 </w:t>
      </w:r>
      <w:r>
        <w:rPr>
          <w:spacing w:val="-1"/>
        </w:rPr>
        <w:t>平台整合各个系统接口，提供统一、安全的输出接口，实现“对外能力开放，对内服务集成”，面向系统</w:t>
      </w:r>
      <w:r>
        <w:rPr>
          <w:spacing w:val="-84"/>
        </w:rPr>
        <w:t> </w:t>
      </w:r>
      <w:r>
        <w:rPr>
          <w:spacing w:val="-84"/>
        </w:rPr>
      </w:r>
      <w:r>
        <w:rPr>
          <w:spacing w:val="-1"/>
        </w:rPr>
        <w:t>运维、合作伙伴以及最终用户，提供核心能力运营、系统自动化运维、外平台合作伙伴和最终用户自服务</w:t>
      </w:r>
      <w:r>
        <w:rPr>
          <w:spacing w:val="-86"/>
        </w:rPr>
        <w:t> </w:t>
      </w:r>
      <w:r>
        <w:rPr>
          <w:spacing w:val="-86"/>
        </w:rPr>
      </w:r>
      <w:r>
        <w:rPr/>
        <w:t>等多维支撑运维能力，助力智慧校园业务全面拓展。</w:t>
      </w:r>
    </w:p>
    <w:p>
      <w:pPr>
        <w:pStyle w:val="BodyText"/>
        <w:spacing w:line="240" w:lineRule="auto"/>
        <w:ind w:left="574" w:right="1117"/>
        <w:jc w:val="left"/>
      </w:pPr>
      <w:r>
        <w:rPr>
          <w:rFonts w:ascii="Times New Roman" w:hAnsi="Times New Roman" w:cs="Times New Roman" w:eastAsia="Times New Roman" w:hint="default"/>
        </w:rPr>
        <w:t>1.2</w:t>
      </w:r>
      <w:r>
        <w:rPr/>
        <w:t>主要基础应用产品</w:t>
      </w:r>
    </w:p>
    <w:p>
      <w:pPr>
        <w:pStyle w:val="BodyText"/>
        <w:spacing w:line="240" w:lineRule="auto" w:before="177"/>
        <w:ind w:left="574" w:right="1117"/>
        <w:jc w:val="left"/>
      </w:pPr>
      <w:r>
        <w:rPr>
          <w:rFonts w:ascii="Times New Roman" w:hAnsi="Times New Roman" w:cs="Times New Roman" w:eastAsia="Times New Roman" w:hint="default"/>
        </w:rPr>
        <w:t>1.2.1</w:t>
      </w:r>
      <w:r>
        <w:rPr/>
        <w:t>一卡通管理系统</w:t>
      </w:r>
    </w:p>
    <w:p>
      <w:pPr>
        <w:spacing w:line="240" w:lineRule="auto" w:before="7"/>
        <w:rPr>
          <w:rFonts w:ascii="宋体" w:hAnsi="宋体" w:cs="宋体" w:eastAsia="宋体" w:hint="default"/>
          <w:sz w:val="20"/>
          <w:szCs w:val="20"/>
        </w:rPr>
      </w:pPr>
    </w:p>
    <w:p>
      <w:pPr>
        <w:spacing w:line="4665" w:lineRule="exact"/>
        <w:ind w:left="818" w:right="0" w:firstLine="0"/>
        <w:rPr>
          <w:rFonts w:ascii="宋体" w:hAnsi="宋体" w:cs="宋体" w:eastAsia="宋体" w:hint="default"/>
          <w:sz w:val="20"/>
          <w:szCs w:val="20"/>
        </w:rPr>
      </w:pPr>
      <w:r>
        <w:rPr>
          <w:rFonts w:ascii="宋体" w:hAnsi="宋体" w:cs="宋体" w:eastAsia="宋体" w:hint="default"/>
          <w:position w:val="-92"/>
          <w:sz w:val="20"/>
          <w:szCs w:val="20"/>
        </w:rPr>
        <w:drawing>
          <wp:inline distT="0" distB="0" distL="0" distR="0">
            <wp:extent cx="5267325" cy="2962275"/>
            <wp:effectExtent l="0" t="0" r="0" b="0"/>
            <wp:docPr id="15" name="image9.jpeg" descr=""/>
            <wp:cNvGraphicFramePr>
              <a:graphicFrameLocks noChangeAspect="1"/>
            </wp:cNvGraphicFramePr>
            <a:graphic>
              <a:graphicData uri="http://schemas.openxmlformats.org/drawingml/2006/picture">
                <pic:pic>
                  <pic:nvPicPr>
                    <pic:cNvPr id="16" name="image9.jpeg"/>
                    <pic:cNvPicPr/>
                  </pic:nvPicPr>
                  <pic:blipFill>
                    <a:blip r:embed="rId19" cstate="print"/>
                    <a:stretch>
                      <a:fillRect/>
                    </a:stretch>
                  </pic:blipFill>
                  <pic:spPr>
                    <a:xfrm>
                      <a:off x="0" y="0"/>
                      <a:ext cx="5267325" cy="2962275"/>
                    </a:xfrm>
                    <a:prstGeom prst="rect">
                      <a:avLst/>
                    </a:prstGeom>
                  </pic:spPr>
                </pic:pic>
              </a:graphicData>
            </a:graphic>
          </wp:inline>
        </w:drawing>
      </w:r>
      <w:r>
        <w:rPr>
          <w:rFonts w:ascii="宋体" w:hAnsi="宋体" w:cs="宋体" w:eastAsia="宋体" w:hint="default"/>
          <w:position w:val="-92"/>
          <w:sz w:val="20"/>
          <w:szCs w:val="20"/>
        </w:rPr>
      </w:r>
    </w:p>
    <w:p>
      <w:pPr>
        <w:spacing w:after="0" w:line="4665" w:lineRule="exact"/>
        <w:rPr>
          <w:rFonts w:ascii="宋体" w:hAnsi="宋体" w:cs="宋体" w:eastAsia="宋体" w:hint="default"/>
          <w:sz w:val="20"/>
          <w:szCs w:val="20"/>
        </w:rPr>
        <w:sectPr>
          <w:pgSz w:w="11910" w:h="16840"/>
          <w:pgMar w:header="747" w:footer="979" w:top="1060" w:bottom="1160" w:left="980" w:right="0"/>
        </w:sect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0"/>
          <w:szCs w:val="10"/>
        </w:rPr>
      </w:pPr>
    </w:p>
    <w:p>
      <w:pPr>
        <w:spacing w:line="3690" w:lineRule="exact"/>
        <w:ind w:left="818" w:right="0" w:firstLine="0"/>
        <w:rPr>
          <w:rFonts w:ascii="宋体" w:hAnsi="宋体" w:cs="宋体" w:eastAsia="宋体" w:hint="default"/>
          <w:sz w:val="20"/>
          <w:szCs w:val="20"/>
        </w:rPr>
      </w:pPr>
      <w:r>
        <w:rPr>
          <w:rFonts w:ascii="宋体" w:hAnsi="宋体" w:cs="宋体" w:eastAsia="宋体" w:hint="default"/>
          <w:position w:val="-73"/>
          <w:sz w:val="20"/>
          <w:szCs w:val="20"/>
        </w:rPr>
        <w:drawing>
          <wp:inline distT="0" distB="0" distL="0" distR="0">
            <wp:extent cx="5267325" cy="2343150"/>
            <wp:effectExtent l="0" t="0" r="0" b="0"/>
            <wp:docPr id="17" name="image10.jpeg" descr=""/>
            <wp:cNvGraphicFramePr>
              <a:graphicFrameLocks noChangeAspect="1"/>
            </wp:cNvGraphicFramePr>
            <a:graphic>
              <a:graphicData uri="http://schemas.openxmlformats.org/drawingml/2006/picture">
                <pic:pic>
                  <pic:nvPicPr>
                    <pic:cNvPr id="18" name="image10.jpeg"/>
                    <pic:cNvPicPr/>
                  </pic:nvPicPr>
                  <pic:blipFill>
                    <a:blip r:embed="rId20" cstate="print"/>
                    <a:stretch>
                      <a:fillRect/>
                    </a:stretch>
                  </pic:blipFill>
                  <pic:spPr>
                    <a:xfrm>
                      <a:off x="0" y="0"/>
                      <a:ext cx="5267325" cy="2343150"/>
                    </a:xfrm>
                    <a:prstGeom prst="rect">
                      <a:avLst/>
                    </a:prstGeom>
                  </pic:spPr>
                </pic:pic>
              </a:graphicData>
            </a:graphic>
          </wp:inline>
        </w:drawing>
      </w:r>
      <w:r>
        <w:rPr>
          <w:rFonts w:ascii="宋体" w:hAnsi="宋体" w:cs="宋体" w:eastAsia="宋体" w:hint="default"/>
          <w:position w:val="-73"/>
          <w:sz w:val="20"/>
          <w:szCs w:val="20"/>
        </w:rPr>
      </w:r>
    </w:p>
    <w:p>
      <w:pPr>
        <w:pStyle w:val="BodyText"/>
        <w:spacing w:line="408" w:lineRule="auto" w:before="90"/>
        <w:ind w:right="1131" w:firstLine="420"/>
        <w:jc w:val="both"/>
      </w:pPr>
      <w:r>
        <w:rPr>
          <w:spacing w:val="-1"/>
        </w:rPr>
        <w:t>一卡通系统基础管理平台涵盖了分区管理、子系统接入管理、常规参数控制、权限分配、高性能密钥</w:t>
      </w:r>
      <w:r>
        <w:rPr/>
        <w:t> </w:t>
      </w:r>
      <w:r>
        <w:rPr>
          <w:spacing w:val="-1"/>
        </w:rPr>
        <w:t>管理等模块为日常业务处理和安全保障提供了运行基础。由管理中心、客户中心、结算中心等中心为各功</w:t>
      </w:r>
      <w:r>
        <w:rPr>
          <w:spacing w:val="-83"/>
        </w:rPr>
        <w:t> </w:t>
      </w:r>
      <w:r>
        <w:rPr>
          <w:spacing w:val="-83"/>
        </w:rPr>
      </w:r>
      <w:r>
        <w:rPr/>
        <w:t>能系统提供基础服务。</w:t>
      </w:r>
    </w:p>
    <w:p>
      <w:pPr>
        <w:pStyle w:val="BodyText"/>
        <w:spacing w:line="408" w:lineRule="auto"/>
        <w:ind w:right="1131" w:firstLine="420"/>
        <w:jc w:val="both"/>
      </w:pPr>
      <w:r>
        <w:rPr>
          <w:spacing w:val="-1"/>
        </w:rPr>
        <w:t>管理中心是承载整个系统平台内所有运行环境、参数、系统接入控制的重要手段，涵盖子系统接入管</w:t>
      </w:r>
      <w:r>
        <w:rPr/>
        <w:t> </w:t>
      </w:r>
      <w:r>
        <w:rPr>
          <w:spacing w:val="-1"/>
        </w:rPr>
        <w:t>理、环境参数设置、分区管理和配置、交易科目管理和配置、参数、结算信息以及系统权限和日志信息管</w:t>
      </w:r>
      <w:r>
        <w:rPr>
          <w:spacing w:val="-83"/>
        </w:rPr>
        <w:t> </w:t>
      </w:r>
      <w:r>
        <w:rPr>
          <w:spacing w:val="-83"/>
        </w:rPr>
      </w:r>
      <w:r>
        <w:rPr/>
        <w:t>理等。</w:t>
      </w:r>
    </w:p>
    <w:p>
      <w:pPr>
        <w:pStyle w:val="BodyText"/>
        <w:spacing w:line="408" w:lineRule="auto"/>
        <w:ind w:right="1032" w:firstLine="420"/>
        <w:jc w:val="both"/>
      </w:pPr>
      <w:r>
        <w:rPr/>
        <w:t>客户中心承载所有客户管理，涵盖日常卡类型管理、客户身份管理、挂失类型管理、客户批次管理、 客户部门管理、客户信息管理、黑名单管理以及自定义扩展字段管理等。</w:t>
      </w:r>
    </w:p>
    <w:p>
      <w:pPr>
        <w:pStyle w:val="BodyText"/>
        <w:spacing w:line="408" w:lineRule="auto"/>
        <w:ind w:right="1131" w:firstLine="420"/>
        <w:jc w:val="both"/>
      </w:pPr>
      <w:r>
        <w:rPr>
          <w:spacing w:val="-1"/>
        </w:rPr>
        <w:t>结算中心承载平台金融密钥信息，涉及报表明细、账目结转、未决账目、收费管理、结算报表、平衡</w:t>
      </w:r>
      <w:r>
        <w:rPr/>
        <w:t> 报表、明细查询、统计分析、定制报表管理、定制报表集等。</w:t>
      </w:r>
    </w:p>
    <w:p>
      <w:pPr>
        <w:pStyle w:val="BodyText"/>
        <w:spacing w:line="386" w:lineRule="auto"/>
        <w:ind w:left="574" w:right="1117"/>
        <w:jc w:val="left"/>
      </w:pPr>
      <w:r>
        <w:rPr>
          <w:rFonts w:ascii="Times New Roman" w:hAnsi="Times New Roman" w:cs="Times New Roman" w:eastAsia="Times New Roman" w:hint="default"/>
        </w:rPr>
        <w:t>1.2.1.1</w:t>
      </w:r>
      <w:r>
        <w:rPr/>
        <w:t>卡务（账户）管理 </w:t>
      </w:r>
      <w:r>
        <w:rPr>
          <w:spacing w:val="-1"/>
        </w:rPr>
        <w:t>负责系统中所用账户全生命周期的维护，包括教师、学生、部门自聘人员、临时人员等账户。负责日</w:t>
      </w:r>
    </w:p>
    <w:p>
      <w:pPr>
        <w:pStyle w:val="BodyText"/>
        <w:spacing w:line="240" w:lineRule="auto" w:before="65"/>
        <w:ind w:right="0"/>
        <w:jc w:val="both"/>
      </w:pPr>
      <w:r>
        <w:rPr/>
        <w:t>常账户的开户、制卡（可选）、信息变更、挂失</w:t>
      </w:r>
      <w:r>
        <w:rPr>
          <w:rFonts w:ascii="Times New Roman" w:hAnsi="Times New Roman" w:cs="Times New Roman" w:eastAsia="Times New Roman" w:hint="default"/>
        </w:rPr>
        <w:t>\</w:t>
      </w:r>
      <w:r>
        <w:rPr/>
        <w:t>解挂、销户等工作。并生成相应的和记录和报表。</w:t>
      </w:r>
    </w:p>
    <w:p>
      <w:pPr>
        <w:pStyle w:val="BodyText"/>
        <w:spacing w:line="398" w:lineRule="auto" w:before="177"/>
        <w:ind w:right="1117" w:firstLine="420"/>
        <w:jc w:val="left"/>
      </w:pPr>
      <w:r>
        <w:rPr>
          <w:rFonts w:ascii="Times New Roman" w:hAnsi="Times New Roman" w:cs="Times New Roman" w:eastAsia="Times New Roman" w:hint="default"/>
        </w:rPr>
        <w:t>1.2.1.2</w:t>
      </w:r>
      <w:r>
        <w:rPr/>
        <w:t>代扣费系统 </w:t>
      </w:r>
      <w:r>
        <w:rPr>
          <w:spacing w:val="-1"/>
        </w:rPr>
        <w:t>学校财务管理人员可以设置不同的代扣费科目及扣费金额，通过批量导入代扣名单或用户自助的方式，实</w:t>
      </w:r>
      <w:r>
        <w:rPr>
          <w:spacing w:val="-81"/>
        </w:rPr>
        <w:t> </w:t>
      </w:r>
      <w:r>
        <w:rPr>
          <w:spacing w:val="-81"/>
        </w:rPr>
      </w:r>
      <w:r>
        <w:rPr/>
        <w:t>现校园消费场景下的各种费用快捷方便的收取。支持批量代扣及扣费记录的各种方式查询服务。</w:t>
      </w:r>
    </w:p>
    <w:p>
      <w:pPr>
        <w:pStyle w:val="BodyText"/>
        <w:spacing w:line="386" w:lineRule="auto" w:before="54"/>
        <w:ind w:left="574" w:right="1117"/>
        <w:jc w:val="left"/>
      </w:pPr>
      <w:r>
        <w:rPr>
          <w:rFonts w:ascii="Times New Roman" w:hAnsi="Times New Roman" w:cs="Times New Roman" w:eastAsia="Times New Roman" w:hint="default"/>
        </w:rPr>
        <w:t>1.2.1.3</w:t>
      </w:r>
      <w:r>
        <w:rPr/>
        <w:t>补助系统 </w:t>
      </w:r>
      <w:r>
        <w:rPr>
          <w:spacing w:val="-1"/>
        </w:rPr>
        <w:t>各行业客户一般都会给用户发放各种形式的补助，使用一卡通系统的补助管理模块，将补助款发放至</w:t>
      </w:r>
    </w:p>
    <w:p>
      <w:pPr>
        <w:pStyle w:val="BodyText"/>
        <w:spacing w:line="408" w:lineRule="auto" w:before="65"/>
        <w:ind w:right="1131"/>
        <w:jc w:val="both"/>
      </w:pPr>
      <w:r>
        <w:rPr>
          <w:spacing w:val="-1"/>
        </w:rPr>
        <w:t>客户账户，客户在多种自助终端进行领款操作后即可使用这笔款项。补助款的批量导入、自动生成等方式</w:t>
      </w:r>
      <w:r>
        <w:rPr>
          <w:spacing w:val="-83"/>
        </w:rPr>
        <w:t> </w:t>
      </w:r>
      <w:r>
        <w:rPr>
          <w:spacing w:val="-83"/>
        </w:rPr>
      </w:r>
      <w:r>
        <w:rPr>
          <w:spacing w:val="-5"/>
        </w:rPr>
        <w:t>提高了工作效率；“即发即用”提升了用户体验；补助款专款专用、定时清零等约束方式扩展了服务模式，</w:t>
      </w:r>
      <w:r>
        <w:rPr/>
        <w:t> 提高了管理水平。</w:t>
      </w:r>
    </w:p>
    <w:p>
      <w:pPr>
        <w:pStyle w:val="BodyText"/>
        <w:spacing w:line="240" w:lineRule="auto"/>
        <w:ind w:left="574" w:right="1117"/>
        <w:jc w:val="left"/>
      </w:pPr>
      <w:r>
        <w:rPr>
          <w:rFonts w:ascii="Times New Roman" w:hAnsi="Times New Roman" w:cs="Times New Roman" w:eastAsia="Times New Roman" w:hint="default"/>
        </w:rPr>
        <w:t>1.2.1.4</w:t>
      </w:r>
      <w:r>
        <w:rPr/>
        <w:t>虚拟校园卡</w:t>
      </w:r>
    </w:p>
    <w:p>
      <w:pPr>
        <w:spacing w:after="0" w:line="240" w:lineRule="auto"/>
        <w:jc w:val="left"/>
        <w:sectPr>
          <w:pgSz w:w="11910" w:h="16840"/>
          <w:pgMar w:header="747" w:footer="979" w:top="1060" w:bottom="1160" w:left="980" w:right="0"/>
        </w:sectPr>
      </w:pPr>
    </w:p>
    <w:p>
      <w:pPr>
        <w:spacing w:line="240" w:lineRule="auto" w:before="0"/>
        <w:rPr>
          <w:rFonts w:ascii="宋体" w:hAnsi="宋体" w:cs="宋体" w:eastAsia="宋体" w:hint="default"/>
          <w:sz w:val="20"/>
          <w:szCs w:val="20"/>
        </w:rPr>
      </w:pPr>
    </w:p>
    <w:p>
      <w:pPr>
        <w:pStyle w:val="BodyText"/>
        <w:spacing w:line="386" w:lineRule="auto" w:before="174"/>
        <w:ind w:right="0" w:firstLine="420"/>
        <w:jc w:val="left"/>
      </w:pPr>
      <w:r>
        <w:rPr/>
        <w:t>虚拟卡系统让系统具备二维码完成正扫、反扫和</w:t>
      </w:r>
      <w:r>
        <w:rPr>
          <w:rFonts w:ascii="Times New Roman" w:hAnsi="Times New Roman" w:cs="Times New Roman" w:eastAsia="Times New Roman" w:hint="default"/>
        </w:rPr>
        <w:t>NFC</w:t>
      </w:r>
      <w:r>
        <w:rPr/>
        <w:t>手机完成支付和识别的能力。包含了设备管理、</w:t>
      </w:r>
      <w:r>
        <w:rPr>
          <w:spacing w:val="2"/>
        </w:rPr>
        <w:t> </w:t>
      </w:r>
      <w:r>
        <w:rPr/>
        <w:t>临时虚拟卡管理以及对系统常规的参数设置、查询统计等内容。</w:t>
      </w:r>
    </w:p>
    <w:p>
      <w:pPr>
        <w:pStyle w:val="BodyText"/>
        <w:spacing w:line="408" w:lineRule="auto" w:before="65"/>
        <w:ind w:right="1117" w:firstLine="420"/>
        <w:jc w:val="left"/>
      </w:pPr>
      <w:r>
        <w:rPr>
          <w:spacing w:val="-1"/>
        </w:rPr>
        <w:t>临时虚拟卡管理是为通过对临时用户预制人员信息（对接或数据导入），实现临时用户无卡完成虚拟</w:t>
      </w:r>
      <w:r>
        <w:rPr/>
        <w:t> 卡自助开户注册。</w:t>
      </w:r>
    </w:p>
    <w:p>
      <w:pPr>
        <w:pStyle w:val="BodyText"/>
        <w:spacing w:line="386" w:lineRule="auto"/>
        <w:ind w:right="1117" w:firstLine="420"/>
        <w:jc w:val="left"/>
      </w:pPr>
      <w:r>
        <w:rPr>
          <w:spacing w:val="-1"/>
        </w:rPr>
        <w:t>虚拟校园卡使用范围包含了校园支付和识别两大领域，具有正扫、反扫以及</w:t>
      </w:r>
      <w:r>
        <w:rPr>
          <w:rFonts w:ascii="Times New Roman" w:hAnsi="Times New Roman" w:cs="Times New Roman" w:eastAsia="Times New Roman" w:hint="default"/>
          <w:spacing w:val="-1"/>
        </w:rPr>
        <w:t>NFC</w:t>
      </w:r>
      <w:r>
        <w:rPr>
          <w:spacing w:val="-1"/>
        </w:rPr>
        <w:t>层面。虚拟校园卡运</w:t>
      </w:r>
      <w:r>
        <w:rPr/>
        <w:t> 行环境涵盖：完美校园</w:t>
      </w:r>
      <w:r>
        <w:rPr>
          <w:rFonts w:ascii="Times New Roman" w:hAnsi="Times New Roman" w:cs="Times New Roman" w:eastAsia="Times New Roman" w:hint="default"/>
        </w:rPr>
        <w:t>App</w:t>
      </w:r>
      <w:r>
        <w:rPr/>
        <w:t>，微信</w:t>
      </w:r>
      <w:r>
        <w:rPr>
          <w:rFonts w:ascii="Times New Roman" w:hAnsi="Times New Roman" w:cs="Times New Roman" w:eastAsia="Times New Roman" w:hint="default"/>
        </w:rPr>
        <w:t>App</w:t>
      </w:r>
      <w:r>
        <w:rPr/>
        <w:t>，支付宝</w:t>
      </w:r>
      <w:r>
        <w:rPr>
          <w:rFonts w:ascii="Times New Roman" w:hAnsi="Times New Roman" w:cs="Times New Roman" w:eastAsia="Times New Roman" w:hint="default"/>
        </w:rPr>
        <w:t>App</w:t>
      </w:r>
      <w:r>
        <w:rPr/>
        <w:t>，其他银行</w:t>
      </w:r>
      <w:r>
        <w:rPr>
          <w:rFonts w:ascii="Times New Roman" w:hAnsi="Times New Roman" w:cs="Times New Roman" w:eastAsia="Times New Roman" w:hint="default"/>
        </w:rPr>
        <w:t>App</w:t>
      </w:r>
      <w:r>
        <w:rPr/>
        <w:t>等。</w:t>
      </w:r>
    </w:p>
    <w:p>
      <w:pPr>
        <w:spacing w:line="3345" w:lineRule="exact"/>
        <w:ind w:left="953" w:right="0" w:firstLine="0"/>
        <w:rPr>
          <w:rFonts w:ascii="宋体" w:hAnsi="宋体" w:cs="宋体" w:eastAsia="宋体" w:hint="default"/>
          <w:sz w:val="20"/>
          <w:szCs w:val="20"/>
        </w:rPr>
      </w:pPr>
      <w:r>
        <w:rPr>
          <w:rFonts w:ascii="宋体" w:hAnsi="宋体" w:cs="宋体" w:eastAsia="宋体" w:hint="default"/>
          <w:position w:val="-66"/>
          <w:sz w:val="20"/>
          <w:szCs w:val="20"/>
        </w:rPr>
        <w:drawing>
          <wp:inline distT="0" distB="0" distL="0" distR="0">
            <wp:extent cx="5105400" cy="2124075"/>
            <wp:effectExtent l="0" t="0" r="0" b="0"/>
            <wp:docPr id="19" name="image11.jpeg" descr=""/>
            <wp:cNvGraphicFramePr>
              <a:graphicFrameLocks noChangeAspect="1"/>
            </wp:cNvGraphicFramePr>
            <a:graphic>
              <a:graphicData uri="http://schemas.openxmlformats.org/drawingml/2006/picture">
                <pic:pic>
                  <pic:nvPicPr>
                    <pic:cNvPr id="20" name="image11.jpeg"/>
                    <pic:cNvPicPr/>
                  </pic:nvPicPr>
                  <pic:blipFill>
                    <a:blip r:embed="rId21" cstate="print"/>
                    <a:stretch>
                      <a:fillRect/>
                    </a:stretch>
                  </pic:blipFill>
                  <pic:spPr>
                    <a:xfrm>
                      <a:off x="0" y="0"/>
                      <a:ext cx="5105400" cy="2124075"/>
                    </a:xfrm>
                    <a:prstGeom prst="rect">
                      <a:avLst/>
                    </a:prstGeom>
                  </pic:spPr>
                </pic:pic>
              </a:graphicData>
            </a:graphic>
          </wp:inline>
        </w:drawing>
      </w:r>
      <w:r>
        <w:rPr>
          <w:rFonts w:ascii="宋体" w:hAnsi="宋体" w:cs="宋体" w:eastAsia="宋体" w:hint="default"/>
          <w:position w:val="-66"/>
          <w:sz w:val="20"/>
          <w:szCs w:val="20"/>
        </w:rPr>
      </w:r>
    </w:p>
    <w:p>
      <w:pPr>
        <w:pStyle w:val="BodyText"/>
        <w:spacing w:line="386" w:lineRule="auto" w:before="122"/>
        <w:ind w:left="574" w:right="1117"/>
        <w:jc w:val="left"/>
      </w:pPr>
      <w:r>
        <w:rPr>
          <w:rFonts w:ascii="Times New Roman" w:hAnsi="Times New Roman" w:cs="Times New Roman" w:eastAsia="Times New Roman" w:hint="default"/>
        </w:rPr>
        <w:t>1.2.2</w:t>
      </w:r>
      <w:r>
        <w:rPr/>
        <w:t>自助服务系统 </w:t>
      </w:r>
      <w:r>
        <w:rPr>
          <w:spacing w:val="-1"/>
        </w:rPr>
        <w:t>面向在校师生及商户，依托学校现有环境，首先建设线下人工服务大厅及自助服务大厅，再依托学校</w:t>
      </w:r>
    </w:p>
    <w:p>
      <w:pPr>
        <w:pStyle w:val="BodyText"/>
        <w:spacing w:line="386" w:lineRule="auto" w:before="65"/>
        <w:ind w:left="574" w:right="1117" w:hanging="420"/>
        <w:jc w:val="left"/>
      </w:pPr>
      <w:r>
        <w:rPr>
          <w:rFonts w:ascii="Times New Roman" w:hAnsi="Times New Roman" w:cs="Times New Roman" w:eastAsia="Times New Roman" w:hint="default"/>
        </w:rPr>
        <w:t>OA</w:t>
      </w:r>
      <w:r>
        <w:rPr/>
        <w:t>门户建设线上</w:t>
      </w:r>
      <w:r>
        <w:rPr>
          <w:rFonts w:ascii="Times New Roman" w:hAnsi="Times New Roman" w:cs="Times New Roman" w:eastAsia="Times New Roman" w:hint="default"/>
        </w:rPr>
        <w:t>WEB</w:t>
      </w:r>
      <w:r>
        <w:rPr/>
        <w:t>端自助服务大厅，为在校师生提供便捷、稳定的服务体系。 </w:t>
      </w:r>
      <w:r>
        <w:rPr>
          <w:rFonts w:ascii="Times New Roman" w:hAnsi="Times New Roman" w:cs="Times New Roman" w:eastAsia="Times New Roman" w:hint="default"/>
        </w:rPr>
        <w:t>1.2.2.1</w:t>
      </w:r>
      <w:r>
        <w:rPr/>
        <w:t>综合门户一站式服务中心 </w:t>
      </w:r>
      <w:r>
        <w:rPr>
          <w:spacing w:val="-1"/>
        </w:rPr>
        <w:t>除了实现用户的全面信息查询和常用业务操作，还实现了综合门户一站式服务中心。集中展示校园账</w:t>
      </w:r>
    </w:p>
    <w:p>
      <w:pPr>
        <w:pStyle w:val="BodyText"/>
        <w:spacing w:line="408" w:lineRule="auto" w:before="65"/>
        <w:ind w:right="1032"/>
        <w:jc w:val="both"/>
      </w:pPr>
      <w:r>
        <w:rPr/>
        <w:t>户内全场景相关的新闻公告、自助服务、失物招领、常见问题、问题反馈、资料下载等公共的信息服务；</w:t>
      </w:r>
      <w:r>
        <w:rPr>
          <w:spacing w:val="-38"/>
        </w:rPr>
        <w:t> </w:t>
      </w:r>
      <w:r>
        <w:rPr>
          <w:spacing w:val="-38"/>
        </w:rPr>
      </w:r>
      <w:r>
        <w:rPr/>
        <w:t>为用户和商户提供了便利的业务处理和信息查询服务。</w:t>
      </w:r>
    </w:p>
    <w:p>
      <w:pPr>
        <w:pStyle w:val="BodyText"/>
        <w:spacing w:line="386" w:lineRule="auto"/>
        <w:ind w:left="574" w:right="1117"/>
        <w:jc w:val="left"/>
      </w:pPr>
      <w:r>
        <w:rPr>
          <w:rFonts w:ascii="Times New Roman" w:hAnsi="Times New Roman" w:cs="Times New Roman" w:eastAsia="Times New Roman" w:hint="default"/>
        </w:rPr>
        <w:t>1.2.2.2</w:t>
      </w:r>
      <w:r>
        <w:rPr/>
        <w:t>圈存转账管理系统 </w:t>
      </w:r>
      <w:r>
        <w:rPr>
          <w:spacing w:val="-1"/>
        </w:rPr>
        <w:t>圈存转账管理系统主要用于客户的资金从银行卡划转到智能卡或虚拟账户，通过遍布校园的自助圈存</w:t>
      </w:r>
    </w:p>
    <w:p>
      <w:pPr>
        <w:pStyle w:val="BodyText"/>
        <w:spacing w:line="386" w:lineRule="auto" w:before="65"/>
        <w:ind w:right="1131"/>
        <w:jc w:val="both"/>
      </w:pPr>
      <w:r>
        <w:rPr>
          <w:spacing w:val="-2"/>
        </w:rPr>
        <w:t>机实现</w:t>
      </w:r>
      <w:r>
        <w:rPr>
          <w:rFonts w:ascii="Times New Roman" w:hAnsi="Times New Roman" w:cs="Times New Roman" w:eastAsia="Times New Roman" w:hint="default"/>
          <w:spacing w:val="-2"/>
        </w:rPr>
        <w:t>7×24</w:t>
      </w:r>
      <w:r>
        <w:rPr>
          <w:spacing w:val="-2"/>
        </w:rPr>
        <w:t>小时服务。同时，也可实现公告发布、补助领取、小额代扣</w:t>
      </w:r>
      <w:r>
        <w:rPr>
          <w:rFonts w:ascii="Times New Roman" w:hAnsi="Times New Roman" w:cs="Times New Roman" w:eastAsia="Times New Roman" w:hint="default"/>
          <w:spacing w:val="-2"/>
        </w:rPr>
        <w:t>\</w:t>
      </w:r>
      <w:r>
        <w:rPr>
          <w:spacing w:val="-2"/>
        </w:rPr>
        <w:t>代缴费、综合查询等功能。系统内</w:t>
      </w:r>
      <w:r>
        <w:rPr/>
        <w:t> 核采用银联</w:t>
      </w:r>
      <w:r>
        <w:rPr>
          <w:rFonts w:ascii="Times New Roman" w:hAnsi="Times New Roman" w:cs="Times New Roman" w:eastAsia="Times New Roman" w:hint="default"/>
        </w:rPr>
        <w:t>POS</w:t>
      </w:r>
      <w:r>
        <w:rPr/>
        <w:t>交易机制，外围软件模块通过配置可同时实现不同银行差异化的业务流程和报文接口。</w:t>
      </w:r>
    </w:p>
    <w:p>
      <w:pPr>
        <w:pStyle w:val="BodyText"/>
        <w:spacing w:line="386" w:lineRule="auto" w:before="35"/>
        <w:ind w:left="574" w:right="1117"/>
        <w:jc w:val="left"/>
      </w:pPr>
      <w:r>
        <w:rPr>
          <w:rFonts w:ascii="Times New Roman" w:hAnsi="Times New Roman" w:cs="Times New Roman" w:eastAsia="Times New Roman" w:hint="default"/>
        </w:rPr>
        <w:t>1.2.2.3</w:t>
      </w:r>
      <w:r>
        <w:rPr/>
        <w:t>自助现金充值补卡系统 </w:t>
      </w:r>
      <w:r>
        <w:rPr>
          <w:spacing w:val="-1"/>
        </w:rPr>
        <w:t>自助充值补卡系统，通过将日渐成熟的一卡通系统和自助设备技术的结合，让用户使用自助设备即可</w:t>
      </w:r>
    </w:p>
    <w:p>
      <w:pPr>
        <w:pStyle w:val="BodyText"/>
        <w:spacing w:line="398" w:lineRule="auto" w:before="65"/>
        <w:ind w:right="1131"/>
        <w:jc w:val="both"/>
      </w:pPr>
      <w:r>
        <w:rPr>
          <w:spacing w:val="-1"/>
        </w:rPr>
        <w:t>完成卡片业务的办理，如：实现</w:t>
      </w:r>
      <w:r>
        <w:rPr>
          <w:rFonts w:ascii="Times New Roman" w:hAnsi="Times New Roman" w:cs="Times New Roman" w:eastAsia="Times New Roman" w:hint="default"/>
          <w:spacing w:val="-1"/>
        </w:rPr>
        <w:t>7×24</w:t>
      </w:r>
      <w:r>
        <w:rPr>
          <w:spacing w:val="-1"/>
        </w:rPr>
        <w:t>小时自助化的补卡、充值、挂失及查询等服务、支持二代身份证识别</w:t>
      </w:r>
      <w:r>
        <w:rPr>
          <w:spacing w:val="-100"/>
        </w:rPr>
        <w:t> </w:t>
      </w:r>
      <w:r>
        <w:rPr>
          <w:spacing w:val="-100"/>
        </w:rPr>
      </w:r>
      <w:r>
        <w:rPr>
          <w:spacing w:val="-1"/>
        </w:rPr>
        <w:t>验证身份后进行补卡（发卡）操作、现金、微信、支付宝及其他第三方支付方式进行充值等，已成为方便</w:t>
      </w:r>
      <w:r>
        <w:rPr>
          <w:spacing w:val="-83"/>
        </w:rPr>
        <w:t> </w:t>
      </w:r>
      <w:r>
        <w:rPr>
          <w:spacing w:val="-83"/>
        </w:rPr>
      </w:r>
      <w:r>
        <w:rPr/>
        <w:t>师生办事和提高工作效率的便捷途径。</w:t>
      </w:r>
    </w:p>
    <w:p>
      <w:pPr>
        <w:spacing w:after="0" w:line="398" w:lineRule="auto"/>
        <w:jc w:val="both"/>
        <w:sectPr>
          <w:pgSz w:w="11910" w:h="16840"/>
          <w:pgMar w:header="747" w:footer="979" w:top="1060" w:bottom="1160" w:left="980" w:right="0"/>
        </w:sectPr>
      </w:pPr>
    </w:p>
    <w:p>
      <w:pPr>
        <w:spacing w:line="240" w:lineRule="auto" w:before="0"/>
        <w:rPr>
          <w:rFonts w:ascii="宋体" w:hAnsi="宋体" w:cs="宋体" w:eastAsia="宋体" w:hint="default"/>
          <w:sz w:val="20"/>
          <w:szCs w:val="20"/>
        </w:rPr>
      </w:pPr>
    </w:p>
    <w:p>
      <w:pPr>
        <w:pStyle w:val="BodyText"/>
        <w:spacing w:line="386" w:lineRule="auto" w:before="174"/>
        <w:ind w:left="574" w:right="1117"/>
        <w:jc w:val="left"/>
      </w:pPr>
      <w:r>
        <w:rPr>
          <w:rFonts w:ascii="Times New Roman" w:hAnsi="Times New Roman" w:cs="Times New Roman" w:eastAsia="Times New Roman" w:hint="default"/>
        </w:rPr>
        <w:t>1.2.3</w:t>
      </w:r>
      <w:r>
        <w:rPr/>
        <w:t>门禁管理系统 </w:t>
      </w:r>
      <w:r>
        <w:rPr>
          <w:spacing w:val="-1"/>
        </w:rPr>
        <w:t>门禁管理系统是控制和管理人员进出，并准确记录和统计管理数据的数字化出入控制系统。门禁管理</w:t>
      </w:r>
    </w:p>
    <w:p>
      <w:pPr>
        <w:pStyle w:val="BodyText"/>
        <w:spacing w:line="408" w:lineRule="auto" w:before="65"/>
        <w:ind w:right="1131"/>
        <w:jc w:val="both"/>
      </w:pPr>
      <w:r>
        <w:rPr>
          <w:spacing w:val="-1"/>
        </w:rPr>
        <w:t>系统的建设有助于加强学生及校教职工人员的出入管理工作，公共区域自由通行，实现重点区域保障。针</w:t>
      </w:r>
      <w:r>
        <w:rPr>
          <w:spacing w:val="-83"/>
        </w:rPr>
        <w:t> </w:t>
      </w:r>
      <w:r>
        <w:rPr>
          <w:spacing w:val="-83"/>
        </w:rPr>
      </w:r>
      <w:r>
        <w:rPr>
          <w:spacing w:val="-1"/>
        </w:rPr>
        <w:t>对学生宿舍及教学楼、实验室等安全性要求高区域，学生和工作人员通过刷卡或人脸识别方式出入，有效</w:t>
      </w:r>
      <w:r>
        <w:rPr>
          <w:spacing w:val="-83"/>
        </w:rPr>
        <w:t> </w:t>
      </w:r>
      <w:r>
        <w:rPr>
          <w:spacing w:val="-83"/>
        </w:rPr>
      </w:r>
      <w:r>
        <w:rPr/>
        <w:t>防范外来人员对学校安全防范工作的干扰或破坏。</w:t>
      </w:r>
    </w:p>
    <w:p>
      <w:pPr>
        <w:pStyle w:val="BodyText"/>
        <w:spacing w:line="408" w:lineRule="auto"/>
        <w:ind w:right="1131" w:firstLine="420"/>
        <w:jc w:val="both"/>
      </w:pPr>
      <w:r>
        <w:rPr>
          <w:spacing w:val="-1"/>
        </w:rPr>
        <w:t>门禁管理系统具有消防报警联动及视频抓拍的功能。通过门禁管理与报警、视频抓拍联动，可以加强</w:t>
      </w:r>
      <w:r>
        <w:rPr/>
        <w:t> </w:t>
      </w:r>
      <w:r>
        <w:rPr>
          <w:spacing w:val="-1"/>
        </w:rPr>
        <w:t>安保管理人员的防范意识，及时对突发事件作出反应，实现对出入口车辆、人员进行有效控制，保障在校</w:t>
      </w:r>
      <w:r>
        <w:rPr>
          <w:spacing w:val="-86"/>
        </w:rPr>
        <w:t> </w:t>
      </w:r>
      <w:r>
        <w:rPr>
          <w:spacing w:val="-86"/>
        </w:rPr>
      </w:r>
      <w:r>
        <w:rPr/>
        <w:t>师生的安全。</w:t>
      </w:r>
    </w:p>
    <w:p>
      <w:pPr>
        <w:spacing w:line="240" w:lineRule="auto" w:before="5"/>
        <w:rPr>
          <w:rFonts w:ascii="宋体" w:hAnsi="宋体" w:cs="宋体" w:eastAsia="宋体" w:hint="default"/>
          <w:sz w:val="10"/>
          <w:szCs w:val="10"/>
        </w:rPr>
      </w:pPr>
    </w:p>
    <w:p>
      <w:pPr>
        <w:spacing w:line="3735" w:lineRule="exact"/>
        <w:ind w:left="818" w:right="0" w:firstLine="0"/>
        <w:rPr>
          <w:rFonts w:ascii="宋体" w:hAnsi="宋体" w:cs="宋体" w:eastAsia="宋体" w:hint="default"/>
          <w:sz w:val="20"/>
          <w:szCs w:val="20"/>
        </w:rPr>
      </w:pPr>
      <w:r>
        <w:rPr>
          <w:rFonts w:ascii="宋体" w:hAnsi="宋体" w:cs="宋体" w:eastAsia="宋体" w:hint="default"/>
          <w:position w:val="-74"/>
          <w:sz w:val="20"/>
          <w:szCs w:val="20"/>
        </w:rPr>
        <w:drawing>
          <wp:inline distT="0" distB="0" distL="0" distR="0">
            <wp:extent cx="5276850" cy="2371725"/>
            <wp:effectExtent l="0" t="0" r="0" b="0"/>
            <wp:docPr id="21" name="image12.jpeg" descr=""/>
            <wp:cNvGraphicFramePr>
              <a:graphicFrameLocks noChangeAspect="1"/>
            </wp:cNvGraphicFramePr>
            <a:graphic>
              <a:graphicData uri="http://schemas.openxmlformats.org/drawingml/2006/picture">
                <pic:pic>
                  <pic:nvPicPr>
                    <pic:cNvPr id="22" name="image12.jpeg"/>
                    <pic:cNvPicPr/>
                  </pic:nvPicPr>
                  <pic:blipFill>
                    <a:blip r:embed="rId22" cstate="print"/>
                    <a:stretch>
                      <a:fillRect/>
                    </a:stretch>
                  </pic:blipFill>
                  <pic:spPr>
                    <a:xfrm>
                      <a:off x="0" y="0"/>
                      <a:ext cx="5276850" cy="2371725"/>
                    </a:xfrm>
                    <a:prstGeom prst="rect">
                      <a:avLst/>
                    </a:prstGeom>
                  </pic:spPr>
                </pic:pic>
              </a:graphicData>
            </a:graphic>
          </wp:inline>
        </w:drawing>
      </w:r>
      <w:r>
        <w:rPr>
          <w:rFonts w:ascii="宋体" w:hAnsi="宋体" w:cs="宋体" w:eastAsia="宋体" w:hint="default"/>
          <w:position w:val="-74"/>
          <w:sz w:val="20"/>
          <w:szCs w:val="20"/>
        </w:rPr>
      </w:r>
    </w:p>
    <w:p>
      <w:pPr>
        <w:spacing w:line="240" w:lineRule="auto" w:before="9"/>
        <w:rPr>
          <w:rFonts w:ascii="宋体" w:hAnsi="宋体" w:cs="宋体" w:eastAsia="宋体" w:hint="default"/>
          <w:sz w:val="17"/>
          <w:szCs w:val="17"/>
        </w:rPr>
      </w:pPr>
    </w:p>
    <w:p>
      <w:pPr>
        <w:pStyle w:val="BodyText"/>
        <w:spacing w:line="408" w:lineRule="auto" w:before="0"/>
        <w:ind w:right="1130" w:firstLine="420"/>
        <w:jc w:val="both"/>
      </w:pPr>
      <w:r>
        <w:rPr>
          <w:spacing w:val="-1"/>
        </w:rPr>
        <w:t>门禁管理系统可对接入校园一卡通平台，作为校园一卡通的一个应用功能。门禁管理系统对人员进行</w:t>
      </w:r>
      <w:r>
        <w:rPr/>
        <w:t> </w:t>
      </w:r>
      <w:r>
        <w:rPr>
          <w:spacing w:val="-5"/>
        </w:rPr>
        <w:t>身份鉴别、确认，对通行时间等进行实时控制和记录，可对记录数据进行整理分析统计，如晚归学生统计、</w:t>
      </w:r>
      <w:r>
        <w:rPr>
          <w:spacing w:val="-102"/>
        </w:rPr>
        <w:t> </w:t>
      </w:r>
      <w:r>
        <w:rPr>
          <w:spacing w:val="-102"/>
        </w:rPr>
      </w:r>
      <w:r>
        <w:rPr/>
        <w:t>人流量统计等。为后勤管理部门进行相关决策与提供相应报表提供数据依据。</w:t>
      </w:r>
    </w:p>
    <w:p>
      <w:pPr>
        <w:pStyle w:val="BodyText"/>
        <w:spacing w:line="386" w:lineRule="auto"/>
        <w:ind w:left="574" w:right="1117"/>
        <w:jc w:val="left"/>
      </w:pPr>
      <w:r>
        <w:rPr>
          <w:rFonts w:ascii="Times New Roman" w:hAnsi="Times New Roman" w:cs="Times New Roman" w:eastAsia="Times New Roman" w:hint="default"/>
        </w:rPr>
        <w:t>1.2.4</w:t>
      </w:r>
      <w:r>
        <w:rPr/>
        <w:t>智慧教室系统 </w:t>
      </w:r>
      <w:r>
        <w:rPr>
          <w:spacing w:val="-1"/>
        </w:rPr>
        <w:t>智慧教室集成教务考勤管理、教务考勤服务、电子班牌、实时监控、课堂点名、考场管理系统、教室</w:t>
      </w:r>
    </w:p>
    <w:p>
      <w:pPr>
        <w:pStyle w:val="BodyText"/>
        <w:spacing w:line="408" w:lineRule="auto" w:before="65"/>
        <w:ind w:right="1131"/>
        <w:jc w:val="both"/>
      </w:pPr>
      <w:r>
        <w:rPr>
          <w:spacing w:val="-1"/>
        </w:rPr>
        <w:t>借用、自习室预约、教室出入、移动服务、教室环境监控、教室环境调节等多种应用系统，实现真正意义</w:t>
      </w:r>
      <w:r>
        <w:rPr>
          <w:spacing w:val="-83"/>
        </w:rPr>
        <w:t> </w:t>
      </w:r>
      <w:r>
        <w:rPr>
          <w:spacing w:val="-83"/>
        </w:rPr>
      </w:r>
      <w:r>
        <w:rPr/>
        <w:t>上的智慧教室平台。</w:t>
      </w:r>
    </w:p>
    <w:p>
      <w:pPr>
        <w:pStyle w:val="BodyText"/>
        <w:spacing w:line="403" w:lineRule="auto"/>
        <w:ind w:right="1130" w:firstLine="420"/>
        <w:jc w:val="both"/>
      </w:pPr>
      <w:r>
        <w:rPr>
          <w:spacing w:val="-2"/>
        </w:rPr>
        <w:t>通过校园卡</w:t>
      </w:r>
      <w:r>
        <w:rPr>
          <w:rFonts w:ascii="Times New Roman" w:hAnsi="Times New Roman" w:cs="Times New Roman" w:eastAsia="Times New Roman" w:hint="default"/>
          <w:spacing w:val="-2"/>
        </w:rPr>
        <w:t>+</w:t>
      </w:r>
      <w:r>
        <w:rPr>
          <w:spacing w:val="-2"/>
        </w:rPr>
        <w:t>拍照、校园卡</w:t>
      </w:r>
      <w:r>
        <w:rPr>
          <w:rFonts w:ascii="Times New Roman" w:hAnsi="Times New Roman" w:cs="Times New Roman" w:eastAsia="Times New Roman" w:hint="default"/>
          <w:spacing w:val="-2"/>
        </w:rPr>
        <w:t>+</w:t>
      </w:r>
      <w:r>
        <w:rPr>
          <w:spacing w:val="-2"/>
        </w:rPr>
        <w:t>人脸识别在先进的智能身份识别终端完成身份验证，可以有效杜绝学生的</w:t>
      </w:r>
      <w:r>
        <w:rPr/>
        <w:t> </w:t>
      </w:r>
      <w:r>
        <w:rPr>
          <w:spacing w:val="-1"/>
        </w:rPr>
        <w:t>替代上课情况，帮助学校完善教学管理的监控工作，最终完成教室上课情况的采集和统计。另外，还可以</w:t>
      </w:r>
      <w:r>
        <w:rPr>
          <w:spacing w:val="-86"/>
        </w:rPr>
        <w:t> </w:t>
      </w:r>
      <w:r>
        <w:rPr>
          <w:spacing w:val="-86"/>
        </w:rPr>
      </w:r>
      <w:r>
        <w:rPr>
          <w:spacing w:val="-1"/>
        </w:rPr>
        <w:t>替代课堂点名制度，直接为授课教师统计应到、实到、迟到、未到等学生信息。节省了课程时间，并为教</w:t>
      </w:r>
      <w:r>
        <w:rPr>
          <w:spacing w:val="-83"/>
        </w:rPr>
        <w:t> </w:t>
      </w:r>
      <w:r>
        <w:rPr>
          <w:spacing w:val="-83"/>
        </w:rPr>
      </w:r>
      <w:r>
        <w:rPr>
          <w:spacing w:val="-1"/>
        </w:rPr>
        <w:t>师的日常评分提供有效依据。老师和学生都可以通过完美校园手机服务端查询课程信息，对未拿卡情况进</w:t>
      </w:r>
      <w:r>
        <w:rPr>
          <w:spacing w:val="-80"/>
        </w:rPr>
        <w:t> </w:t>
      </w:r>
      <w:r>
        <w:rPr>
          <w:spacing w:val="-80"/>
        </w:rPr>
      </w:r>
      <w:r>
        <w:rPr/>
        <w:t>行申报和当场审核，解决忘带卡的问题。</w:t>
      </w:r>
    </w:p>
    <w:p>
      <w:pPr>
        <w:pStyle w:val="BodyText"/>
        <w:spacing w:line="240" w:lineRule="auto" w:before="50"/>
        <w:ind w:left="574" w:right="0"/>
        <w:jc w:val="left"/>
      </w:pPr>
      <w:r>
        <w:rPr/>
        <w:t>对于有重要设备的多媒体教室，对中控机柜进行改造升级后即可完成对多媒体教室的电子化、信息化</w:t>
      </w:r>
    </w:p>
    <w:p>
      <w:pPr>
        <w:spacing w:after="0" w:line="240" w:lineRule="auto"/>
        <w:jc w:val="left"/>
        <w:sectPr>
          <w:pgSz w:w="11910" w:h="16840"/>
          <w:pgMar w:header="747" w:footer="979" w:top="1060" w:bottom="1160" w:left="980" w:right="0"/>
        </w:sectPr>
      </w:pPr>
    </w:p>
    <w:p>
      <w:pPr>
        <w:spacing w:line="240" w:lineRule="auto" w:before="0"/>
        <w:rPr>
          <w:rFonts w:ascii="宋体" w:hAnsi="宋体" w:cs="宋体" w:eastAsia="宋体" w:hint="default"/>
          <w:sz w:val="20"/>
          <w:szCs w:val="20"/>
        </w:rPr>
      </w:pPr>
    </w:p>
    <w:p>
      <w:pPr>
        <w:pStyle w:val="BodyText"/>
        <w:spacing w:line="408" w:lineRule="auto" w:before="174"/>
        <w:ind w:right="1023"/>
        <w:jc w:val="left"/>
      </w:pPr>
      <w:r>
        <w:rPr/>
        <w:t>升级，实现多媒体教室管理的自动化与网络化，整体提升多媒体教室的管理水平，提高管理效率，省去机 </w:t>
      </w:r>
      <w:r>
        <w:rPr>
          <w:spacing w:val="-3"/>
        </w:rPr>
        <w:t>械钥匙管理的弊端。并且可以精确记录多媒体教室的使用情况，有效监督管控多媒体教室的实际使用情况。</w:t>
      </w:r>
    </w:p>
    <w:p>
      <w:pPr>
        <w:pStyle w:val="BodyText"/>
        <w:spacing w:line="408" w:lineRule="auto"/>
        <w:ind w:right="1131" w:firstLine="420"/>
        <w:jc w:val="both"/>
      </w:pPr>
      <w:r>
        <w:rPr>
          <w:spacing w:val="-1"/>
        </w:rPr>
        <w:t>系统使用标准的数据规范和开放、安全的架构，完成数据的共享。一方面与教务系统的各类信息进行</w:t>
      </w:r>
      <w:r>
        <w:rPr/>
        <w:t> </w:t>
      </w:r>
      <w:r>
        <w:rPr>
          <w:spacing w:val="-1"/>
        </w:rPr>
        <w:t>对接，另一方面对学生考勤数据对学校开放共享，在智慧校园的大数据中心，可以通过数据模型与其他数</w:t>
      </w:r>
      <w:r>
        <w:rPr>
          <w:spacing w:val="-83"/>
        </w:rPr>
        <w:t> </w:t>
      </w:r>
      <w:r>
        <w:rPr>
          <w:spacing w:val="-83"/>
        </w:rPr>
      </w:r>
      <w:r>
        <w:rPr/>
        <w:t>据一共挖掘出学生的学习状态、素质等，为优化教学过程提供数据支撑和参考。</w:t>
      </w:r>
    </w:p>
    <w:p>
      <w:pPr>
        <w:pStyle w:val="BodyText"/>
        <w:spacing w:line="386" w:lineRule="auto"/>
        <w:ind w:left="574" w:right="1197"/>
        <w:jc w:val="left"/>
      </w:pPr>
      <w:r>
        <w:rPr>
          <w:rFonts w:ascii="Times New Roman" w:hAnsi="Times New Roman" w:cs="Times New Roman" w:eastAsia="Times New Roman" w:hint="default"/>
        </w:rPr>
        <w:t>1.2.5</w:t>
      </w:r>
      <w:r>
        <w:rPr>
          <w:rFonts w:ascii="Times New Roman" w:hAnsi="Times New Roman" w:cs="Times New Roman" w:eastAsia="Times New Roman" w:hint="default"/>
          <w:spacing w:val="31"/>
        </w:rPr>
        <w:t> </w:t>
      </w:r>
      <w:r>
        <w:rPr/>
        <w:t>通用移动互联平台 公司不仅自主研发平台应用，还为第三方提供科技服务输出，将“互联网</w:t>
      </w:r>
      <w:r>
        <w:rPr>
          <w:rFonts w:ascii="宋体" w:hAnsi="宋体" w:cs="宋体" w:eastAsia="宋体" w:hint="default"/>
        </w:rPr>
        <w:t>+</w:t>
      </w:r>
      <w:r>
        <w:rPr/>
        <w:t>教育”的产业互联网建设</w:t>
      </w:r>
    </w:p>
    <w:p>
      <w:pPr>
        <w:pStyle w:val="BodyText"/>
        <w:spacing w:line="393" w:lineRule="auto" w:before="65"/>
        <w:ind w:right="1129"/>
        <w:jc w:val="both"/>
      </w:pPr>
      <w:r>
        <w:rPr>
          <w:spacing w:val="-1"/>
        </w:rPr>
        <w:t>经验以产品输出、场景共建、服务托管的模式与大型金融机构合作，承建校园行业运营平台，并结合公司</w:t>
      </w:r>
      <w:r>
        <w:rPr>
          <w:spacing w:val="-86"/>
        </w:rPr>
        <w:t> </w:t>
      </w:r>
      <w:r>
        <w:rPr>
          <w:spacing w:val="-86"/>
        </w:rPr>
      </w:r>
      <w:r>
        <w:rPr>
          <w:spacing w:val="-2"/>
        </w:rPr>
        <w:t>的综合</w:t>
      </w:r>
      <w:r>
        <w:rPr>
          <w:rFonts w:ascii="Times New Roman" w:hAnsi="Times New Roman" w:cs="Times New Roman" w:eastAsia="Times New Roman" w:hint="default"/>
          <w:spacing w:val="-2"/>
        </w:rPr>
        <w:t>SaaS</w:t>
      </w:r>
      <w:r>
        <w:rPr>
          <w:spacing w:val="-2"/>
        </w:rPr>
        <w:t>服务，共创智慧校园金融科技解决方案，如中银</w:t>
      </w:r>
      <w:r>
        <w:rPr>
          <w:rFonts w:ascii="Times New Roman" w:hAnsi="Times New Roman" w:cs="Times New Roman" w:eastAsia="Times New Roman" w:hint="default"/>
          <w:spacing w:val="-2"/>
        </w:rPr>
        <w:t>E</w:t>
      </w:r>
      <w:r>
        <w:rPr>
          <w:spacing w:val="-2"/>
        </w:rPr>
        <w:t>校园</w:t>
      </w:r>
      <w:r>
        <w:rPr>
          <w:rFonts w:ascii="Times New Roman" w:hAnsi="Times New Roman" w:cs="Times New Roman" w:eastAsia="Times New Roman" w:hint="default"/>
          <w:spacing w:val="-2"/>
        </w:rPr>
        <w:t>V2.0</w:t>
      </w:r>
      <w:r>
        <w:rPr>
          <w:spacing w:val="-2"/>
        </w:rPr>
        <w:t>、建行</w:t>
      </w:r>
      <w:r>
        <w:rPr>
          <w:rFonts w:ascii="Times New Roman" w:hAnsi="Times New Roman" w:cs="Times New Roman" w:eastAsia="Times New Roman" w:hint="default"/>
          <w:spacing w:val="-2"/>
        </w:rPr>
        <w:t>E</w:t>
      </w:r>
      <w:r>
        <w:rPr>
          <w:spacing w:val="-2"/>
        </w:rPr>
        <w:t>码通、建行数字校园卡、支</w:t>
      </w:r>
      <w:r>
        <w:rPr>
          <w:spacing w:val="-68"/>
        </w:rPr>
        <w:t> </w:t>
      </w:r>
      <w:r>
        <w:rPr>
          <w:spacing w:val="-68"/>
        </w:rPr>
      </w:r>
      <w:r>
        <w:rPr>
          <w:spacing w:val="-1"/>
        </w:rPr>
        <w:t>付宝电子校园卡、微信电子校园卡等，以及面向幼教行业的多家银行校园服务运营管理平台和幼教</w:t>
      </w:r>
      <w:r>
        <w:rPr>
          <w:rFonts w:ascii="Times New Roman" w:hAnsi="Times New Roman" w:cs="Times New Roman" w:eastAsia="Times New Roman" w:hint="default"/>
          <w:spacing w:val="-1"/>
        </w:rPr>
        <w:t>SaaS</w:t>
      </w:r>
      <w:r>
        <w:rPr>
          <w:spacing w:val="-1"/>
        </w:rPr>
        <w:t>服</w:t>
      </w:r>
      <w:r>
        <w:rPr>
          <w:spacing w:val="-79"/>
        </w:rPr>
        <w:t> </w:t>
      </w:r>
      <w:r>
        <w:rPr/>
        <w:t>务群。数字校园卡是中国建行基于龙支付</w:t>
      </w:r>
      <w:r>
        <w:rPr>
          <w:rFonts w:ascii="Times New Roman" w:hAnsi="Times New Roman" w:cs="Times New Roman" w:eastAsia="Times New Roman" w:hint="default"/>
        </w:rPr>
        <w:t>App</w:t>
      </w:r>
      <w:r>
        <w:rPr/>
        <w:t>推出的一款在校园场景下实现消费、门禁、等多种应用场景 </w:t>
      </w:r>
      <w:r>
        <w:rPr>
          <w:spacing w:val="-1"/>
        </w:rPr>
        <w:t>的建行电子校园卡产品。数字校园卡通过龙支付二维码的创新行业应用，实现在校园门禁以及消费等线上</w:t>
      </w:r>
      <w:r>
        <w:rPr>
          <w:spacing w:val="-81"/>
        </w:rPr>
        <w:t> </w:t>
      </w:r>
      <w:r>
        <w:rPr>
          <w:spacing w:val="-81"/>
        </w:rPr>
      </w:r>
      <w:r>
        <w:rPr/>
        <w:t>线下全场景的扫码应用。提升校师生</w:t>
      </w:r>
      <w:r>
        <w:rPr>
          <w:rFonts w:ascii="Times New Roman" w:hAnsi="Times New Roman" w:cs="Times New Roman" w:eastAsia="Times New Roman" w:hint="default"/>
        </w:rPr>
        <w:t>‘</w:t>
      </w:r>
      <w:r>
        <w:rPr/>
        <w:t>一码通校园</w:t>
      </w:r>
      <w:r>
        <w:rPr>
          <w:rFonts w:ascii="Times New Roman" w:hAnsi="Times New Roman" w:cs="Times New Roman" w:eastAsia="Times New Roman" w:hint="default"/>
        </w:rPr>
        <w:t>’</w:t>
      </w:r>
      <w:r>
        <w:rPr/>
        <w:t>的便捷体验。同时实现了校园图书馆进门闸机</w:t>
      </w:r>
      <w:r>
        <w:rPr>
          <w:rFonts w:ascii="Times New Roman" w:hAnsi="Times New Roman" w:cs="Times New Roman" w:eastAsia="Times New Roman" w:hint="default"/>
        </w:rPr>
        <w:t>1</w:t>
      </w:r>
      <w:r>
        <w:rPr/>
        <w:t>：</w:t>
      </w:r>
      <w:r>
        <w:rPr>
          <w:rFonts w:ascii="Times New Roman" w:hAnsi="Times New Roman" w:cs="Times New Roman" w:eastAsia="Times New Roman" w:hint="default"/>
        </w:rPr>
        <w:t>N</w:t>
      </w:r>
      <w:r>
        <w:rPr/>
        <w:t>人脸 识别。该创新应用是建行金融科技在校园支付领域的一次重大创新，通过金融科技赋能</w:t>
      </w:r>
      <w:r>
        <w:rPr>
          <w:rFonts w:ascii="Times New Roman" w:hAnsi="Times New Roman" w:cs="Times New Roman" w:eastAsia="Times New Roman" w:hint="default"/>
        </w:rPr>
        <w:t>C</w:t>
      </w:r>
      <w:r>
        <w:rPr/>
        <w:t>端，反哺</w:t>
      </w:r>
      <w:r>
        <w:rPr>
          <w:rFonts w:ascii="Times New Roman" w:hAnsi="Times New Roman" w:cs="Times New Roman" w:eastAsia="Times New Roman" w:hint="default"/>
        </w:rPr>
        <w:t>B</w:t>
      </w:r>
      <w:r>
        <w:rPr/>
        <w:t>端。</w:t>
      </w:r>
    </w:p>
    <w:p>
      <w:pPr>
        <w:pStyle w:val="BodyText"/>
        <w:spacing w:line="386" w:lineRule="auto" w:before="28"/>
        <w:ind w:left="574" w:right="1117"/>
        <w:jc w:val="left"/>
      </w:pPr>
      <w:r>
        <w:rPr>
          <w:rFonts w:ascii="Times New Roman" w:hAnsi="Times New Roman" w:cs="Times New Roman" w:eastAsia="Times New Roman" w:hint="default"/>
        </w:rPr>
        <w:t>1.3</w:t>
      </w:r>
      <w:r>
        <w:rPr/>
        <w:t>公司现状及发展 </w:t>
      </w:r>
      <w:r>
        <w:rPr>
          <w:spacing w:val="-1"/>
        </w:rPr>
        <w:t>公司凭借强大的研发能力，一流全面的产品制造能力、优质深度的直销售后服务体系具备较强竞争优</w:t>
      </w:r>
    </w:p>
    <w:p>
      <w:pPr>
        <w:pStyle w:val="BodyText"/>
        <w:spacing w:line="408" w:lineRule="auto" w:before="65"/>
        <w:ind w:right="0"/>
        <w:jc w:val="left"/>
      </w:pPr>
      <w:r>
        <w:rPr/>
        <w:t>势。满足不同客户的多层次个性化需求，人脸识别、虚拟卡、扫码付、大数据等技术广泛深入应用于不同 产品和应用中，广泛覆盖以后勤服务、能源管控、学生服务等为代表的生活管理领域，以教务教学管理、</w:t>
      </w:r>
      <w:r>
        <w:rPr>
          <w:spacing w:val="-38"/>
        </w:rPr>
        <w:t> </w:t>
      </w:r>
      <w:r>
        <w:rPr>
          <w:spacing w:val="-38"/>
        </w:rPr>
      </w:r>
      <w:r>
        <w:rPr/>
        <w:t>缴费管理、资产管理为代表的校园工作管理领域。多年深耕校园领域，使得公司竞争优势不断加强，优质</w:t>
      </w:r>
      <w:r>
        <w:rPr/>
        <w:t> 客户规模逐年扩大。</w:t>
      </w:r>
    </w:p>
    <w:p>
      <w:pPr>
        <w:pStyle w:val="BodyText"/>
        <w:spacing w:line="408" w:lineRule="auto"/>
        <w:ind w:right="0" w:firstLine="420"/>
        <w:jc w:val="left"/>
      </w:pPr>
      <w:r>
        <w:rPr/>
        <w:t>公司的智慧校园应用解决方案在传统一卡通的基础上，近年来通过提供全面的移动互联网、大数据、 云计算、物联网服务，以校园内教师、学生、管理者等电子身份账户为校园信息化重要核心基础入口，覆 盖服务校园生活、教育、教学管理等多场景，为全面建设高校智慧校园提供多领域支撑并奠定夯实基础。</w:t>
      </w:r>
    </w:p>
    <w:p>
      <w:pPr>
        <w:pStyle w:val="BodyText"/>
        <w:spacing w:line="386" w:lineRule="auto"/>
        <w:ind w:right="1129" w:firstLine="420"/>
        <w:jc w:val="both"/>
      </w:pPr>
      <w:r>
        <w:rPr>
          <w:spacing w:val="-1"/>
        </w:rPr>
        <w:t>随着生物识别技术的飞速发展，校园一卡通已呈现出由刷卡</w:t>
      </w:r>
      <w:r>
        <w:rPr>
          <w:rFonts w:ascii="Times New Roman" w:hAnsi="Times New Roman" w:cs="Times New Roman" w:eastAsia="Times New Roman" w:hint="default"/>
          <w:spacing w:val="-1"/>
        </w:rPr>
        <w:t>—</w:t>
      </w:r>
      <w:r>
        <w:rPr>
          <w:spacing w:val="-1"/>
        </w:rPr>
        <w:t>扫码</w:t>
      </w:r>
      <w:r>
        <w:rPr>
          <w:rFonts w:ascii="Times New Roman" w:hAnsi="Times New Roman" w:cs="Times New Roman" w:eastAsia="Times New Roman" w:hint="default"/>
          <w:spacing w:val="-1"/>
        </w:rPr>
        <w:t>—</w:t>
      </w:r>
      <w:r>
        <w:rPr>
          <w:spacing w:val="-1"/>
        </w:rPr>
        <w:t>扫脸的方向发展趋势，新开普在</w:t>
      </w:r>
      <w:r>
        <w:rPr/>
        <w:t> </w:t>
      </w:r>
      <w:r>
        <w:rPr>
          <w:spacing w:val="-5"/>
        </w:rPr>
        <w:t>行业内率先推出人脸识别认证服务平台，目前国内已经上线超过</w:t>
      </w:r>
      <w:r>
        <w:rPr>
          <w:rFonts w:ascii="Times New Roman" w:hAnsi="Times New Roman" w:cs="Times New Roman" w:eastAsia="Times New Roman" w:hint="default"/>
          <w:spacing w:val="-5"/>
        </w:rPr>
        <w:t>30</w:t>
      </w:r>
      <w:r>
        <w:rPr>
          <w:spacing w:val="-5"/>
        </w:rPr>
        <w:t>所高校，广泛应用于消费、门禁、通道、</w:t>
      </w:r>
      <w:r>
        <w:rPr>
          <w:spacing w:val="-99"/>
        </w:rPr>
        <w:t> </w:t>
      </w:r>
      <w:r>
        <w:rPr>
          <w:spacing w:val="-99"/>
        </w:rPr>
      </w:r>
      <w:r>
        <w:rPr/>
        <w:t>考勤、会议签到、教务考勤以及迎新等众多场景。</w:t>
      </w:r>
    </w:p>
    <w:p>
      <w:pPr>
        <w:pStyle w:val="BodyText"/>
        <w:spacing w:line="386" w:lineRule="auto" w:before="65"/>
        <w:ind w:right="1215" w:firstLine="420"/>
        <w:jc w:val="both"/>
      </w:pPr>
      <w:r>
        <w:rPr>
          <w:rFonts w:ascii="Times New Roman" w:hAnsi="Times New Roman" w:cs="Times New Roman" w:eastAsia="Times New Roman" w:hint="default"/>
        </w:rPr>
        <w:t>2019</w:t>
      </w:r>
      <w:r>
        <w:rPr/>
        <w:t>年</w:t>
      </w:r>
      <w:r>
        <w:rPr>
          <w:rFonts w:ascii="Times New Roman" w:hAnsi="Times New Roman" w:cs="Times New Roman" w:eastAsia="Times New Roman" w:hint="default"/>
        </w:rPr>
        <w:t>1</w:t>
      </w:r>
      <w:r>
        <w:rPr/>
        <w:t>月，公司与蚂蚁金服战略合作，公司与支付宝蚂蚁森林强强联合，借助蚂蚁金服强大的技术 优势，与蚂蚁森林人脸识别算法深度融合，极大提升了技术实力与多场景的应用能力。</w:t>
      </w:r>
    </w:p>
    <w:p>
      <w:pPr>
        <w:pStyle w:val="BodyText"/>
        <w:spacing w:line="386" w:lineRule="auto" w:before="65"/>
        <w:ind w:left="574" w:right="1116"/>
        <w:jc w:val="left"/>
      </w:pPr>
      <w:r>
        <w:rPr>
          <w:rFonts w:ascii="Times New Roman" w:hAnsi="Times New Roman" w:cs="Times New Roman" w:eastAsia="Times New Roman" w:hint="default"/>
        </w:rPr>
        <w:t>2</w:t>
      </w:r>
      <w:r>
        <w:rPr/>
        <w:t>、智慧校园云平台解决方案 </w:t>
      </w:r>
      <w:r>
        <w:rPr>
          <w:rFonts w:ascii="Times New Roman" w:hAnsi="Times New Roman" w:cs="Times New Roman" w:eastAsia="Times New Roman" w:hint="default"/>
        </w:rPr>
        <w:t>“</w:t>
      </w:r>
      <w:r>
        <w:rPr/>
        <w:t>智慧校园</w:t>
      </w:r>
      <w:r>
        <w:rPr>
          <w:rFonts w:ascii="Times New Roman" w:hAnsi="Times New Roman" w:cs="Times New Roman" w:eastAsia="Times New Roman" w:hint="default"/>
        </w:rPr>
        <w:t>”</w:t>
      </w:r>
      <w:r>
        <w:rPr/>
        <w:t>整体建设将通过云计算、大数据、物联网和移动互联等技术与现有区域校园生活环境、教</w:t>
      </w:r>
    </w:p>
    <w:p>
      <w:pPr>
        <w:spacing w:after="0" w:line="386" w:lineRule="auto"/>
        <w:jc w:val="left"/>
        <w:sectPr>
          <w:pgSz w:w="11910" w:h="16840"/>
          <w:pgMar w:header="747" w:footer="979" w:top="1060" w:bottom="1160" w:left="980" w:right="0"/>
        </w:sectPr>
      </w:pPr>
    </w:p>
    <w:p>
      <w:pPr>
        <w:spacing w:line="240" w:lineRule="auto" w:before="0"/>
        <w:rPr>
          <w:rFonts w:ascii="宋体" w:hAnsi="宋体" w:cs="宋体" w:eastAsia="宋体" w:hint="default"/>
          <w:sz w:val="20"/>
          <w:szCs w:val="20"/>
        </w:rPr>
      </w:pPr>
    </w:p>
    <w:p>
      <w:pPr>
        <w:pStyle w:val="BodyText"/>
        <w:spacing w:line="403" w:lineRule="auto" w:before="174"/>
        <w:ind w:right="1130"/>
        <w:jc w:val="both"/>
      </w:pPr>
      <w:r>
        <w:rPr>
          <w:spacing w:val="-1"/>
        </w:rPr>
        <w:t>学环境、教学过程全面进行融合，积累现有信息化成果，为高校构建核心竞争力提供最先进完整、稳定的</w:t>
      </w:r>
      <w:r>
        <w:rPr>
          <w:spacing w:val="-86"/>
        </w:rPr>
        <w:t> </w:t>
      </w:r>
      <w:r>
        <w:rPr>
          <w:spacing w:val="-86"/>
        </w:rPr>
      </w:r>
      <w:r>
        <w:rPr>
          <w:spacing w:val="-1"/>
        </w:rPr>
        <w:t>整体综合解决方案。智慧校园在校园内通过信息化技术为师生提供更为便捷的数字化服务体验，随着技术</w:t>
      </w:r>
      <w:r>
        <w:rPr>
          <w:spacing w:val="-81"/>
        </w:rPr>
        <w:t> </w:t>
      </w:r>
      <w:r>
        <w:rPr>
          <w:spacing w:val="-81"/>
        </w:rPr>
      </w:r>
      <w:r>
        <w:rPr>
          <w:spacing w:val="-1"/>
        </w:rPr>
        <w:t>的不断升级，从校园卡到虚拟卡，从刷卡支付到扫码支付再到生物识别支付，互联网技术激活了师生的传</w:t>
      </w:r>
      <w:r>
        <w:rPr>
          <w:spacing w:val="-83"/>
        </w:rPr>
        <w:t> </w:t>
      </w:r>
      <w:r>
        <w:rPr>
          <w:spacing w:val="-83"/>
        </w:rPr>
      </w:r>
      <w:r>
        <w:rPr>
          <w:spacing w:val="-3"/>
        </w:rPr>
        <w:t>统“数字身份”，为学校在教学过程中提供完整的新工科教育科技解决方案，以大数据实训平台、</w:t>
      </w:r>
      <w:r>
        <w:rPr>
          <w:rFonts w:ascii="Times New Roman" w:hAnsi="Times New Roman" w:cs="Times New Roman" w:eastAsia="Times New Roman" w:hint="default"/>
          <w:spacing w:val="-3"/>
        </w:rPr>
        <w:t>VR</w:t>
      </w:r>
      <w:r>
        <w:rPr>
          <w:spacing w:val="-3"/>
        </w:rPr>
        <w:t>实训</w:t>
      </w:r>
      <w:r>
        <w:rPr>
          <w:spacing w:val="-71"/>
        </w:rPr>
        <w:t> </w:t>
      </w:r>
      <w:r>
        <w:rPr/>
        <w:t>平台、工业机器人实训平台等提升学校的教学内涵科技建设，成为新技术背景下的新校园服务。</w:t>
      </w:r>
    </w:p>
    <w:p>
      <w:pPr>
        <w:pStyle w:val="BodyText"/>
        <w:spacing w:line="386" w:lineRule="auto" w:before="50"/>
        <w:ind w:left="574" w:right="1126"/>
        <w:jc w:val="left"/>
      </w:pPr>
      <w:r>
        <w:rPr>
          <w:rFonts w:ascii="Times New Roman" w:hAnsi="Times New Roman" w:cs="Times New Roman" w:eastAsia="Times New Roman" w:hint="default"/>
        </w:rPr>
        <w:t>2.1</w:t>
      </w:r>
      <w:r>
        <w:rPr/>
        <w:t>大数据平台 </w:t>
      </w:r>
      <w:r>
        <w:rPr>
          <w:spacing w:val="-1"/>
        </w:rPr>
        <w:t>在移动互联网、云计算等服务推行中，大数据逐渐成为对于</w:t>
      </w:r>
      <w:r>
        <w:rPr>
          <w:rFonts w:ascii="Times New Roman" w:hAnsi="Times New Roman" w:cs="Times New Roman" w:eastAsia="Times New Roman" w:hint="default"/>
          <w:spacing w:val="-1"/>
        </w:rPr>
        <w:t>ICT</w:t>
      </w:r>
      <w:r>
        <w:rPr>
          <w:spacing w:val="-1"/>
        </w:rPr>
        <w:t>产业具有深远的技术变革。公司</w:t>
      </w:r>
      <w:r>
        <w:rPr>
          <w:rFonts w:ascii="Times New Roman" w:hAnsi="Times New Roman" w:cs="Times New Roman" w:eastAsia="Times New Roman" w:hint="default"/>
          <w:spacing w:val="-1"/>
        </w:rPr>
        <w:t>“</w:t>
      </w:r>
      <w:r>
        <w:rPr>
          <w:spacing w:val="-1"/>
        </w:rPr>
        <w:t>高校</w:t>
      </w:r>
    </w:p>
    <w:p>
      <w:pPr>
        <w:pStyle w:val="BodyText"/>
        <w:spacing w:line="393" w:lineRule="auto" w:before="35"/>
        <w:ind w:right="1117"/>
        <w:jc w:val="left"/>
      </w:pPr>
      <w:r>
        <w:rPr/>
        <w:t>大数据</w:t>
      </w:r>
      <w:r>
        <w:rPr>
          <w:rFonts w:ascii="Times New Roman" w:hAnsi="Times New Roman" w:cs="Times New Roman" w:eastAsia="Times New Roman" w:hint="default"/>
        </w:rPr>
        <w:t>”</w:t>
      </w:r>
      <w:r>
        <w:rPr/>
        <w:t>产品围绕校园卡业务数据、上网日志数据、教学及管理数据、图书借阅数据、学生交费数据、科 </w:t>
      </w:r>
      <w:r>
        <w:rPr>
          <w:spacing w:val="-2"/>
        </w:rPr>
        <w:t>研资产数据等，深度挖掘数据价值，为学校提供决策管理支持。产品采用</w:t>
      </w:r>
      <w:r>
        <w:rPr>
          <w:rFonts w:ascii="Times New Roman" w:hAnsi="Times New Roman" w:cs="Times New Roman" w:eastAsia="Times New Roman" w:hint="default"/>
          <w:spacing w:val="-2"/>
        </w:rPr>
        <w:t>Hadoop</w:t>
      </w:r>
      <w:r>
        <w:rPr>
          <w:spacing w:val="-2"/>
        </w:rPr>
        <w:t>分布式数据处理平台对师</w:t>
      </w:r>
      <w:r>
        <w:rPr>
          <w:spacing w:val="-68"/>
        </w:rPr>
        <w:t> </w:t>
      </w:r>
      <w:r>
        <w:rPr>
          <w:spacing w:val="-1"/>
        </w:rPr>
        <w:t>生生活、教学、上网、业务办理等学校一系列业务为主体进行多维度挖掘，对学校的“数据资产”深加工</w:t>
      </w:r>
      <w:r>
        <w:rPr>
          <w:spacing w:val="-82"/>
        </w:rPr>
        <w:t> </w:t>
      </w:r>
      <w:r>
        <w:rPr>
          <w:spacing w:val="-82"/>
        </w:rPr>
      </w:r>
      <w:r>
        <w:rPr/>
        <w:t>以后服务于学校的教学和管理，让学校信息化服务更深度、便捷、更具有人文关怀。</w:t>
      </w:r>
    </w:p>
    <w:p>
      <w:pPr>
        <w:pStyle w:val="BodyText"/>
        <w:spacing w:line="386" w:lineRule="auto" w:before="58"/>
        <w:ind w:left="574" w:right="1117"/>
        <w:jc w:val="left"/>
      </w:pPr>
      <w:r>
        <w:rPr>
          <w:rFonts w:ascii="Times New Roman" w:hAnsi="Times New Roman" w:cs="Times New Roman" w:eastAsia="Times New Roman" w:hint="default"/>
        </w:rPr>
        <w:t>2.1.1</w:t>
      </w:r>
      <w:r>
        <w:rPr/>
        <w:t>在校生预警及管理 </w:t>
      </w:r>
      <w:r>
        <w:rPr>
          <w:spacing w:val="-1"/>
        </w:rPr>
        <w:t>在校生预警及管理可帮助校方在消费异常、用电安全、失联预警、心理预警、上网时长预警、网贷预</w:t>
      </w:r>
    </w:p>
    <w:p>
      <w:pPr>
        <w:pStyle w:val="BodyText"/>
        <w:spacing w:line="408" w:lineRule="auto" w:before="65"/>
        <w:ind w:right="1117"/>
        <w:jc w:val="left"/>
      </w:pPr>
      <w:r>
        <w:rPr>
          <w:spacing w:val="-1"/>
        </w:rPr>
        <w:t>警、传染病预警、学业预警、逃课预警、智能查房、精准扶贫、学生轨迹、学生画像等方面提供可视化数</w:t>
      </w:r>
      <w:r>
        <w:rPr>
          <w:spacing w:val="-85"/>
        </w:rPr>
        <w:t> </w:t>
      </w:r>
      <w:r>
        <w:rPr>
          <w:spacing w:val="-85"/>
        </w:rPr>
      </w:r>
      <w:r>
        <w:rPr/>
        <w:t>据分析，有效及时满足校方对学生的管理工作，对学生的人身和心理安全提供高效全面保障。</w:t>
      </w:r>
    </w:p>
    <w:p>
      <w:pPr>
        <w:spacing w:line="240" w:lineRule="auto" w:before="6"/>
        <w:rPr>
          <w:rFonts w:ascii="宋体" w:hAnsi="宋体" w:cs="宋体" w:eastAsia="宋体" w:hint="default"/>
          <w:sz w:val="3"/>
          <w:szCs w:val="3"/>
        </w:rPr>
      </w:pPr>
    </w:p>
    <w:p>
      <w:pPr>
        <w:spacing w:line="5475" w:lineRule="exact"/>
        <w:ind w:left="818" w:right="0" w:firstLine="0"/>
        <w:rPr>
          <w:rFonts w:ascii="宋体" w:hAnsi="宋体" w:cs="宋体" w:eastAsia="宋体" w:hint="default"/>
          <w:sz w:val="20"/>
          <w:szCs w:val="20"/>
        </w:rPr>
      </w:pPr>
      <w:r>
        <w:rPr>
          <w:rFonts w:ascii="宋体" w:hAnsi="宋体" w:cs="宋体" w:eastAsia="宋体" w:hint="default"/>
          <w:position w:val="-109"/>
          <w:sz w:val="20"/>
          <w:szCs w:val="20"/>
        </w:rPr>
        <w:drawing>
          <wp:inline distT="0" distB="0" distL="0" distR="0">
            <wp:extent cx="5267325" cy="3476625"/>
            <wp:effectExtent l="0" t="0" r="0" b="0"/>
            <wp:docPr id="23" name="image13.jpeg" descr=""/>
            <wp:cNvGraphicFramePr>
              <a:graphicFrameLocks noChangeAspect="1"/>
            </wp:cNvGraphicFramePr>
            <a:graphic>
              <a:graphicData uri="http://schemas.openxmlformats.org/drawingml/2006/picture">
                <pic:pic>
                  <pic:nvPicPr>
                    <pic:cNvPr id="24" name="image13.jpeg"/>
                    <pic:cNvPicPr/>
                  </pic:nvPicPr>
                  <pic:blipFill>
                    <a:blip r:embed="rId23" cstate="print"/>
                    <a:stretch>
                      <a:fillRect/>
                    </a:stretch>
                  </pic:blipFill>
                  <pic:spPr>
                    <a:xfrm>
                      <a:off x="0" y="0"/>
                      <a:ext cx="5267325" cy="3476625"/>
                    </a:xfrm>
                    <a:prstGeom prst="rect">
                      <a:avLst/>
                    </a:prstGeom>
                  </pic:spPr>
                </pic:pic>
              </a:graphicData>
            </a:graphic>
          </wp:inline>
        </w:drawing>
      </w:r>
      <w:r>
        <w:rPr>
          <w:rFonts w:ascii="宋体" w:hAnsi="宋体" w:cs="宋体" w:eastAsia="宋体" w:hint="default"/>
          <w:position w:val="-109"/>
          <w:sz w:val="20"/>
          <w:szCs w:val="20"/>
        </w:rPr>
      </w:r>
    </w:p>
    <w:p>
      <w:pPr>
        <w:pStyle w:val="BodyText"/>
        <w:spacing w:line="386" w:lineRule="auto" w:before="142"/>
        <w:ind w:left="574" w:right="1117"/>
        <w:jc w:val="left"/>
      </w:pPr>
      <w:r>
        <w:rPr>
          <w:rFonts w:ascii="Times New Roman" w:hAnsi="Times New Roman" w:cs="Times New Roman" w:eastAsia="Times New Roman" w:hint="default"/>
        </w:rPr>
        <w:t>2.1.2</w:t>
      </w:r>
      <w:r>
        <w:rPr/>
        <w:t>校园生活综合大数据 </w:t>
      </w:r>
      <w:r>
        <w:rPr>
          <w:spacing w:val="-1"/>
        </w:rPr>
        <w:t>校园生活综合大数据可从账户、充值、综合消费、餐饮消费、淋浴消费、餐厅经营、用电安全、身份</w:t>
      </w:r>
    </w:p>
    <w:p>
      <w:pPr>
        <w:pStyle w:val="BodyText"/>
        <w:spacing w:line="240" w:lineRule="auto" w:before="65"/>
        <w:ind w:right="0"/>
        <w:jc w:val="left"/>
      </w:pPr>
      <w:r>
        <w:rPr/>
        <w:t>识别等方面提供全方位、多维度、精细化的全业务流程分析。在校园卡运营指挥中心和校园卡运营交易中</w:t>
      </w:r>
    </w:p>
    <w:p>
      <w:pPr>
        <w:spacing w:after="0" w:line="240" w:lineRule="auto"/>
        <w:jc w:val="left"/>
        <w:sectPr>
          <w:pgSz w:w="11910" w:h="16840"/>
          <w:pgMar w:header="747" w:footer="979" w:top="1060" w:bottom="1160" w:left="980" w:right="0"/>
        </w:sectPr>
      </w:pPr>
    </w:p>
    <w:p>
      <w:pPr>
        <w:spacing w:line="240" w:lineRule="auto" w:before="0"/>
        <w:rPr>
          <w:rFonts w:ascii="宋体" w:hAnsi="宋体" w:cs="宋体" w:eastAsia="宋体" w:hint="default"/>
          <w:sz w:val="20"/>
          <w:szCs w:val="20"/>
        </w:rPr>
      </w:pPr>
    </w:p>
    <w:p>
      <w:pPr>
        <w:pStyle w:val="BodyText"/>
        <w:spacing w:line="240" w:lineRule="auto" w:before="174"/>
        <w:ind w:right="1117"/>
        <w:jc w:val="left"/>
      </w:pPr>
      <w:r>
        <w:rPr/>
        <w:t>心将学生的消费水平，学生对餐厅及菜品的喜好等通过数据可视化、实现远程项目运营服务精准化。</w:t>
      </w:r>
    </w:p>
    <w:p>
      <w:pPr>
        <w:spacing w:line="240" w:lineRule="auto" w:before="3"/>
        <w:rPr>
          <w:rFonts w:ascii="宋体" w:hAnsi="宋体" w:cs="宋体" w:eastAsia="宋体" w:hint="default"/>
          <w:sz w:val="12"/>
          <w:szCs w:val="12"/>
        </w:rPr>
      </w:pPr>
    </w:p>
    <w:p>
      <w:pPr>
        <w:spacing w:line="4620" w:lineRule="exact"/>
        <w:ind w:left="818" w:right="0" w:firstLine="0"/>
        <w:rPr>
          <w:rFonts w:ascii="宋体" w:hAnsi="宋体" w:cs="宋体" w:eastAsia="宋体" w:hint="default"/>
          <w:sz w:val="20"/>
          <w:szCs w:val="20"/>
        </w:rPr>
      </w:pPr>
      <w:r>
        <w:rPr>
          <w:rFonts w:ascii="宋体" w:hAnsi="宋体" w:cs="宋体" w:eastAsia="宋体" w:hint="default"/>
          <w:position w:val="-91"/>
          <w:sz w:val="20"/>
          <w:szCs w:val="20"/>
        </w:rPr>
        <w:drawing>
          <wp:inline distT="0" distB="0" distL="0" distR="0">
            <wp:extent cx="5267325" cy="2933700"/>
            <wp:effectExtent l="0" t="0" r="0" b="0"/>
            <wp:docPr id="25" name="image14.jpeg" descr=""/>
            <wp:cNvGraphicFramePr>
              <a:graphicFrameLocks noChangeAspect="1"/>
            </wp:cNvGraphicFramePr>
            <a:graphic>
              <a:graphicData uri="http://schemas.openxmlformats.org/drawingml/2006/picture">
                <pic:pic>
                  <pic:nvPicPr>
                    <pic:cNvPr id="26" name="image14.jpeg"/>
                    <pic:cNvPicPr/>
                  </pic:nvPicPr>
                  <pic:blipFill>
                    <a:blip r:embed="rId24" cstate="print"/>
                    <a:stretch>
                      <a:fillRect/>
                    </a:stretch>
                  </pic:blipFill>
                  <pic:spPr>
                    <a:xfrm>
                      <a:off x="0" y="0"/>
                      <a:ext cx="5267325" cy="2933700"/>
                    </a:xfrm>
                    <a:prstGeom prst="rect">
                      <a:avLst/>
                    </a:prstGeom>
                  </pic:spPr>
                </pic:pic>
              </a:graphicData>
            </a:graphic>
          </wp:inline>
        </w:drawing>
      </w:r>
      <w:r>
        <w:rPr>
          <w:rFonts w:ascii="宋体" w:hAnsi="宋体" w:cs="宋体" w:eastAsia="宋体" w:hint="default"/>
          <w:position w:val="-91"/>
          <w:sz w:val="20"/>
          <w:szCs w:val="20"/>
        </w:rPr>
      </w:r>
    </w:p>
    <w:p>
      <w:pPr>
        <w:pStyle w:val="BodyText"/>
        <w:spacing w:line="386" w:lineRule="auto" w:before="93"/>
        <w:ind w:left="574" w:right="1117"/>
        <w:jc w:val="left"/>
      </w:pPr>
      <w:r>
        <w:rPr>
          <w:rFonts w:ascii="Times New Roman" w:hAnsi="Times New Roman" w:cs="Times New Roman" w:eastAsia="Times New Roman" w:hint="default"/>
        </w:rPr>
        <w:t>2.1.3</w:t>
      </w:r>
      <w:r>
        <w:rPr/>
        <w:t>教学大数据 </w:t>
      </w:r>
      <w:r>
        <w:rPr>
          <w:spacing w:val="-1"/>
        </w:rPr>
        <w:t>教学大数据从学籍校验、学籍异动、学生成绩、学霸风采、关联分析、教学评价、授课教师到课率等</w:t>
      </w:r>
    </w:p>
    <w:p>
      <w:pPr>
        <w:pStyle w:val="BodyText"/>
        <w:spacing w:line="240" w:lineRule="auto" w:before="65"/>
        <w:ind w:right="0"/>
        <w:jc w:val="left"/>
      </w:pPr>
      <w:r>
        <w:rPr/>
        <w:t>方面提供数据分析，使校方对学校的教育效果、教育情况能够得到量化的评价，成为教育管理的好助手。</w:t>
      </w:r>
    </w:p>
    <w:p>
      <w:pPr>
        <w:spacing w:line="240" w:lineRule="auto" w:before="11"/>
        <w:rPr>
          <w:rFonts w:ascii="宋体" w:hAnsi="宋体" w:cs="宋体" w:eastAsia="宋体" w:hint="default"/>
          <w:sz w:val="21"/>
          <w:szCs w:val="21"/>
        </w:rPr>
      </w:pPr>
    </w:p>
    <w:p>
      <w:pPr>
        <w:spacing w:line="4665" w:lineRule="exact"/>
        <w:ind w:left="818" w:right="0" w:firstLine="0"/>
        <w:rPr>
          <w:rFonts w:ascii="宋体" w:hAnsi="宋体" w:cs="宋体" w:eastAsia="宋体" w:hint="default"/>
          <w:sz w:val="20"/>
          <w:szCs w:val="20"/>
        </w:rPr>
      </w:pPr>
      <w:r>
        <w:rPr>
          <w:rFonts w:ascii="宋体" w:hAnsi="宋体" w:cs="宋体" w:eastAsia="宋体" w:hint="default"/>
          <w:position w:val="-92"/>
          <w:sz w:val="20"/>
          <w:szCs w:val="20"/>
        </w:rPr>
        <w:drawing>
          <wp:inline distT="0" distB="0" distL="0" distR="0">
            <wp:extent cx="5276850" cy="2962275"/>
            <wp:effectExtent l="0" t="0" r="0" b="0"/>
            <wp:docPr id="27" name="image15.jpeg" descr=""/>
            <wp:cNvGraphicFramePr>
              <a:graphicFrameLocks noChangeAspect="1"/>
            </wp:cNvGraphicFramePr>
            <a:graphic>
              <a:graphicData uri="http://schemas.openxmlformats.org/drawingml/2006/picture">
                <pic:pic>
                  <pic:nvPicPr>
                    <pic:cNvPr id="28" name="image15.jpeg"/>
                    <pic:cNvPicPr/>
                  </pic:nvPicPr>
                  <pic:blipFill>
                    <a:blip r:embed="rId25" cstate="print"/>
                    <a:stretch>
                      <a:fillRect/>
                    </a:stretch>
                  </pic:blipFill>
                  <pic:spPr>
                    <a:xfrm>
                      <a:off x="0" y="0"/>
                      <a:ext cx="5276850" cy="2962275"/>
                    </a:xfrm>
                    <a:prstGeom prst="rect">
                      <a:avLst/>
                    </a:prstGeom>
                  </pic:spPr>
                </pic:pic>
              </a:graphicData>
            </a:graphic>
          </wp:inline>
        </w:drawing>
      </w:r>
      <w:r>
        <w:rPr>
          <w:rFonts w:ascii="宋体" w:hAnsi="宋体" w:cs="宋体" w:eastAsia="宋体" w:hint="default"/>
          <w:position w:val="-92"/>
          <w:sz w:val="20"/>
          <w:szCs w:val="20"/>
        </w:rPr>
      </w:r>
    </w:p>
    <w:p>
      <w:pPr>
        <w:spacing w:line="240" w:lineRule="auto" w:before="12"/>
        <w:rPr>
          <w:rFonts w:ascii="宋体" w:hAnsi="宋体" w:cs="宋体" w:eastAsia="宋体" w:hint="default"/>
          <w:sz w:val="17"/>
          <w:szCs w:val="17"/>
        </w:rPr>
      </w:pPr>
    </w:p>
    <w:p>
      <w:pPr>
        <w:pStyle w:val="BodyText"/>
        <w:spacing w:line="386" w:lineRule="auto" w:before="0"/>
        <w:ind w:left="574" w:right="1117"/>
        <w:jc w:val="left"/>
      </w:pPr>
      <w:r>
        <w:rPr>
          <w:rFonts w:ascii="Times New Roman" w:hAnsi="Times New Roman" w:cs="Times New Roman" w:eastAsia="Times New Roman" w:hint="default"/>
        </w:rPr>
        <w:t>2.1.4</w:t>
      </w:r>
      <w:r>
        <w:rPr/>
        <w:t>上网大数据、个人应用 </w:t>
      </w:r>
      <w:r>
        <w:rPr>
          <w:spacing w:val="-1"/>
        </w:rPr>
        <w:t>上网大数据通过上网用户分析、上网时间分析、上网流量分析、上网行为风向标，掌握上网用户特征</w:t>
      </w:r>
    </w:p>
    <w:p>
      <w:pPr>
        <w:pStyle w:val="BodyText"/>
        <w:spacing w:line="240" w:lineRule="auto" w:before="65"/>
        <w:ind w:right="1117"/>
        <w:jc w:val="left"/>
      </w:pPr>
      <w:r>
        <w:rPr/>
        <w:t>及习惯。</w:t>
      </w:r>
    </w:p>
    <w:p>
      <w:pPr>
        <w:spacing w:line="240" w:lineRule="auto" w:before="10"/>
        <w:rPr>
          <w:rFonts w:ascii="宋体" w:hAnsi="宋体" w:cs="宋体" w:eastAsia="宋体" w:hint="default"/>
          <w:sz w:val="14"/>
          <w:szCs w:val="14"/>
        </w:rPr>
      </w:pPr>
    </w:p>
    <w:p>
      <w:pPr>
        <w:pStyle w:val="BodyText"/>
        <w:spacing w:line="408" w:lineRule="auto" w:before="0"/>
        <w:ind w:right="1117" w:firstLine="420"/>
        <w:jc w:val="left"/>
      </w:pPr>
      <w:r>
        <w:rPr>
          <w:spacing w:val="-1"/>
        </w:rPr>
        <w:t>个人应用可产出数据报告，让各级管理人员及时掌握业务运营，提供决策支持；亦可针对面向学生和</w:t>
      </w:r>
      <w:r>
        <w:rPr/>
        <w:t> 老师的数据服务给出学校经营月报告和个人月报告。</w:t>
      </w:r>
    </w:p>
    <w:p>
      <w:pPr>
        <w:spacing w:after="0" w:line="408" w:lineRule="auto"/>
        <w:jc w:val="left"/>
        <w:sectPr>
          <w:pgSz w:w="11910" w:h="16840"/>
          <w:pgMar w:header="747" w:footer="979" w:top="1060" w:bottom="1160" w:left="980" w:right="0"/>
        </w:sectPr>
      </w:pPr>
    </w:p>
    <w:p>
      <w:pPr>
        <w:spacing w:line="240" w:lineRule="auto" w:before="0"/>
        <w:rPr>
          <w:rFonts w:ascii="宋体" w:hAnsi="宋体" w:cs="宋体" w:eastAsia="宋体" w:hint="default"/>
          <w:sz w:val="20"/>
          <w:szCs w:val="20"/>
        </w:rPr>
      </w:pPr>
    </w:p>
    <w:p>
      <w:pPr>
        <w:pStyle w:val="BodyText"/>
        <w:spacing w:line="386" w:lineRule="auto" w:before="174"/>
        <w:ind w:left="574" w:right="1117"/>
        <w:jc w:val="left"/>
      </w:pPr>
      <w:r>
        <w:rPr>
          <w:rFonts w:ascii="Times New Roman" w:hAnsi="Times New Roman" w:cs="Times New Roman" w:eastAsia="Times New Roman" w:hint="default"/>
        </w:rPr>
        <w:t>2.2</w:t>
      </w:r>
      <w:r>
        <w:rPr/>
        <w:t>教务管理系统 </w:t>
      </w:r>
      <w:r>
        <w:rPr>
          <w:spacing w:val="-1"/>
        </w:rPr>
        <w:t>针对高校教务管理信息化普遍存在的问题和挑战，公司全资子公司上海树维从全校信息化整体规划的</w:t>
      </w:r>
    </w:p>
    <w:p>
      <w:pPr>
        <w:pStyle w:val="BodyText"/>
        <w:spacing w:line="408" w:lineRule="auto" w:before="65"/>
        <w:ind w:right="1117"/>
        <w:jc w:val="left"/>
      </w:pPr>
      <w:r>
        <w:rPr>
          <w:spacing w:val="-1"/>
        </w:rPr>
        <w:t>角度出发，推出综合解决方案的教务管理产品，有效地帮助学校解决问题，并全面规范教务管理过程，提</w:t>
      </w:r>
      <w:r>
        <w:rPr>
          <w:spacing w:val="-85"/>
        </w:rPr>
        <w:t> </w:t>
      </w:r>
      <w:r>
        <w:rPr>
          <w:spacing w:val="-85"/>
        </w:rPr>
      </w:r>
      <w:r>
        <w:rPr/>
        <w:t>升学校的综合竞争能力。</w:t>
      </w:r>
    </w:p>
    <w:p>
      <w:pPr>
        <w:pStyle w:val="BodyText"/>
        <w:spacing w:line="408" w:lineRule="auto"/>
        <w:ind w:right="1130" w:firstLine="420"/>
        <w:jc w:val="both"/>
      </w:pPr>
      <w:r>
        <w:rPr>
          <w:spacing w:val="-1"/>
        </w:rPr>
        <w:t>综合教学管理服务平台，着力解决学校教务管理、学籍管理、学生选课、成绩管理、教师队伍、教学</w:t>
      </w:r>
      <w:r>
        <w:rPr/>
        <w:t> </w:t>
      </w:r>
      <w:r>
        <w:rPr>
          <w:spacing w:val="-1"/>
        </w:rPr>
        <w:t>资源、教学质量等方面的事务管理需要。针对学生从入校到毕业的管理提供的招生管理、学籍管理、学生</w:t>
      </w:r>
      <w:r>
        <w:rPr>
          <w:spacing w:val="-86"/>
        </w:rPr>
        <w:t> </w:t>
      </w:r>
      <w:r>
        <w:rPr>
          <w:spacing w:val="-86"/>
        </w:rPr>
      </w:r>
      <w:r>
        <w:rPr>
          <w:spacing w:val="-1"/>
        </w:rPr>
        <w:t>工作、学生创业等功能，使学校对学生在校的每一个阶段信息都做到有效、准确、安全、稳定的管理；针</w:t>
      </w:r>
      <w:r>
        <w:rPr>
          <w:spacing w:val="-83"/>
        </w:rPr>
        <w:t> </w:t>
      </w:r>
      <w:r>
        <w:rPr>
          <w:spacing w:val="-83"/>
        </w:rPr>
      </w:r>
      <w:r>
        <w:rPr>
          <w:spacing w:val="-5"/>
        </w:rPr>
        <w:t>对教学教务提供的教学资源、教学质量、教学管理、教职工等方面的功能，帮助学校更好完成对课程计划、</w:t>
      </w:r>
      <w:r>
        <w:rPr>
          <w:spacing w:val="-102"/>
        </w:rPr>
        <w:t> </w:t>
      </w:r>
      <w:r>
        <w:rPr>
          <w:spacing w:val="-102"/>
        </w:rPr>
      </w:r>
      <w:r>
        <w:rPr>
          <w:spacing w:val="-1"/>
        </w:rPr>
        <w:t>教学任务、考务安排、成绩查询、实验项目、量化评教、占用统计等的管理，综合教学管理服务平台全程</w:t>
      </w:r>
      <w:r>
        <w:rPr>
          <w:spacing w:val="-83"/>
        </w:rPr>
        <w:t> </w:t>
      </w:r>
      <w:r>
        <w:rPr>
          <w:spacing w:val="-83"/>
        </w:rPr>
      </w:r>
      <w:r>
        <w:rPr/>
        <w:t>以信息化手段提供过程监控和数据分析服务，以满足校内用户高质量的服务体验。</w:t>
      </w:r>
    </w:p>
    <w:p>
      <w:pPr>
        <w:spacing w:line="8955" w:lineRule="exact"/>
        <w:ind w:left="1463" w:right="0" w:firstLine="0"/>
        <w:rPr>
          <w:rFonts w:ascii="宋体" w:hAnsi="宋体" w:cs="宋体" w:eastAsia="宋体" w:hint="default"/>
          <w:sz w:val="20"/>
          <w:szCs w:val="20"/>
        </w:rPr>
      </w:pPr>
      <w:r>
        <w:rPr>
          <w:rFonts w:ascii="宋体" w:hAnsi="宋体" w:cs="宋体" w:eastAsia="宋体" w:hint="default"/>
          <w:position w:val="-178"/>
          <w:sz w:val="20"/>
          <w:szCs w:val="20"/>
        </w:rPr>
        <w:drawing>
          <wp:inline distT="0" distB="0" distL="0" distR="0">
            <wp:extent cx="4448175" cy="5686425"/>
            <wp:effectExtent l="0" t="0" r="0" b="0"/>
            <wp:docPr id="29" name="image16.jpeg" descr=""/>
            <wp:cNvGraphicFramePr>
              <a:graphicFrameLocks noChangeAspect="1"/>
            </wp:cNvGraphicFramePr>
            <a:graphic>
              <a:graphicData uri="http://schemas.openxmlformats.org/drawingml/2006/picture">
                <pic:pic>
                  <pic:nvPicPr>
                    <pic:cNvPr id="30" name="image16.jpeg"/>
                    <pic:cNvPicPr/>
                  </pic:nvPicPr>
                  <pic:blipFill>
                    <a:blip r:embed="rId26" cstate="print"/>
                    <a:stretch>
                      <a:fillRect/>
                    </a:stretch>
                  </pic:blipFill>
                  <pic:spPr>
                    <a:xfrm>
                      <a:off x="0" y="0"/>
                      <a:ext cx="4448175" cy="5686425"/>
                    </a:xfrm>
                    <a:prstGeom prst="rect">
                      <a:avLst/>
                    </a:prstGeom>
                  </pic:spPr>
                </pic:pic>
              </a:graphicData>
            </a:graphic>
          </wp:inline>
        </w:drawing>
      </w:r>
      <w:r>
        <w:rPr>
          <w:rFonts w:ascii="宋体" w:hAnsi="宋体" w:cs="宋体" w:eastAsia="宋体" w:hint="default"/>
          <w:position w:val="-178"/>
          <w:sz w:val="20"/>
          <w:szCs w:val="20"/>
        </w:rPr>
      </w:r>
    </w:p>
    <w:p>
      <w:pPr>
        <w:spacing w:after="0" w:line="8955" w:lineRule="exact"/>
        <w:rPr>
          <w:rFonts w:ascii="宋体" w:hAnsi="宋体" w:cs="宋体" w:eastAsia="宋体" w:hint="default"/>
          <w:sz w:val="20"/>
          <w:szCs w:val="20"/>
        </w:rPr>
        <w:sectPr>
          <w:pgSz w:w="11910" w:h="16840"/>
          <w:pgMar w:header="747" w:footer="979" w:top="1060" w:bottom="1160" w:left="980" w:right="0"/>
        </w:sectPr>
      </w:pPr>
    </w:p>
    <w:p>
      <w:pPr>
        <w:spacing w:line="240" w:lineRule="auto" w:before="0"/>
        <w:rPr>
          <w:rFonts w:ascii="宋体" w:hAnsi="宋体" w:cs="宋体" w:eastAsia="宋体" w:hint="default"/>
          <w:sz w:val="20"/>
          <w:szCs w:val="20"/>
        </w:rPr>
      </w:pPr>
    </w:p>
    <w:p>
      <w:pPr>
        <w:pStyle w:val="BodyText"/>
        <w:spacing w:line="386" w:lineRule="auto" w:before="174"/>
        <w:ind w:left="574" w:right="1117"/>
        <w:jc w:val="left"/>
      </w:pPr>
      <w:r>
        <w:rPr>
          <w:rFonts w:ascii="Times New Roman" w:hAnsi="Times New Roman" w:cs="Times New Roman" w:eastAsia="Times New Roman" w:hint="default"/>
        </w:rPr>
        <w:t>2.3</w:t>
      </w:r>
      <w:r>
        <w:rPr/>
        <w:t>物联网与智能终端 </w:t>
      </w:r>
      <w:r>
        <w:rPr>
          <w:spacing w:val="-1"/>
        </w:rPr>
        <w:t>物联网平台为学校、企业等智慧化业务系统提供物联网解决方案，增强对供应商的管控能力。物联网</w:t>
      </w:r>
    </w:p>
    <w:p>
      <w:pPr>
        <w:pStyle w:val="BodyText"/>
        <w:spacing w:line="408" w:lineRule="auto" w:before="65"/>
        <w:ind w:left="574" w:right="0" w:hanging="420"/>
        <w:jc w:val="left"/>
      </w:pPr>
      <w:r>
        <w:rPr/>
        <w:t>平台为设备供应商赋能，提供快速、安全的接入能力。并解决高可用、实时性、私密性、开放性等难点。</w:t>
      </w:r>
      <w:r>
        <w:rPr>
          <w:spacing w:val="-38"/>
        </w:rPr>
        <w:t> </w:t>
      </w:r>
      <w:r>
        <w:rPr>
          <w:spacing w:val="-38"/>
        </w:rPr>
      </w:r>
      <w:r>
        <w:rPr/>
        <w:t>智能终端采用智能操作系统（安卓、</w:t>
      </w:r>
      <w:r>
        <w:rPr>
          <w:rFonts w:ascii="Times New Roman" w:hAnsi="Times New Roman" w:cs="Times New Roman" w:eastAsia="Times New Roman" w:hint="default"/>
        </w:rPr>
        <w:t>Linux</w:t>
      </w:r>
      <w:r>
        <w:rPr/>
        <w:t>、</w:t>
      </w:r>
      <w:r>
        <w:rPr>
          <w:rFonts w:ascii="Times New Roman" w:hAnsi="Times New Roman" w:cs="Times New Roman" w:eastAsia="Times New Roman" w:hint="default"/>
        </w:rPr>
        <w:t>Windows</w:t>
      </w:r>
      <w:r>
        <w:rPr/>
        <w:t>），以“智能化”、“联网化”、“交互体验”</w:t>
      </w:r>
    </w:p>
    <w:p>
      <w:pPr>
        <w:pStyle w:val="BodyText"/>
        <w:spacing w:line="398" w:lineRule="auto" w:before="14"/>
        <w:ind w:right="1129"/>
        <w:jc w:val="both"/>
      </w:pPr>
      <w:r>
        <w:rPr>
          <w:spacing w:val="-1"/>
        </w:rPr>
        <w:t>为设计宗旨，是对小额支付、水电管理、身份识别、图书借阅、自助服务等场景的产品终端在性能和功能</w:t>
      </w:r>
      <w:r>
        <w:rPr>
          <w:spacing w:val="-83"/>
        </w:rPr>
        <w:t> </w:t>
      </w:r>
      <w:r>
        <w:rPr>
          <w:spacing w:val="-83"/>
        </w:rPr>
      </w:r>
      <w:r>
        <w:rPr>
          <w:spacing w:val="-1"/>
        </w:rPr>
        <w:t>的全面升级。升级后的智能终端使用高性能处理器、大容量存储、</w:t>
      </w:r>
      <w:r>
        <w:rPr>
          <w:rFonts w:ascii="Times New Roman" w:hAnsi="Times New Roman" w:cs="Times New Roman" w:eastAsia="Times New Roman" w:hint="default"/>
          <w:spacing w:val="-1"/>
        </w:rPr>
        <w:t>LCD</w:t>
      </w:r>
      <w:r>
        <w:rPr>
          <w:spacing w:val="-1"/>
        </w:rPr>
        <w:t>彩显、无线通讯的技术，可实现密</w:t>
      </w:r>
      <w:r>
        <w:rPr>
          <w:spacing w:val="-81"/>
        </w:rPr>
        <w:t> </w:t>
      </w:r>
      <w:r>
        <w:rPr>
          <w:spacing w:val="-81"/>
        </w:rPr>
      </w:r>
      <w:r>
        <w:rPr>
          <w:spacing w:val="-2"/>
        </w:rPr>
        <w:t>钥动态加载、大数据边缘计算、数据实时通讯等功能，满足校园对去卡化（扫码核身</w:t>
      </w:r>
      <w:r>
        <w:rPr>
          <w:rFonts w:ascii="Times New Roman" w:hAnsi="Times New Roman" w:cs="Times New Roman" w:eastAsia="Times New Roman" w:hint="default"/>
          <w:spacing w:val="-2"/>
        </w:rPr>
        <w:t>/</w:t>
      </w:r>
      <w:r>
        <w:rPr>
          <w:spacing w:val="-2"/>
        </w:rPr>
        <w:t>支付、生物识别核身</w:t>
      </w:r>
    </w:p>
    <w:p>
      <w:pPr>
        <w:pStyle w:val="BodyText"/>
        <w:spacing w:line="386" w:lineRule="auto" w:before="24"/>
        <w:ind w:left="574" w:right="1117" w:hanging="420"/>
        <w:jc w:val="left"/>
      </w:pPr>
      <w:r>
        <w:rPr>
          <w:rFonts w:ascii="Times New Roman" w:hAnsi="Times New Roman" w:cs="Times New Roman" w:eastAsia="Times New Roman" w:hint="default"/>
        </w:rPr>
        <w:t>/</w:t>
      </w:r>
      <w:r>
        <w:rPr/>
        <w:t>支付）的需求。 </w:t>
      </w:r>
      <w:r>
        <w:rPr>
          <w:spacing w:val="-1"/>
        </w:rPr>
        <w:t>智能终端通过标准协议统一接入到物联网平台，具有终端生命周期管理、终端状态监控、多场景终端</w:t>
      </w:r>
    </w:p>
    <w:p>
      <w:pPr>
        <w:pStyle w:val="BodyText"/>
        <w:spacing w:line="393" w:lineRule="auto" w:before="65"/>
        <w:ind w:left="514" w:right="1117" w:hanging="360"/>
        <w:jc w:val="left"/>
      </w:pPr>
      <w:r>
        <w:rPr/>
        <w:t>统一管理、</w:t>
      </w:r>
      <w:r>
        <w:rPr>
          <w:rFonts w:ascii="Times New Roman" w:hAnsi="Times New Roman" w:cs="Times New Roman" w:eastAsia="Times New Roman" w:hint="default"/>
        </w:rPr>
        <w:t>OTA</w:t>
      </w:r>
      <w:r>
        <w:rPr/>
        <w:t>管理等功能。 公司主要智能终端产品有</w:t>
      </w:r>
      <w:r>
        <w:rPr>
          <w:rFonts w:ascii="Times New Roman" w:hAnsi="Times New Roman" w:cs="Times New Roman" w:eastAsia="Times New Roman" w:hint="default"/>
        </w:rPr>
        <w:t>Android</w:t>
      </w:r>
      <w:r>
        <w:rPr/>
        <w:t>支付</w:t>
      </w:r>
      <w:r>
        <w:rPr>
          <w:rFonts w:ascii="Times New Roman" w:hAnsi="Times New Roman" w:cs="Times New Roman" w:eastAsia="Times New Roman" w:hint="default"/>
        </w:rPr>
        <w:t>POS</w:t>
      </w:r>
      <w:r>
        <w:rPr/>
        <w:t>、</w:t>
      </w:r>
      <w:r>
        <w:rPr>
          <w:rFonts w:ascii="Times New Roman" w:hAnsi="Times New Roman" w:cs="Times New Roman" w:eastAsia="Times New Roman" w:hint="default"/>
        </w:rPr>
        <w:t>Android</w:t>
      </w:r>
      <w:r>
        <w:rPr/>
        <w:t>电子班牌、</w:t>
      </w:r>
      <w:r>
        <w:rPr>
          <w:rFonts w:ascii="Times New Roman" w:hAnsi="Times New Roman" w:cs="Times New Roman" w:eastAsia="Times New Roman" w:hint="default"/>
        </w:rPr>
        <w:t>Linux</w:t>
      </w:r>
      <w:r>
        <w:rPr/>
        <w:t>车载</w:t>
      </w:r>
      <w:r>
        <w:rPr>
          <w:rFonts w:ascii="Times New Roman" w:hAnsi="Times New Roman" w:cs="Times New Roman" w:eastAsia="Times New Roman" w:hint="default"/>
        </w:rPr>
        <w:t>POS</w:t>
      </w:r>
      <w:r>
        <w:rPr/>
        <w:t>、虚拟卡支付水控、虚 拟卡识别门禁等。报告期内，公司投入核心技术研发人员进行产品开发和核心硬件平台技术研究。 硬件操作系统升级：终端从最初的</w:t>
      </w:r>
      <w:r>
        <w:rPr>
          <w:rFonts w:ascii="Times New Roman" w:hAnsi="Times New Roman" w:cs="Times New Roman" w:eastAsia="Times New Roman" w:hint="default"/>
        </w:rPr>
        <w:t>ARM</w:t>
      </w:r>
      <w:r>
        <w:rPr/>
        <w:t>单片机，升级为</w:t>
      </w:r>
      <w:r>
        <w:rPr>
          <w:rFonts w:ascii="Times New Roman" w:hAnsi="Times New Roman" w:cs="Times New Roman" w:eastAsia="Times New Roman" w:hint="default"/>
        </w:rPr>
        <w:t>SOC+MCU</w:t>
      </w:r>
      <w:r>
        <w:rPr/>
        <w:t>的双核心硬件平台方案。既保证传</w:t>
      </w:r>
    </w:p>
    <w:p>
      <w:pPr>
        <w:pStyle w:val="BodyText"/>
        <w:spacing w:line="408" w:lineRule="auto" w:before="28"/>
        <w:ind w:left="574" w:right="1125" w:hanging="420"/>
        <w:jc w:val="left"/>
        <w:rPr>
          <w:rFonts w:ascii="Times New Roman" w:hAnsi="Times New Roman" w:cs="Times New Roman" w:eastAsia="Times New Roman" w:hint="default"/>
        </w:rPr>
      </w:pPr>
      <w:r>
        <w:rPr/>
        <w:t>统功能稳定运行，又能满足不断新增服务模块的业务需求。 识别介质更加多样化：从传统的卡识别介质，到二维码码识别，再到人脸</w:t>
      </w:r>
      <w:r>
        <w:rPr>
          <w:rFonts w:ascii="Times New Roman" w:hAnsi="Times New Roman" w:cs="Times New Roman" w:eastAsia="Times New Roman" w:hint="default"/>
        </w:rPr>
        <w:t>/</w:t>
      </w:r>
      <w:r>
        <w:rPr/>
        <w:t>指纹识别。终端完成了卡</w:t>
      </w:r>
      <w:r>
        <w:rPr>
          <w:rFonts w:ascii="Times New Roman" w:hAnsi="Times New Roman" w:cs="Times New Roman" w:eastAsia="Times New Roman" w:hint="default"/>
        </w:rPr>
        <w:t>+</w:t>
      </w:r>
    </w:p>
    <w:p>
      <w:pPr>
        <w:pStyle w:val="BodyText"/>
        <w:spacing w:line="386" w:lineRule="auto" w:before="15"/>
        <w:ind w:left="574" w:right="1132" w:hanging="420"/>
        <w:jc w:val="left"/>
      </w:pPr>
      <w:r>
        <w:rPr/>
        <w:t>码</w:t>
      </w:r>
      <w:r>
        <w:rPr>
          <w:rFonts w:ascii="Times New Roman" w:hAnsi="Times New Roman" w:cs="Times New Roman" w:eastAsia="Times New Roman" w:hint="default"/>
        </w:rPr>
        <w:t>+</w:t>
      </w:r>
      <w:r>
        <w:rPr/>
        <w:t>人脸</w:t>
      </w:r>
      <w:r>
        <w:rPr>
          <w:rFonts w:ascii="Times New Roman" w:hAnsi="Times New Roman" w:cs="Times New Roman" w:eastAsia="Times New Roman" w:hint="default"/>
        </w:rPr>
        <w:t>/</w:t>
      </w:r>
      <w:r>
        <w:rPr/>
        <w:t>指纹的融合识别</w:t>
      </w:r>
      <w:r>
        <w:rPr>
          <w:rFonts w:ascii="Times New Roman" w:hAnsi="Times New Roman" w:cs="Times New Roman" w:eastAsia="Times New Roman" w:hint="default"/>
        </w:rPr>
        <w:t>/</w:t>
      </w:r>
      <w:r>
        <w:rPr/>
        <w:t>支付。 </w:t>
      </w:r>
      <w:r>
        <w:rPr>
          <w:spacing w:val="-7"/>
        </w:rPr>
        <w:t>通讯方式升级：原终端多采用有线方式布线，现在水控、门禁、支付终端加入了蓝牙、</w:t>
      </w:r>
      <w:r>
        <w:rPr>
          <w:rFonts w:ascii="Times New Roman" w:hAnsi="Times New Roman" w:cs="Times New Roman" w:eastAsia="Times New Roman" w:hint="default"/>
          <w:spacing w:val="-7"/>
        </w:rPr>
        <w:t>LoRa</w:t>
      </w:r>
      <w:r>
        <w:rPr>
          <w:spacing w:val="-7"/>
        </w:rPr>
        <w:t>、</w:t>
      </w:r>
      <w:r>
        <w:rPr>
          <w:rFonts w:ascii="Times New Roman" w:hAnsi="Times New Roman" w:cs="Times New Roman" w:eastAsia="Times New Roman" w:hint="default"/>
          <w:spacing w:val="-7"/>
        </w:rPr>
        <w:t>NB-IoT</w:t>
      </w:r>
      <w:r>
        <w:rPr>
          <w:spacing w:val="-7"/>
        </w:rPr>
        <w:t>、</w:t>
      </w:r>
    </w:p>
    <w:p>
      <w:pPr>
        <w:pStyle w:val="BodyText"/>
        <w:spacing w:line="386" w:lineRule="auto" w:before="35"/>
        <w:ind w:left="574" w:right="1117" w:hanging="420"/>
        <w:jc w:val="left"/>
      </w:pPr>
      <w:r>
        <w:rPr>
          <w:rFonts w:ascii="Times New Roman" w:hAnsi="Times New Roman" w:cs="Times New Roman" w:eastAsia="Times New Roman" w:hint="default"/>
        </w:rPr>
        <w:t>4G</w:t>
      </w:r>
      <w:r>
        <w:rPr/>
        <w:t>、</w:t>
      </w:r>
      <w:r>
        <w:rPr>
          <w:rFonts w:ascii="Times New Roman" w:hAnsi="Times New Roman" w:cs="Times New Roman" w:eastAsia="Times New Roman" w:hint="default"/>
        </w:rPr>
        <w:t>WIFI</w:t>
      </w:r>
      <w:r>
        <w:rPr/>
        <w:t>等无线通讯方式。 </w:t>
      </w:r>
      <w:r>
        <w:rPr>
          <w:spacing w:val="-3"/>
        </w:rPr>
        <w:t>与</w:t>
      </w:r>
      <w:r>
        <w:rPr>
          <w:rFonts w:ascii="Times New Roman" w:hAnsi="Times New Roman" w:cs="Times New Roman" w:eastAsia="Times New Roman" w:hint="default"/>
          <w:spacing w:val="-3"/>
        </w:rPr>
        <w:t>IOT</w:t>
      </w:r>
      <w:r>
        <w:rPr>
          <w:spacing w:val="-3"/>
        </w:rPr>
        <w:t>平台融合：通过</w:t>
      </w:r>
      <w:r>
        <w:rPr>
          <w:rFonts w:ascii="Times New Roman" w:hAnsi="Times New Roman" w:cs="Times New Roman" w:eastAsia="Times New Roman" w:hint="default"/>
          <w:spacing w:val="-3"/>
        </w:rPr>
        <w:t>IOT</w:t>
      </w:r>
      <w:r>
        <w:rPr>
          <w:spacing w:val="-3"/>
        </w:rPr>
        <w:t>平台接入，实现终端状态监控，</w:t>
      </w:r>
      <w:r>
        <w:rPr>
          <w:rFonts w:ascii="Times New Roman" w:hAnsi="Times New Roman" w:cs="Times New Roman" w:eastAsia="Times New Roman" w:hint="default"/>
          <w:spacing w:val="-3"/>
        </w:rPr>
        <w:t>OTA</w:t>
      </w:r>
      <w:r>
        <w:rPr>
          <w:spacing w:val="-3"/>
        </w:rPr>
        <w:t>远程升级、终端生命周期管理。大大提</w:t>
      </w:r>
    </w:p>
    <w:p>
      <w:pPr>
        <w:pStyle w:val="BodyText"/>
        <w:spacing w:line="408" w:lineRule="auto" w:before="35"/>
        <w:ind w:left="574" w:right="1220" w:hanging="420"/>
        <w:jc w:val="left"/>
      </w:pPr>
      <w:r>
        <w:rPr/>
        <w:t>升了设备运行稳定性，提升客户满意度。 核心硬件平台化：通过物联网实验室检测、模拟数据、性能评估，择优选定了两个硬件平台，</w:t>
      </w:r>
      <w:r>
        <w:rPr>
          <w:rFonts w:ascii="Times New Roman" w:hAnsi="Times New Roman" w:cs="Times New Roman" w:eastAsia="Times New Roman" w:hint="default"/>
        </w:rPr>
        <w:t>RK</w:t>
      </w:r>
      <w:r>
        <w:rPr/>
        <w:t>和</w:t>
      </w:r>
    </w:p>
    <w:p>
      <w:pPr>
        <w:pStyle w:val="BodyText"/>
        <w:spacing w:line="386" w:lineRule="auto" w:before="14"/>
        <w:ind w:right="1226"/>
        <w:jc w:val="both"/>
      </w:pPr>
      <w:r>
        <w:rPr>
          <w:rFonts w:ascii="Times New Roman" w:hAnsi="Times New Roman" w:cs="Times New Roman" w:eastAsia="Times New Roman" w:hint="default"/>
        </w:rPr>
        <w:t>Qualcomm</w:t>
      </w:r>
      <w:r>
        <w:rPr/>
        <w:t>系列。以这两个核心平台为基础，通过不同的产品外观和形态，衍生出不同场景下的产品，快</w:t>
      </w:r>
      <w:r>
        <w:rPr>
          <w:w w:val="99"/>
        </w:rPr>
        <w:t> </w:t>
      </w:r>
      <w:r>
        <w:rPr/>
        <w:t>速占领市场。</w:t>
      </w:r>
    </w:p>
    <w:p>
      <w:pPr>
        <w:pStyle w:val="BodyText"/>
        <w:spacing w:line="240" w:lineRule="auto" w:before="65"/>
        <w:ind w:left="574" w:right="1117"/>
        <w:jc w:val="left"/>
        <w:rPr>
          <w:rFonts w:ascii="Times New Roman" w:hAnsi="Times New Roman" w:cs="Times New Roman" w:eastAsia="Times New Roman" w:hint="default"/>
        </w:rPr>
      </w:pPr>
      <w:r>
        <w:rPr>
          <w:rFonts w:ascii="Times New Roman" w:hAnsi="Times New Roman" w:cs="Times New Roman" w:eastAsia="Times New Roman" w:hint="default"/>
        </w:rPr>
        <w:t>2.4</w:t>
      </w:r>
      <w:r>
        <w:rPr/>
        <w:t>“完美校园”</w:t>
      </w:r>
      <w:r>
        <w:rPr>
          <w:rFonts w:ascii="宋体" w:hAnsi="宋体" w:cs="宋体" w:eastAsia="宋体" w:hint="default"/>
        </w:rPr>
        <w:t>A</w:t>
      </w:r>
      <w:r>
        <w:rPr>
          <w:rFonts w:ascii="Times New Roman" w:hAnsi="Times New Roman" w:cs="Times New Roman" w:eastAsia="Times New Roman" w:hint="default"/>
        </w:rPr>
        <w:t>pp</w:t>
      </w:r>
    </w:p>
    <w:p>
      <w:pPr>
        <w:pStyle w:val="BodyText"/>
        <w:spacing w:line="386" w:lineRule="auto" w:before="177"/>
        <w:ind w:right="1131" w:firstLine="420"/>
        <w:jc w:val="both"/>
      </w:pPr>
      <w:r>
        <w:rPr>
          <w:spacing w:val="-1"/>
        </w:rPr>
        <w:t>公司自</w:t>
      </w:r>
      <w:r>
        <w:rPr>
          <w:rFonts w:ascii="Times New Roman" w:hAnsi="Times New Roman" w:cs="Times New Roman" w:eastAsia="Times New Roman" w:hint="default"/>
          <w:spacing w:val="-1"/>
        </w:rPr>
        <w:t>2014</w:t>
      </w:r>
      <w:r>
        <w:rPr>
          <w:spacing w:val="-1"/>
        </w:rPr>
        <w:t>年推出针对大学生的移动互联网产品后，创新服务覆盖院校数量和大学生人数每年均快速</w:t>
      </w:r>
      <w:r>
        <w:rPr/>
        <w:t> 增长。截至目前，已累计服务</w:t>
      </w:r>
      <w:r>
        <w:rPr>
          <w:rFonts w:ascii="Times New Roman" w:hAnsi="Times New Roman" w:cs="Times New Roman" w:eastAsia="Times New Roman" w:hint="default"/>
        </w:rPr>
        <w:t>1000</w:t>
      </w:r>
      <w:r>
        <w:rPr/>
        <w:t>多所高校，超过</w:t>
      </w:r>
      <w:r>
        <w:rPr>
          <w:rFonts w:ascii="Times New Roman" w:hAnsi="Times New Roman" w:cs="Times New Roman" w:eastAsia="Times New Roman" w:hint="default"/>
        </w:rPr>
        <w:t>1000</w:t>
      </w:r>
      <w:r>
        <w:rPr/>
        <w:t>万大学生上线注册</w:t>
      </w:r>
      <w:r>
        <w:rPr>
          <w:rFonts w:ascii="Times New Roman" w:hAnsi="Times New Roman" w:cs="Times New Roman" w:eastAsia="Times New Roman" w:hint="default"/>
        </w:rPr>
        <w:t>“</w:t>
      </w:r>
      <w:r>
        <w:rPr/>
        <w:t>完美校园</w:t>
      </w:r>
      <w:r>
        <w:rPr>
          <w:rFonts w:ascii="Times New Roman" w:hAnsi="Times New Roman" w:cs="Times New Roman" w:eastAsia="Times New Roman" w:hint="default"/>
        </w:rPr>
        <w:t>”</w:t>
      </w:r>
      <w:r>
        <w:rPr/>
        <w:t>，累计实名认证用户 数量接近</w:t>
      </w:r>
      <w:r>
        <w:rPr>
          <w:rFonts w:ascii="Times New Roman" w:hAnsi="Times New Roman" w:cs="Times New Roman" w:eastAsia="Times New Roman" w:hint="default"/>
        </w:rPr>
        <w:t>900</w:t>
      </w:r>
      <w:r>
        <w:rPr/>
        <w:t>万人。</w:t>
      </w:r>
    </w:p>
    <w:p>
      <w:pPr>
        <w:pStyle w:val="BodyText"/>
        <w:spacing w:line="398" w:lineRule="auto" w:before="36"/>
        <w:ind w:right="1117" w:firstLine="420"/>
        <w:jc w:val="left"/>
      </w:pPr>
      <w:r>
        <w:rPr/>
        <w:t>完美校园基于大数据平台、</w:t>
      </w:r>
      <w:r>
        <w:rPr>
          <w:rFonts w:ascii="Times New Roman" w:hAnsi="Times New Roman" w:cs="Times New Roman" w:eastAsia="Times New Roman" w:hint="default"/>
        </w:rPr>
        <w:t>SaaS</w:t>
      </w:r>
      <w:r>
        <w:rPr/>
        <w:t>服务、产业互联网</w:t>
      </w:r>
      <w:r>
        <w:rPr>
          <w:rFonts w:ascii="Times New Roman" w:hAnsi="Times New Roman" w:cs="Times New Roman" w:eastAsia="Times New Roman" w:hint="default"/>
        </w:rPr>
        <w:t>+</w:t>
      </w:r>
      <w:r>
        <w:rPr/>
        <w:t>物联网，除了拥有充值缴费、成绩查询、教务教 </w:t>
      </w:r>
      <w:r>
        <w:rPr>
          <w:spacing w:val="-1"/>
        </w:rPr>
        <w:t>学等基础功能，还拥有校园拥挤度查询、空闲教室管理、考试信息查询、图书馆图书查询、在线报修、琴</w:t>
      </w:r>
      <w:r>
        <w:rPr>
          <w:spacing w:val="-83"/>
        </w:rPr>
        <w:t> </w:t>
      </w:r>
      <w:r>
        <w:rPr>
          <w:spacing w:val="-83"/>
        </w:rPr>
      </w:r>
      <w:r>
        <w:rPr>
          <w:spacing w:val="-1"/>
        </w:rPr>
        <w:t>房预约、大数据实验室、人才就业等多种个性化服务功能，并改进了传统缴费的方式，完美校园推出缴费</w:t>
      </w:r>
    </w:p>
    <w:p>
      <w:pPr>
        <w:spacing w:after="0" w:line="398" w:lineRule="auto"/>
        <w:jc w:val="left"/>
        <w:sectPr>
          <w:pgSz w:w="11910" w:h="16840"/>
          <w:pgMar w:header="747" w:footer="979" w:top="1060" w:bottom="1160" w:left="980" w:right="0"/>
        </w:sectPr>
      </w:pPr>
    </w:p>
    <w:p>
      <w:pPr>
        <w:spacing w:line="240" w:lineRule="auto" w:before="0"/>
        <w:rPr>
          <w:rFonts w:ascii="宋体" w:hAnsi="宋体" w:cs="宋体" w:eastAsia="宋体" w:hint="default"/>
          <w:sz w:val="20"/>
          <w:szCs w:val="20"/>
        </w:rPr>
      </w:pPr>
    </w:p>
    <w:p>
      <w:pPr>
        <w:pStyle w:val="BodyText"/>
        <w:spacing w:line="400" w:lineRule="auto" w:before="174"/>
        <w:ind w:right="1130"/>
        <w:jc w:val="both"/>
      </w:pPr>
      <w:r>
        <w:rPr>
          <w:spacing w:val="-1"/>
        </w:rPr>
        <w:t>轻应用和虚拟卡交易，通过</w:t>
      </w:r>
      <w:r>
        <w:rPr>
          <w:rFonts w:ascii="Times New Roman" w:hAnsi="Times New Roman" w:cs="Times New Roman" w:eastAsia="Times New Roman" w:hint="default"/>
          <w:spacing w:val="-1"/>
        </w:rPr>
        <w:t>H5</w:t>
      </w:r>
      <w:r>
        <w:rPr>
          <w:spacing w:val="-1"/>
        </w:rPr>
        <w:t>页面链接的方式嵌入在宿主</w:t>
      </w:r>
      <w:r>
        <w:rPr>
          <w:rFonts w:ascii="Times New Roman" w:hAnsi="Times New Roman" w:cs="Times New Roman" w:eastAsia="Times New Roman" w:hint="default"/>
          <w:spacing w:val="-1"/>
        </w:rPr>
        <w:t>App</w:t>
      </w:r>
      <w:r>
        <w:rPr>
          <w:spacing w:val="-1"/>
        </w:rPr>
        <w:t>和微信公众号中，支持微信、支付宝、银联</w:t>
      </w:r>
      <w:r>
        <w:rPr>
          <w:spacing w:val="-71"/>
        </w:rPr>
        <w:t> </w:t>
      </w:r>
      <w:r>
        <w:rPr>
          <w:spacing w:val="-71"/>
        </w:rPr>
      </w:r>
      <w:r>
        <w:rPr>
          <w:spacing w:val="-1"/>
        </w:rPr>
        <w:t>等多种支付方式。学校可自定义缴费项目并展示在缴费轻应用中，学生可以通过缴费轻应用查看和支付自</w:t>
      </w:r>
      <w:r>
        <w:rPr>
          <w:spacing w:val="-81"/>
        </w:rPr>
        <w:t> </w:t>
      </w:r>
      <w:r>
        <w:rPr>
          <w:spacing w:val="-81"/>
        </w:rPr>
      </w:r>
      <w:r>
        <w:rPr>
          <w:spacing w:val="-1"/>
        </w:rPr>
        <w:t>己的待缴账单。缴费轻应用解决了传统缴费必须指定时间和地点、人工收缴、排队等待、现金找零易错等</w:t>
      </w:r>
      <w:r>
        <w:rPr>
          <w:spacing w:val="-86"/>
        </w:rPr>
        <w:t> </w:t>
      </w:r>
      <w:r>
        <w:rPr>
          <w:spacing w:val="-86"/>
        </w:rPr>
      </w:r>
      <w:r>
        <w:rPr/>
        <w:t>问题，用户操作简单方便，系统结算实时、准确。同时完美校园</w:t>
      </w:r>
      <w:r>
        <w:rPr>
          <w:rFonts w:ascii="Times New Roman" w:hAnsi="Times New Roman" w:cs="Times New Roman" w:eastAsia="Times New Roman" w:hint="default"/>
        </w:rPr>
        <w:t>App</w:t>
      </w:r>
      <w:r>
        <w:rPr/>
        <w:t>还可以进行虚拟卡交易，支持主动扫 </w:t>
      </w:r>
      <w:r>
        <w:rPr>
          <w:spacing w:val="-1"/>
        </w:rPr>
        <w:t>码支付和被动扫码付款，且聚合了银行卡支付渠道，和微信、支付宝体验一致；同时，系统记录交易流水</w:t>
      </w:r>
      <w:r>
        <w:rPr>
          <w:spacing w:val="-83"/>
        </w:rPr>
        <w:t> </w:t>
      </w:r>
      <w:r>
        <w:rPr>
          <w:spacing w:val="-83"/>
        </w:rPr>
      </w:r>
      <w:r>
        <w:rPr>
          <w:spacing w:val="-1"/>
        </w:rPr>
        <w:t>和资金归属，资金实时归集至校方结算户，财务部门按照以往流程正常清结算。可以满足校方既想要便捷</w:t>
      </w:r>
      <w:r>
        <w:rPr>
          <w:spacing w:val="-82"/>
        </w:rPr>
        <w:t> </w:t>
      </w:r>
      <w:r>
        <w:rPr>
          <w:spacing w:val="-82"/>
        </w:rPr>
      </w:r>
      <w:r>
        <w:rPr/>
        <w:t>的支付体验又能掌握财务清结算的基础数据的需求。</w:t>
      </w:r>
    </w:p>
    <w:p>
      <w:pPr>
        <w:pStyle w:val="BodyText"/>
        <w:spacing w:line="408" w:lineRule="auto" w:before="52"/>
        <w:ind w:right="1131" w:firstLine="420"/>
        <w:jc w:val="both"/>
      </w:pPr>
      <w:r>
        <w:rPr>
          <w:spacing w:val="-1"/>
        </w:rPr>
        <w:t>教育的本质是为社会输送高素质人才，公司关注学生从进入学校到走出校门的每一步，因此针对大学</w:t>
      </w:r>
      <w:r>
        <w:rPr/>
        <w:t> </w:t>
      </w:r>
      <w:r>
        <w:rPr>
          <w:spacing w:val="-1"/>
        </w:rPr>
        <w:t>生在兼职、实习、就业场景中，和招聘企业需求严重不匹配的问题，完美校园人才就业平台致力于提升招</w:t>
      </w:r>
      <w:r>
        <w:rPr>
          <w:spacing w:val="-86"/>
        </w:rPr>
        <w:t> </w:t>
      </w:r>
      <w:r>
        <w:rPr>
          <w:spacing w:val="-86"/>
        </w:rPr>
      </w:r>
      <w:r>
        <w:rPr>
          <w:spacing w:val="-1"/>
        </w:rPr>
        <w:t>聘效率服务，从减少流程出发，以更精准人岗匹配为目标，满足大学生的找工作需求，为国家和民族科学</w:t>
      </w:r>
      <w:r>
        <w:rPr>
          <w:spacing w:val="-86"/>
        </w:rPr>
        <w:t> </w:t>
      </w:r>
      <w:r>
        <w:rPr>
          <w:spacing w:val="-86"/>
        </w:rPr>
      </w:r>
      <w:r>
        <w:rPr/>
        <w:t>配置与输送具有国际视野、在各行各业起引领作用、具有创新精神和实践能力的高素质人才添砖加瓦。</w:t>
      </w:r>
    </w:p>
    <w:p>
      <w:pPr>
        <w:pStyle w:val="BodyText"/>
        <w:spacing w:line="403" w:lineRule="auto"/>
        <w:ind w:right="1027" w:firstLine="420"/>
        <w:jc w:val="both"/>
      </w:pPr>
      <w:r>
        <w:rPr>
          <w:rFonts w:ascii="Times New Roman" w:hAnsi="Times New Roman" w:cs="Times New Roman" w:eastAsia="Times New Roman" w:hint="default"/>
        </w:rPr>
        <w:t>2018</w:t>
      </w:r>
      <w:r>
        <w:rPr/>
        <w:t>年公司设立控股子公司完美数联（北京）科技有限公司，是为了发挥</w:t>
      </w:r>
      <w:r>
        <w:rPr>
          <w:rFonts w:ascii="Times New Roman" w:hAnsi="Times New Roman" w:cs="Times New Roman" w:eastAsia="Times New Roman" w:hint="default"/>
        </w:rPr>
        <w:t>“</w:t>
      </w:r>
      <w:r>
        <w:rPr/>
        <w:t>完美校园</w:t>
      </w:r>
      <w:r>
        <w:rPr>
          <w:rFonts w:ascii="Times New Roman" w:hAnsi="Times New Roman" w:cs="Times New Roman" w:eastAsia="Times New Roman" w:hint="default"/>
        </w:rPr>
        <w:t>”Ap</w:t>
      </w:r>
      <w:r>
        <w:rPr>
          <w:rFonts w:ascii="Times New Roman" w:hAnsi="Times New Roman" w:cs="Times New Roman" w:eastAsia="Times New Roman" w:hint="default"/>
        </w:rPr>
        <w:t>p</w:t>
      </w:r>
      <w:r>
        <w:rPr/>
        <w:t>互联网平台 </w:t>
      </w:r>
      <w:r>
        <w:rPr>
          <w:spacing w:val="-5"/>
        </w:rPr>
        <w:t>优势和品牌价值，与学校各个垂直场景深度融合，服务学生的学习生活、校园生活、教育培训、实习就业、</w:t>
      </w:r>
      <w:r>
        <w:rPr/>
        <w:t> 社区服务等方面，助力高校提供更优质的生活管理、教学管理、人才成长管理服务，帮助大学生提升校园 </w:t>
      </w:r>
      <w:r>
        <w:rPr>
          <w:spacing w:val="-5"/>
        </w:rPr>
        <w:t>生活质量、提升就业能力和素质，为高校、企业与社会提供有效的连接平台，成为高校信息化生态共建者。</w:t>
      </w:r>
      <w:r>
        <w:rPr>
          <w:spacing w:val="-102"/>
        </w:rPr>
        <w:t> </w:t>
      </w:r>
      <w:r>
        <w:rPr>
          <w:spacing w:val="-102"/>
        </w:rPr>
      </w:r>
      <w:r>
        <w:rPr>
          <w:rFonts w:ascii="Times New Roman" w:hAnsi="Times New Roman" w:cs="Times New Roman" w:eastAsia="Times New Roman" w:hint="default"/>
          <w:spacing w:val="-2"/>
        </w:rPr>
        <w:t>2019</w:t>
      </w:r>
      <w:r>
        <w:rPr>
          <w:spacing w:val="-2"/>
        </w:rPr>
        <w:t>年</w:t>
      </w:r>
      <w:r>
        <w:rPr>
          <w:rFonts w:ascii="Times New Roman" w:hAnsi="Times New Roman" w:cs="Times New Roman" w:eastAsia="Times New Roman" w:hint="default"/>
          <w:spacing w:val="-2"/>
        </w:rPr>
        <w:t>1</w:t>
      </w:r>
      <w:r>
        <w:rPr>
          <w:spacing w:val="-2"/>
        </w:rPr>
        <w:t>月</w:t>
      </w:r>
      <w:r>
        <w:rPr>
          <w:rFonts w:ascii="Times New Roman" w:hAnsi="Times New Roman" w:cs="Times New Roman" w:eastAsia="Times New Roman" w:hint="default"/>
          <w:spacing w:val="-2"/>
        </w:rPr>
        <w:t>6</w:t>
      </w:r>
      <w:r>
        <w:rPr>
          <w:spacing w:val="-2"/>
        </w:rPr>
        <w:t>日，蚂蚁金服全资子公司上海云鑫以</w:t>
      </w:r>
      <w:r>
        <w:rPr>
          <w:rFonts w:ascii="Times New Roman" w:hAnsi="Times New Roman" w:cs="Times New Roman" w:eastAsia="Times New Roman" w:hint="default"/>
          <w:spacing w:val="-2"/>
        </w:rPr>
        <w:t>2.5</w:t>
      </w:r>
      <w:r>
        <w:rPr>
          <w:spacing w:val="-2"/>
        </w:rPr>
        <w:t>亿元人民币增资完美数联，是新开普与蚂蚁金服围绕着</w:t>
      </w:r>
      <w:r>
        <w:rPr>
          <w:spacing w:val="-82"/>
        </w:rPr>
        <w:t> </w:t>
      </w:r>
      <w:r>
        <w:rPr>
          <w:spacing w:val="-82"/>
        </w:rPr>
      </w:r>
      <w:r>
        <w:rPr/>
        <w:t>让校园成为科技应用创新的高地，用科技赋能助力学生立德、树人、就业这一愿景而采取的重大战略合作</w:t>
      </w:r>
      <w:r>
        <w:rPr/>
        <w:t> 举措。完美数联将结合蚂蚁金服生态体系与科技能力，打造基于新开普的产品能力与服务体系的智慧校园 </w:t>
      </w:r>
      <w:r>
        <w:rPr>
          <w:spacing w:val="-3"/>
        </w:rPr>
        <w:t>解决方案，在输出智慧校园解决方案的同时构建一套完整的科技化体系服务学生在校生活、帮助学生成长。</w:t>
      </w:r>
    </w:p>
    <w:p>
      <w:pPr>
        <w:pStyle w:val="BodyText"/>
        <w:spacing w:line="400" w:lineRule="auto" w:before="50"/>
        <w:ind w:right="1130" w:firstLine="420"/>
        <w:jc w:val="both"/>
      </w:pPr>
      <w:r>
        <w:rPr/>
        <w:t>未来，完美数联将整合行业生态，致力于打造</w:t>
      </w:r>
      <w:r>
        <w:rPr>
          <w:rFonts w:ascii="Times New Roman" w:hAnsi="Times New Roman" w:cs="Times New Roman" w:eastAsia="Times New Roman" w:hint="default"/>
        </w:rPr>
        <w:t>“</w:t>
      </w:r>
      <w:r>
        <w:rPr/>
        <w:t>完美校园</w:t>
      </w:r>
      <w:r>
        <w:rPr>
          <w:rFonts w:ascii="Times New Roman" w:hAnsi="Times New Roman" w:cs="Times New Roman" w:eastAsia="Times New Roman" w:hint="default"/>
        </w:rPr>
        <w:t>”A</w:t>
      </w:r>
      <w:r>
        <w:rPr>
          <w:rFonts w:ascii="Times New Roman" w:hAnsi="Times New Roman" w:cs="Times New Roman" w:eastAsia="Times New Roman" w:hint="default"/>
        </w:rPr>
        <w:t>pp</w:t>
      </w:r>
      <w:r>
        <w:rPr/>
        <w:t>成为中国高校大学生官方综合服务入口 </w:t>
      </w:r>
      <w:r>
        <w:rPr>
          <w:spacing w:val="-5"/>
        </w:rPr>
        <w:t>和著名品牌。完美数联还将整合战略投资者蚂蚁金服优势，深耕产业互联网，向各类校园输出先进、安全、</w:t>
      </w:r>
      <w:r>
        <w:rPr>
          <w:spacing w:val="-102"/>
        </w:rPr>
        <w:t> </w:t>
      </w:r>
      <w:r>
        <w:rPr>
          <w:spacing w:val="-102"/>
        </w:rPr>
      </w:r>
      <w:r>
        <w:rPr>
          <w:spacing w:val="-1"/>
        </w:rPr>
        <w:t>可靠的场景化服务及信息化解决方案，夯实数字化场景数据，为学生提供学习、生活、就业服务的校园互</w:t>
      </w:r>
      <w:r>
        <w:rPr>
          <w:spacing w:val="-86"/>
        </w:rPr>
        <w:t> </w:t>
      </w:r>
      <w:r>
        <w:rPr>
          <w:spacing w:val="-86"/>
        </w:rPr>
      </w:r>
      <w:r>
        <w:rPr/>
        <w:t>联网平台综合运营商。</w:t>
      </w:r>
    </w:p>
    <w:p>
      <w:pPr>
        <w:pStyle w:val="BodyText"/>
        <w:spacing w:line="386" w:lineRule="auto" w:before="52"/>
        <w:ind w:left="574" w:right="1117"/>
        <w:jc w:val="left"/>
        <w:rPr>
          <w:rFonts w:ascii="Times New Roman" w:hAnsi="Times New Roman" w:cs="Times New Roman" w:eastAsia="Times New Roman" w:hint="default"/>
        </w:rPr>
      </w:pPr>
      <w:r>
        <w:rPr>
          <w:rFonts w:ascii="Times New Roman" w:hAnsi="Times New Roman" w:cs="Times New Roman" w:eastAsia="Times New Roman" w:hint="default"/>
        </w:rPr>
        <w:t>2.5</w:t>
      </w:r>
      <w:r>
        <w:rPr/>
        <w:t>教育科技 </w:t>
      </w:r>
      <w:r>
        <w:rPr>
          <w:spacing w:val="-3"/>
        </w:rPr>
        <w:t>公司为各大高校建设了虚拟现实教学中心、虚拟现实实验室、虚拟现实实训室、虚拟仿真实验室、</w:t>
      </w:r>
      <w:r>
        <w:rPr>
          <w:rFonts w:ascii="Times New Roman" w:hAnsi="Times New Roman" w:cs="Times New Roman" w:eastAsia="Times New Roman" w:hint="default"/>
          <w:spacing w:val="-3"/>
        </w:rPr>
        <w:t>VR</w:t>
      </w:r>
    </w:p>
    <w:p>
      <w:pPr>
        <w:pStyle w:val="BodyText"/>
        <w:spacing w:line="398" w:lineRule="auto" w:before="35"/>
        <w:ind w:right="1010"/>
        <w:jc w:val="left"/>
      </w:pPr>
      <w:r>
        <w:rPr/>
        <w:t>数字化校园、</w:t>
      </w:r>
      <w:r>
        <w:rPr>
          <w:rFonts w:ascii="Times New Roman" w:hAnsi="Times New Roman" w:cs="Times New Roman" w:eastAsia="Times New Roman" w:hint="default"/>
        </w:rPr>
        <w:t>VR</w:t>
      </w:r>
      <w:r>
        <w:rPr/>
        <w:t>数字博物馆等，打造沉浸式教学方式、提供一站式解决方案。为高校提供定制化的实验、 实训、科研综合解决方案，满足虚拟现实教学及科研需求。帮助学习建设定制化的虚拟现实内容中心、搭 建虚拟现实实验室、部署虚拟现实校园云平台、定制虚拟现实教学内容、开发虚拟现实应用等。</w:t>
      </w:r>
    </w:p>
    <w:p>
      <w:pPr>
        <w:pStyle w:val="BodyText"/>
        <w:spacing w:line="408" w:lineRule="auto" w:before="54"/>
        <w:ind w:right="1032" w:firstLine="420"/>
        <w:jc w:val="both"/>
      </w:pPr>
      <w:r>
        <w:rPr/>
        <w:t>公司为高校、高职、中职等院校在电子信息、物联网、智能硬件、无人机、工业机器人与智能制造等 信息与智能技术领域提供一体化解决方案。推出了工业机器人教学实验室，包括工业机器人实训工作站、</w:t>
      </w:r>
    </w:p>
    <w:p>
      <w:pPr>
        <w:spacing w:after="0" w:line="408" w:lineRule="auto"/>
        <w:jc w:val="both"/>
        <w:sectPr>
          <w:pgSz w:w="11910" w:h="16840"/>
          <w:pgMar w:header="747" w:footer="979" w:top="1060" w:bottom="1160" w:left="980" w:right="0"/>
        </w:sectPr>
      </w:pPr>
    </w:p>
    <w:p>
      <w:pPr>
        <w:spacing w:line="240" w:lineRule="auto" w:before="0"/>
        <w:rPr>
          <w:rFonts w:ascii="宋体" w:hAnsi="宋体" w:cs="宋体" w:eastAsia="宋体" w:hint="default"/>
          <w:sz w:val="20"/>
          <w:szCs w:val="20"/>
        </w:rPr>
      </w:pPr>
    </w:p>
    <w:p>
      <w:pPr>
        <w:pStyle w:val="BodyText"/>
        <w:spacing w:line="408" w:lineRule="auto" w:before="174"/>
        <w:ind w:right="1131"/>
        <w:jc w:val="both"/>
      </w:pPr>
      <w:r>
        <w:rPr>
          <w:spacing w:val="-1"/>
        </w:rPr>
        <w:t>工业机器人教学管理系统、工业机器人课程体系专业教材和工业机器人教学平台、工业机器人离线编程仿</w:t>
      </w:r>
      <w:r>
        <w:rPr>
          <w:spacing w:val="-81"/>
        </w:rPr>
        <w:t> </w:t>
      </w:r>
      <w:r>
        <w:rPr>
          <w:spacing w:val="-81"/>
        </w:rPr>
      </w:r>
      <w:r>
        <w:rPr>
          <w:spacing w:val="-1"/>
        </w:rPr>
        <w:t>真软件。针对学校机器人教学实验、科研开发、工程训练中心、组织参加机器人大赛及学校有关课题项目</w:t>
      </w:r>
      <w:r>
        <w:rPr>
          <w:spacing w:val="-86"/>
        </w:rPr>
        <w:t> </w:t>
      </w:r>
      <w:r>
        <w:rPr>
          <w:spacing w:val="-86"/>
        </w:rPr>
      </w:r>
      <w:r>
        <w:rPr/>
        <w:t>申报等，公司在师资培训、专业教材、课程体系、专业共建、校企合作等方面提供产品和服务。</w:t>
      </w:r>
    </w:p>
    <w:p>
      <w:pPr>
        <w:pStyle w:val="BodyText"/>
        <w:spacing w:line="408" w:lineRule="auto"/>
        <w:ind w:right="1032" w:firstLine="420"/>
        <w:jc w:val="both"/>
      </w:pPr>
      <w:r>
        <w:rPr/>
        <w:t>报告期内，在中职教育信息化的工作中，公司将包含数字化校园平台及业务系统、专业共建、网络教 学、教学诊改、各专业实训室建设的中职智慧校园平台综合解决方案产品化推广。依托在移动互联网、云 计算、大数据、物联网等先进技术和校园相关产品融合的丰富经验，达到信息技术与教学管理、教学实践 的深度融合，优化教学、教研、管理和服务等过程，提升学校师生的信息化职业素养，使校园生活及管理 智能化、安全化、丰富化，实现校园内信息互通互联，实现学习方式和教育教学模式创新，提升决策水平 与管理效率，实现校园与师生全面和谐发展，推进中等职业学校信息化水平与国际职业教育现代化接轨。</w:t>
      </w:r>
    </w:p>
    <w:p>
      <w:pPr>
        <w:pStyle w:val="BodyText"/>
        <w:spacing w:line="240" w:lineRule="auto"/>
        <w:ind w:left="574" w:right="1117"/>
        <w:jc w:val="left"/>
      </w:pPr>
      <w:r>
        <w:rPr>
          <w:rFonts w:ascii="Times New Roman" w:hAnsi="Times New Roman" w:cs="Times New Roman" w:eastAsia="Times New Roman" w:hint="default"/>
        </w:rPr>
        <w:t>3.</w:t>
      </w:r>
      <w:r>
        <w:rPr/>
        <w:t>智慧政企解决方案</w:t>
      </w:r>
    </w:p>
    <w:p>
      <w:pPr>
        <w:pStyle w:val="BodyText"/>
        <w:spacing w:line="240" w:lineRule="auto" w:before="177"/>
        <w:ind w:left="574" w:right="1117"/>
        <w:jc w:val="left"/>
      </w:pPr>
      <w:r>
        <w:rPr>
          <w:rFonts w:ascii="Times New Roman" w:hAnsi="Times New Roman" w:cs="Times New Roman" w:eastAsia="Times New Roman" w:hint="default"/>
        </w:rPr>
        <w:t>3.1</w:t>
      </w:r>
      <w:r>
        <w:rPr>
          <w:rFonts w:ascii="Times New Roman" w:hAnsi="Times New Roman" w:cs="Times New Roman" w:eastAsia="Times New Roman" w:hint="default"/>
          <w:spacing w:val="32"/>
        </w:rPr>
        <w:t> </w:t>
      </w:r>
      <w:r>
        <w:rPr/>
        <w:t>产品介绍</w:t>
      </w:r>
    </w:p>
    <w:p>
      <w:pPr>
        <w:pStyle w:val="BodyText"/>
        <w:spacing w:line="386" w:lineRule="auto" w:before="177"/>
        <w:ind w:left="574" w:right="1117"/>
        <w:jc w:val="left"/>
      </w:pPr>
      <w:r>
        <w:rPr>
          <w:rFonts w:ascii="Times New Roman" w:hAnsi="Times New Roman" w:cs="Times New Roman" w:eastAsia="Times New Roman" w:hint="default"/>
        </w:rPr>
        <w:t>3.1.1</w:t>
      </w:r>
      <w:r>
        <w:rPr/>
        <w:t>政企一卡通综合管理平台 </w:t>
      </w:r>
      <w:r>
        <w:rPr>
          <w:spacing w:val="-1"/>
        </w:rPr>
        <w:t>政企企业一卡通作为智慧政企融合单元，基于政企核心场景定位：入口、平台、数据、服务，以高效</w:t>
      </w:r>
    </w:p>
    <w:p>
      <w:pPr>
        <w:pStyle w:val="BodyText"/>
        <w:spacing w:line="408" w:lineRule="auto" w:before="65"/>
        <w:ind w:right="1131"/>
        <w:jc w:val="both"/>
      </w:pPr>
      <w:r>
        <w:rPr>
          <w:spacing w:val="-1"/>
        </w:rPr>
        <w:t>运行一卡通为载体，利用聚合支付、权鉴认证、物联网、数据分析等手段，实现企业的人、财、物等数据</w:t>
      </w:r>
      <w:r>
        <w:rPr>
          <w:spacing w:val="-85"/>
        </w:rPr>
        <w:t> </w:t>
      </w:r>
      <w:r>
        <w:rPr>
          <w:spacing w:val="-85"/>
        </w:rPr>
      </w:r>
      <w:r>
        <w:rPr>
          <w:spacing w:val="-1"/>
        </w:rPr>
        <w:t>的线性打通。打造业务信息化服务和数字化创新的双通道，构建数字化企业可持续发展生态，为企业实现</w:t>
      </w:r>
      <w:r>
        <w:rPr>
          <w:spacing w:val="-83"/>
        </w:rPr>
        <w:t> </w:t>
      </w:r>
      <w:r>
        <w:rPr>
          <w:spacing w:val="-83"/>
        </w:rPr>
      </w:r>
      <w:r>
        <w:rPr/>
        <w:t>提质、降费、增效、控险的生产经营目标。</w:t>
      </w:r>
    </w:p>
    <w:p>
      <w:pPr>
        <w:pStyle w:val="BodyText"/>
        <w:spacing w:line="408" w:lineRule="auto"/>
        <w:ind w:right="1117" w:firstLine="423"/>
        <w:jc w:val="left"/>
      </w:pPr>
      <w:r>
        <w:rPr>
          <w:spacing w:val="-1"/>
        </w:rPr>
        <w:t>智慧政企解决方案基于“智能物联、移动互联、数据决策、开放融合”的总体设计思路理念，通过多</w:t>
      </w:r>
      <w:r>
        <w:rPr/>
        <w:t> 种智慧应用有效实现立体安防、高效办公、智慧生活、绿色能源的企业管理。</w:t>
      </w:r>
    </w:p>
    <w:p>
      <w:pPr>
        <w:pStyle w:val="BodyText"/>
        <w:spacing w:line="240" w:lineRule="auto"/>
        <w:ind w:left="574" w:right="1117"/>
        <w:jc w:val="left"/>
      </w:pPr>
      <w:r>
        <w:rPr/>
        <w:t>智慧政企解决方案总体架构</w:t>
      </w:r>
    </w:p>
    <w:p>
      <w:pPr>
        <w:spacing w:after="0" w:line="240" w:lineRule="auto"/>
        <w:jc w:val="left"/>
        <w:sectPr>
          <w:pgSz w:w="11910" w:h="16840"/>
          <w:pgMar w:header="747" w:footer="979" w:top="1060" w:bottom="1160" w:left="980" w:right="0"/>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5"/>
          <w:szCs w:val="15"/>
        </w:rPr>
      </w:pPr>
    </w:p>
    <w:p>
      <w:pPr>
        <w:spacing w:line="6975" w:lineRule="exact"/>
        <w:ind w:left="833" w:right="0" w:firstLine="0"/>
        <w:rPr>
          <w:rFonts w:ascii="宋体" w:hAnsi="宋体" w:cs="宋体" w:eastAsia="宋体" w:hint="default"/>
          <w:sz w:val="20"/>
          <w:szCs w:val="20"/>
        </w:rPr>
      </w:pPr>
      <w:r>
        <w:rPr>
          <w:rFonts w:ascii="宋体" w:hAnsi="宋体" w:cs="宋体" w:eastAsia="宋体" w:hint="default"/>
          <w:position w:val="-139"/>
          <w:sz w:val="20"/>
          <w:szCs w:val="20"/>
        </w:rPr>
        <w:drawing>
          <wp:inline distT="0" distB="0" distL="0" distR="0">
            <wp:extent cx="5248275" cy="4429125"/>
            <wp:effectExtent l="0" t="0" r="0" b="0"/>
            <wp:docPr id="31" name="image17.jpeg" descr=""/>
            <wp:cNvGraphicFramePr>
              <a:graphicFrameLocks noChangeAspect="1"/>
            </wp:cNvGraphicFramePr>
            <a:graphic>
              <a:graphicData uri="http://schemas.openxmlformats.org/drawingml/2006/picture">
                <pic:pic>
                  <pic:nvPicPr>
                    <pic:cNvPr id="32" name="image17.jpeg"/>
                    <pic:cNvPicPr/>
                  </pic:nvPicPr>
                  <pic:blipFill>
                    <a:blip r:embed="rId27" cstate="print"/>
                    <a:stretch>
                      <a:fillRect/>
                    </a:stretch>
                  </pic:blipFill>
                  <pic:spPr>
                    <a:xfrm>
                      <a:off x="0" y="0"/>
                      <a:ext cx="5248275" cy="4429125"/>
                    </a:xfrm>
                    <a:prstGeom prst="rect">
                      <a:avLst/>
                    </a:prstGeom>
                  </pic:spPr>
                </pic:pic>
              </a:graphicData>
            </a:graphic>
          </wp:inline>
        </w:drawing>
      </w:r>
      <w:r>
        <w:rPr>
          <w:rFonts w:ascii="宋体" w:hAnsi="宋体" w:cs="宋体" w:eastAsia="宋体" w:hint="default"/>
          <w:position w:val="-139"/>
          <w:sz w:val="20"/>
          <w:szCs w:val="20"/>
        </w:rPr>
      </w:r>
    </w:p>
    <w:p>
      <w:pPr>
        <w:spacing w:line="240" w:lineRule="auto" w:before="6"/>
        <w:rPr>
          <w:rFonts w:ascii="宋体" w:hAnsi="宋体" w:cs="宋体" w:eastAsia="宋体" w:hint="default"/>
          <w:sz w:val="10"/>
          <w:szCs w:val="10"/>
        </w:rPr>
      </w:pPr>
    </w:p>
    <w:p>
      <w:pPr>
        <w:pStyle w:val="BodyText"/>
        <w:spacing w:line="240" w:lineRule="auto" w:before="35"/>
        <w:ind w:left="574" w:right="1117"/>
        <w:jc w:val="left"/>
      </w:pPr>
      <w:r>
        <w:rPr>
          <w:rFonts w:ascii="Times New Roman" w:hAnsi="Times New Roman" w:cs="Times New Roman" w:eastAsia="Times New Roman" w:hint="default"/>
        </w:rPr>
        <w:t>3.1.1.1</w:t>
      </w:r>
      <w:r>
        <w:rPr/>
        <w:t>数据决策平台</w:t>
      </w:r>
    </w:p>
    <w:p>
      <w:pPr>
        <w:pStyle w:val="BodyText"/>
        <w:spacing w:line="386" w:lineRule="auto" w:before="177"/>
        <w:ind w:left="577" w:right="0" w:hanging="4"/>
        <w:jc w:val="left"/>
      </w:pPr>
      <w:r>
        <w:rPr/>
        <w:t>（</w:t>
      </w:r>
      <w:r>
        <w:rPr>
          <w:rFonts w:ascii="Times New Roman" w:hAnsi="Times New Roman" w:cs="Times New Roman" w:eastAsia="Times New Roman" w:hint="default"/>
        </w:rPr>
        <w:t>1</w:t>
      </w:r>
      <w:r>
        <w:rPr/>
        <w:t>）数据采集主要包括人员基础数据采集和人员行为数据采集两部分。 人员基础数据采集：一站式对包括组织机构、部门职务、员工工号等资源的基础信息进行统一管理，</w:t>
      </w:r>
    </w:p>
    <w:p>
      <w:pPr>
        <w:pStyle w:val="BodyText"/>
        <w:spacing w:line="398" w:lineRule="auto" w:before="65"/>
        <w:ind w:right="0"/>
        <w:jc w:val="left"/>
      </w:pPr>
      <w:r>
        <w:rPr>
          <w:spacing w:val="-5"/>
          <w:w w:val="99"/>
        </w:rPr>
        <w:t>既是相关资源的管理和可视化呈现，也为其他系统的应用提供基础数据支持。提供用户统一身份认证（</w:t>
      </w:r>
      <w:r>
        <w:rPr>
          <w:rFonts w:ascii="Times New Roman" w:hAnsi="Times New Roman" w:cs="Times New Roman" w:eastAsia="Times New Roman" w:hint="default"/>
          <w:spacing w:val="-5"/>
          <w:w w:val="99"/>
        </w:rPr>
        <w:t>SSO</w:t>
      </w:r>
      <w:r>
        <w:rPr>
          <w:spacing w:val="-5"/>
          <w:w w:val="99"/>
        </w:rPr>
        <w:t>）</w:t>
      </w:r>
      <w:r>
        <w:rPr>
          <w:spacing w:val="-59"/>
          <w:w w:val="99"/>
        </w:rPr>
        <w:t> </w:t>
      </w:r>
      <w:r>
        <w:rPr/>
        <w:t>的功能，可实现多子系统、多功能模块单点登录，极大简操作和管理难度。统一的用户权限管理确保业务</w:t>
      </w:r>
      <w:r>
        <w:rPr/>
        <w:t> 安全性和管理便捷性。</w:t>
      </w:r>
    </w:p>
    <w:p>
      <w:pPr>
        <w:pStyle w:val="BodyText"/>
        <w:spacing w:line="408" w:lineRule="auto" w:before="54"/>
        <w:ind w:right="1133" w:firstLine="420"/>
        <w:jc w:val="both"/>
      </w:pPr>
      <w:r>
        <w:rPr>
          <w:spacing w:val="-1"/>
        </w:rPr>
        <w:t>人员行为数据采集：提供在职员工的考勤、门禁、加班、签单等行为数据采集，实时掌握员工在职中</w:t>
      </w:r>
      <w:r>
        <w:rPr/>
        <w:t> </w:t>
      </w:r>
      <w:r>
        <w:rPr>
          <w:spacing w:val="-1"/>
        </w:rPr>
        <w:t>情况，为政企客户建立起员工画像，从员工画像、敬业度和效率指数等各个维度，帮助政企客户更好的培</w:t>
      </w:r>
      <w:r>
        <w:rPr>
          <w:spacing w:val="-86"/>
        </w:rPr>
        <w:t> </w:t>
      </w:r>
      <w:r>
        <w:rPr>
          <w:spacing w:val="-86"/>
        </w:rPr>
      </w:r>
      <w:r>
        <w:rPr/>
        <w:t>养人才。</w:t>
      </w:r>
    </w:p>
    <w:p>
      <w:pPr>
        <w:pStyle w:val="BodyText"/>
        <w:spacing w:line="386" w:lineRule="auto"/>
        <w:ind w:left="574" w:right="0"/>
        <w:jc w:val="left"/>
      </w:pPr>
      <w:r>
        <w:rPr/>
        <w:t>（</w:t>
      </w:r>
      <w:r>
        <w:rPr>
          <w:rFonts w:ascii="Times New Roman" w:hAnsi="Times New Roman" w:cs="Times New Roman" w:eastAsia="Times New Roman" w:hint="default"/>
        </w:rPr>
        <w:t>2</w:t>
      </w:r>
      <w:r>
        <w:rPr/>
        <w:t>）数据模型通过可视化工作和可视化数据建立。 数据可视化工作主要从三个维度九大模块中实现，其中流程、画像、舆情等三大板块中有流程指数、</w:t>
      </w:r>
    </w:p>
    <w:p>
      <w:pPr>
        <w:pStyle w:val="BodyText"/>
        <w:spacing w:line="408" w:lineRule="auto" w:before="65"/>
        <w:ind w:right="1117"/>
        <w:jc w:val="left"/>
      </w:pPr>
      <w:r>
        <w:rPr>
          <w:spacing w:val="-1"/>
        </w:rPr>
        <w:t>敬业指数、效益指数等三个流程，画像从员工画像、项目画像、运维画像三个画像，舆情从情报采集、情</w:t>
      </w:r>
      <w:r>
        <w:rPr>
          <w:spacing w:val="-83"/>
        </w:rPr>
        <w:t> </w:t>
      </w:r>
      <w:r>
        <w:rPr>
          <w:spacing w:val="-83"/>
        </w:rPr>
      </w:r>
      <w:r>
        <w:rPr/>
        <w:t>报分析、专题报表等三个维度。</w:t>
      </w:r>
    </w:p>
    <w:p>
      <w:pPr>
        <w:pStyle w:val="BodyText"/>
        <w:spacing w:line="240" w:lineRule="auto"/>
        <w:ind w:left="574" w:right="1117"/>
        <w:jc w:val="left"/>
      </w:pPr>
      <w:r>
        <w:rPr>
          <w:rFonts w:ascii="Times New Roman" w:hAnsi="Times New Roman" w:cs="Times New Roman" w:eastAsia="Times New Roman" w:hint="default"/>
        </w:rPr>
        <w:t>3.1.2</w:t>
      </w:r>
      <w:r>
        <w:rPr/>
        <w:t>政企一卡通平台</w:t>
      </w:r>
    </w:p>
    <w:p>
      <w:pPr>
        <w:spacing w:after="0" w:line="240" w:lineRule="auto"/>
        <w:jc w:val="left"/>
        <w:sectPr>
          <w:pgSz w:w="11910" w:h="16840"/>
          <w:pgMar w:header="747" w:footer="979" w:top="1060" w:bottom="1160" w:left="980" w:right="0"/>
        </w:sectPr>
      </w:pPr>
    </w:p>
    <w:p>
      <w:pPr>
        <w:spacing w:line="240" w:lineRule="auto" w:before="0"/>
        <w:rPr>
          <w:rFonts w:ascii="宋体" w:hAnsi="宋体" w:cs="宋体" w:eastAsia="宋体" w:hint="default"/>
          <w:sz w:val="20"/>
          <w:szCs w:val="20"/>
        </w:rPr>
      </w:pPr>
    </w:p>
    <w:p>
      <w:pPr>
        <w:pStyle w:val="BodyText"/>
        <w:spacing w:line="408" w:lineRule="auto" w:before="174"/>
        <w:ind w:right="1032" w:firstLine="420"/>
        <w:jc w:val="both"/>
      </w:pPr>
      <w:r>
        <w:rPr/>
        <w:t>政企一卡通平台：包含卡务管理、财务结算、综合消费、系统设置四大模块。实现政企客户的开卡、 发卡、财务对账、食堂消费等场景的需要。</w:t>
      </w:r>
    </w:p>
    <w:p>
      <w:pPr>
        <w:pStyle w:val="BodyText"/>
        <w:spacing w:line="408" w:lineRule="auto"/>
        <w:ind w:right="1032" w:firstLine="420"/>
        <w:jc w:val="both"/>
      </w:pPr>
      <w:r>
        <w:rPr/>
        <w:t>一卡通基础平台包括五个标准模块，分别是管理中心、结算中心、卡务中心、集控中心和密钥中心； 可扩展三个外延模块，分别是移动互联平台、电子支付平台和门户平台。</w:t>
      </w:r>
    </w:p>
    <w:p>
      <w:pPr>
        <w:pStyle w:val="BodyText"/>
        <w:spacing w:line="408" w:lineRule="auto"/>
        <w:ind w:right="1131" w:firstLine="420"/>
        <w:jc w:val="both"/>
      </w:pPr>
      <w:r>
        <w:rPr>
          <w:spacing w:val="-1"/>
        </w:rPr>
        <w:t>一卡通基础平台是系统的核心功能模块，它包含对一卡通系统的管理与维护、数据交换与同步、用户</w:t>
      </w:r>
      <w:r>
        <w:rPr/>
        <w:t> </w:t>
      </w:r>
      <w:r>
        <w:rPr>
          <w:spacing w:val="-1"/>
        </w:rPr>
        <w:t>与设备的管理、系统参数的设置、环境参数的设定、系统各模块的工作模式设定、系统工作状态监控、密</w:t>
      </w:r>
      <w:r>
        <w:rPr>
          <w:spacing w:val="-83"/>
        </w:rPr>
        <w:t> </w:t>
      </w:r>
      <w:r>
        <w:rPr>
          <w:spacing w:val="-83"/>
        </w:rPr>
      </w:r>
      <w:r>
        <w:rPr/>
        <w:t>钥管理等功能。</w:t>
      </w:r>
    </w:p>
    <w:p>
      <w:pPr>
        <w:spacing w:line="240" w:lineRule="auto" w:before="7"/>
        <w:rPr>
          <w:rFonts w:ascii="宋体" w:hAnsi="宋体" w:cs="宋体" w:eastAsia="宋体" w:hint="default"/>
          <w:sz w:val="8"/>
          <w:szCs w:val="8"/>
        </w:rPr>
      </w:pPr>
    </w:p>
    <w:p>
      <w:pPr>
        <w:spacing w:line="4095" w:lineRule="exact"/>
        <w:ind w:left="818" w:right="0" w:firstLine="0"/>
        <w:rPr>
          <w:rFonts w:ascii="宋体" w:hAnsi="宋体" w:cs="宋体" w:eastAsia="宋体" w:hint="default"/>
          <w:sz w:val="20"/>
          <w:szCs w:val="20"/>
        </w:rPr>
      </w:pPr>
      <w:r>
        <w:rPr>
          <w:rFonts w:ascii="宋体" w:hAnsi="宋体" w:cs="宋体" w:eastAsia="宋体" w:hint="default"/>
          <w:position w:val="-81"/>
          <w:sz w:val="20"/>
          <w:szCs w:val="20"/>
        </w:rPr>
        <w:drawing>
          <wp:inline distT="0" distB="0" distL="0" distR="0">
            <wp:extent cx="5267324" cy="2600325"/>
            <wp:effectExtent l="0" t="0" r="0" b="0"/>
            <wp:docPr id="33" name="image18.jpeg" descr=""/>
            <wp:cNvGraphicFramePr>
              <a:graphicFrameLocks noChangeAspect="1"/>
            </wp:cNvGraphicFramePr>
            <a:graphic>
              <a:graphicData uri="http://schemas.openxmlformats.org/drawingml/2006/picture">
                <pic:pic>
                  <pic:nvPicPr>
                    <pic:cNvPr id="34" name="image18.jpeg"/>
                    <pic:cNvPicPr/>
                  </pic:nvPicPr>
                  <pic:blipFill>
                    <a:blip r:embed="rId28" cstate="print"/>
                    <a:stretch>
                      <a:fillRect/>
                    </a:stretch>
                  </pic:blipFill>
                  <pic:spPr>
                    <a:xfrm>
                      <a:off x="0" y="0"/>
                      <a:ext cx="5267324" cy="2600325"/>
                    </a:xfrm>
                    <a:prstGeom prst="rect">
                      <a:avLst/>
                    </a:prstGeom>
                  </pic:spPr>
                </pic:pic>
              </a:graphicData>
            </a:graphic>
          </wp:inline>
        </w:drawing>
      </w:r>
      <w:r>
        <w:rPr>
          <w:rFonts w:ascii="宋体" w:hAnsi="宋体" w:cs="宋体" w:eastAsia="宋体" w:hint="default"/>
          <w:position w:val="-81"/>
          <w:sz w:val="20"/>
          <w:szCs w:val="20"/>
        </w:rPr>
      </w:r>
    </w:p>
    <w:p>
      <w:pPr>
        <w:spacing w:line="240" w:lineRule="auto" w:before="12"/>
        <w:rPr>
          <w:rFonts w:ascii="宋体" w:hAnsi="宋体" w:cs="宋体" w:eastAsia="宋体" w:hint="default"/>
          <w:sz w:val="15"/>
          <w:szCs w:val="15"/>
        </w:rPr>
      </w:pPr>
    </w:p>
    <w:p>
      <w:pPr>
        <w:pStyle w:val="BodyText"/>
        <w:spacing w:line="386" w:lineRule="auto" w:before="0"/>
        <w:ind w:left="574" w:right="1117"/>
        <w:jc w:val="left"/>
      </w:pPr>
      <w:r>
        <w:rPr>
          <w:rFonts w:ascii="Times New Roman" w:hAnsi="Times New Roman" w:cs="Times New Roman" w:eastAsia="Times New Roman" w:hint="default"/>
        </w:rPr>
        <w:t>3.1.3</w:t>
      </w:r>
      <w:r>
        <w:rPr/>
        <w:t>考勤管理系统 </w:t>
      </w:r>
      <w:r>
        <w:rPr>
          <w:spacing w:val="-6"/>
        </w:rPr>
        <w:t>考勤管理系统采用先进的信息化考勤设备，实现对持卡人的考勤管理。系统支持指纹识别、面部识别；</w:t>
      </w:r>
    </w:p>
    <w:p>
      <w:pPr>
        <w:pStyle w:val="BodyText"/>
        <w:spacing w:line="408" w:lineRule="auto" w:before="65"/>
        <w:ind w:right="1117"/>
        <w:jc w:val="left"/>
      </w:pPr>
      <w:r>
        <w:rPr>
          <w:spacing w:val="-1"/>
        </w:rPr>
        <w:t>支持将门禁、车载机等多样化设备的刷卡记录作为考勤依据；支持智能排班、节假日设定、请假流程等功</w:t>
      </w:r>
      <w:r>
        <w:rPr>
          <w:spacing w:val="-86"/>
        </w:rPr>
        <w:t> </w:t>
      </w:r>
      <w:r>
        <w:rPr>
          <w:spacing w:val="-86"/>
        </w:rPr>
      </w:r>
      <w:r>
        <w:rPr/>
        <w:t>能；支持查询考勤报表、统计和查询考勤状态；支持数据导出；支持与第三方系统数据对接。</w:t>
      </w:r>
    </w:p>
    <w:p>
      <w:pPr>
        <w:pStyle w:val="BodyText"/>
        <w:spacing w:line="386" w:lineRule="auto"/>
        <w:ind w:left="574" w:right="1117"/>
        <w:jc w:val="left"/>
      </w:pPr>
      <w:r>
        <w:rPr>
          <w:rFonts w:ascii="Times New Roman" w:hAnsi="Times New Roman" w:cs="Times New Roman" w:eastAsia="Times New Roman" w:hint="default"/>
        </w:rPr>
        <w:t>3.1.4</w:t>
      </w:r>
      <w:r>
        <w:rPr/>
        <w:t>门禁管理系统 </w:t>
      </w:r>
      <w:r>
        <w:rPr>
          <w:spacing w:val="-1"/>
        </w:rPr>
        <w:t>门禁管理系统是控制和管理人员进出，并准确记录和统计管理数据的数字化出入控制系统。门禁管理</w:t>
      </w:r>
    </w:p>
    <w:p>
      <w:pPr>
        <w:pStyle w:val="BodyText"/>
        <w:spacing w:line="408" w:lineRule="auto" w:before="65"/>
        <w:ind w:right="1117"/>
        <w:jc w:val="left"/>
      </w:pPr>
      <w:r>
        <w:rPr>
          <w:spacing w:val="-1"/>
        </w:rPr>
        <w:t>系统与身份识别认证相结合，允许内部人员出入，杜绝外来人员随意进出，既方便了内部管理，又加强了</w:t>
      </w:r>
      <w:r>
        <w:rPr>
          <w:spacing w:val="-86"/>
        </w:rPr>
        <w:t> </w:t>
      </w:r>
      <w:r>
        <w:rPr>
          <w:spacing w:val="-86"/>
        </w:rPr>
      </w:r>
      <w:r>
        <w:rPr/>
        <w:t>内部的安保措施，解决了重点区域、重要场所的安全问题，极大地提高了身份识别的效率和正确性。</w:t>
      </w:r>
    </w:p>
    <w:p>
      <w:pPr>
        <w:pStyle w:val="BodyText"/>
        <w:spacing w:line="408" w:lineRule="auto"/>
        <w:ind w:right="1017" w:firstLine="420"/>
        <w:jc w:val="left"/>
      </w:pPr>
      <w:r>
        <w:rPr>
          <w:spacing w:val="-3"/>
        </w:rPr>
        <w:t>门禁管理系统是基于以太网模式工作的网络化智能门禁系统，系统由门禁管理系统软件、门禁控制器、</w:t>
      </w:r>
      <w:r>
        <w:rPr/>
        <w:t> 读卡器、电磁锁</w:t>
      </w:r>
      <w:r>
        <w:rPr>
          <w:rFonts w:ascii="Times New Roman" w:hAnsi="Times New Roman" w:cs="Times New Roman" w:eastAsia="Times New Roman" w:hint="default"/>
        </w:rPr>
        <w:t>/</w:t>
      </w:r>
      <w:r>
        <w:rPr/>
        <w:t>电插锁、闭门器、开门按钮等软硬件组成。</w:t>
      </w:r>
    </w:p>
    <w:p>
      <w:pPr>
        <w:pStyle w:val="BodyText"/>
        <w:spacing w:line="240" w:lineRule="auto" w:before="15"/>
        <w:ind w:left="574" w:right="1117"/>
        <w:jc w:val="left"/>
        <w:rPr>
          <w:rFonts w:ascii="Times New Roman" w:hAnsi="Times New Roman" w:cs="Times New Roman" w:eastAsia="Times New Roman" w:hint="default"/>
        </w:rPr>
      </w:pPr>
      <w:r>
        <w:rPr>
          <w:rFonts w:ascii="Times New Roman" w:hAnsi="Times New Roman" w:cs="Times New Roman" w:eastAsia="Times New Roman" w:hint="default"/>
        </w:rPr>
        <w:t>3.1.5</w:t>
      </w:r>
      <w:r>
        <w:rPr/>
        <w:t>完美企业</w:t>
      </w:r>
      <w:r>
        <w:rPr>
          <w:rFonts w:ascii="Times New Roman" w:hAnsi="Times New Roman" w:cs="Times New Roman" w:eastAsia="Times New Roman" w:hint="default"/>
        </w:rPr>
        <w:t>App</w:t>
      </w:r>
    </w:p>
    <w:p>
      <w:pPr>
        <w:pStyle w:val="BodyText"/>
        <w:spacing w:line="386" w:lineRule="auto" w:before="177"/>
        <w:ind w:right="1150" w:firstLine="420"/>
        <w:jc w:val="left"/>
      </w:pPr>
      <w:r>
        <w:rPr/>
        <w:t>公司通过完美企业手机</w:t>
      </w:r>
      <w:r>
        <w:rPr>
          <w:rFonts w:ascii="Times New Roman" w:hAnsi="Times New Roman" w:cs="Times New Roman" w:eastAsia="Times New Roman" w:hint="default"/>
        </w:rPr>
        <w:t>App</w:t>
      </w:r>
      <w:r>
        <w:rPr/>
        <w:t>向用户提供考勤查询、会议签到、日常报修、服务评价等各项一卡通自助 服务，该功能可以不受微信公众号的业务限制，提供包括支付宝在内的更多支付应用支持。</w:t>
      </w:r>
    </w:p>
    <w:p>
      <w:pPr>
        <w:spacing w:after="0" w:line="386" w:lineRule="auto"/>
        <w:jc w:val="left"/>
        <w:sectPr>
          <w:pgSz w:w="11910" w:h="16840"/>
          <w:pgMar w:header="747" w:footer="979" w:top="1060" w:bottom="1160" w:left="980" w:right="0"/>
        </w:sectPr>
      </w:pPr>
    </w:p>
    <w:p>
      <w:pPr>
        <w:spacing w:line="240" w:lineRule="auto" w:before="0"/>
        <w:rPr>
          <w:rFonts w:ascii="宋体" w:hAnsi="宋体" w:cs="宋体" w:eastAsia="宋体" w:hint="default"/>
          <w:sz w:val="20"/>
          <w:szCs w:val="20"/>
        </w:rPr>
      </w:pPr>
    </w:p>
    <w:p>
      <w:pPr>
        <w:pStyle w:val="BodyText"/>
        <w:spacing w:line="386" w:lineRule="auto" w:before="174"/>
        <w:ind w:left="574" w:right="0"/>
        <w:jc w:val="left"/>
      </w:pPr>
      <w:r>
        <w:rPr>
          <w:rFonts w:ascii="Times New Roman" w:hAnsi="Times New Roman" w:cs="Times New Roman" w:eastAsia="Times New Roman" w:hint="default"/>
        </w:rPr>
        <w:t>3.2</w:t>
      </w:r>
      <w:r>
        <w:rPr/>
        <w:t>公司现状及发展 随着中国制造</w:t>
      </w:r>
      <w:r>
        <w:rPr>
          <w:rFonts w:ascii="Times New Roman" w:hAnsi="Times New Roman" w:cs="Times New Roman" w:eastAsia="Times New Roman" w:hint="default"/>
        </w:rPr>
        <w:t>2025</w:t>
      </w:r>
      <w:r>
        <w:rPr/>
        <w:t>计划的实施和推行，大型集团企业及制造业对智慧企业、信息化管理、精细管理、</w:t>
      </w:r>
    </w:p>
    <w:p>
      <w:pPr>
        <w:pStyle w:val="BodyText"/>
        <w:spacing w:line="408" w:lineRule="auto" w:before="35"/>
        <w:ind w:right="1117"/>
        <w:jc w:val="left"/>
      </w:pPr>
      <w:r>
        <w:rPr>
          <w:spacing w:val="-1"/>
        </w:rPr>
        <w:t>个性化智造等需求增加，公司作为政企行业智慧企业引领者，以数字化智慧企业为建设目标，以建设互联</w:t>
      </w:r>
      <w:r>
        <w:rPr>
          <w:spacing w:val="-83"/>
        </w:rPr>
        <w:t> </w:t>
      </w:r>
      <w:r>
        <w:rPr>
          <w:spacing w:val="-83"/>
        </w:rPr>
      </w:r>
      <w:r>
        <w:rPr>
          <w:spacing w:val="-1"/>
        </w:rPr>
        <w:t>互通的全应用综合后勤服务、打造开放融合的高效管理服务、建设全员参与的人性化自助服务、打造以运</w:t>
      </w:r>
      <w:r>
        <w:rPr>
          <w:spacing w:val="-83"/>
        </w:rPr>
        <w:t> </w:t>
      </w:r>
      <w:r>
        <w:rPr>
          <w:spacing w:val="-83"/>
        </w:rPr>
      </w:r>
      <w:r>
        <w:rPr>
          <w:spacing w:val="-1"/>
        </w:rPr>
        <w:t>维和经营决策为核心的数据服务决策等四个方面为出发点，从园区安防、人员管理、后勤服务、能耗监控</w:t>
      </w:r>
      <w:r>
        <w:rPr>
          <w:spacing w:val="-85"/>
        </w:rPr>
        <w:t> </w:t>
      </w:r>
      <w:r>
        <w:rPr>
          <w:spacing w:val="-85"/>
        </w:rPr>
      </w:r>
      <w:r>
        <w:rPr/>
        <w:t>分析、办公信息化、人员生产效率分析等场景提供全方位的服务；</w:t>
      </w:r>
      <w:r>
        <w:rPr>
          <w:spacing w:val="-21"/>
        </w:rPr>
        <w:t> </w:t>
      </w:r>
      <w:r>
        <w:rPr/>
        <w:t>在报告期间，华为、中兴、腾讯、南</w:t>
      </w:r>
      <w:r>
        <w:rPr/>
        <w:t> 方航空、长城汽车、特变电工、中国核电等大型企业均是公司大型项目的标杆客户。</w:t>
      </w:r>
    </w:p>
    <w:p>
      <w:pPr>
        <w:pStyle w:val="BodyText"/>
        <w:spacing w:line="396" w:lineRule="auto"/>
        <w:ind w:right="0" w:firstLine="420"/>
        <w:jc w:val="left"/>
      </w:pPr>
      <w:r>
        <w:rPr/>
        <w:t>华为项目分为两期，一期为全国一卡通，覆盖全国各地公司及分支机构，涵盖消费、班车、圈存、自 </w:t>
      </w:r>
      <w:r>
        <w:rPr>
          <w:spacing w:val="-3"/>
        </w:rPr>
        <w:t>助服务等各方面应用，并实现与华为已有门禁、考勤、访客、</w:t>
      </w:r>
      <w:r>
        <w:rPr>
          <w:rFonts w:ascii="Times New Roman" w:hAnsi="Times New Roman" w:cs="Times New Roman" w:eastAsia="Times New Roman" w:hint="default"/>
          <w:spacing w:val="-3"/>
        </w:rPr>
        <w:t>HR</w:t>
      </w:r>
      <w:r>
        <w:rPr>
          <w:spacing w:val="-3"/>
        </w:rPr>
        <w:t>等系统全面对接，构建了统一的清分清算</w:t>
      </w:r>
      <w:r>
        <w:rPr>
          <w:spacing w:val="-71"/>
        </w:rPr>
        <w:t> </w:t>
      </w:r>
      <w:r>
        <w:rPr>
          <w:spacing w:val="-71"/>
        </w:rPr>
      </w:r>
      <w:r>
        <w:rPr>
          <w:spacing w:val="-5"/>
        </w:rPr>
        <w:t>平台，实现了全国</w:t>
      </w:r>
      <w:r>
        <w:rPr>
          <w:rFonts w:ascii="Times New Roman" w:hAnsi="Times New Roman" w:cs="Times New Roman" w:eastAsia="Times New Roman" w:hint="default"/>
          <w:spacing w:val="-5"/>
        </w:rPr>
        <w:t>20</w:t>
      </w:r>
      <w:r>
        <w:rPr>
          <w:spacing w:val="-5"/>
        </w:rPr>
        <w:t>余万人员的互联互通应用；二期，全球一卡通，针对华为的业务特性进行专业化定制，</w:t>
      </w:r>
      <w:r>
        <w:rPr>
          <w:spacing w:val="-99"/>
        </w:rPr>
        <w:t> </w:t>
      </w:r>
      <w:r>
        <w:rPr>
          <w:spacing w:val="-99"/>
        </w:rPr>
      </w:r>
      <w:r>
        <w:rPr/>
        <w:t>将实现全球</w:t>
      </w:r>
      <w:r>
        <w:rPr>
          <w:rFonts w:ascii="Times New Roman" w:hAnsi="Times New Roman" w:cs="Times New Roman" w:eastAsia="Times New Roman" w:hint="default"/>
        </w:rPr>
        <w:t>142</w:t>
      </w:r>
      <w:r>
        <w:rPr/>
        <w:t>个分支机构的互联互通及全球结算。同时，公司还为中兴通讯建设了基于多厂区互联互通 的</w:t>
      </w:r>
      <w:r>
        <w:rPr>
          <w:rFonts w:ascii="Times New Roman" w:hAnsi="Times New Roman" w:cs="Times New Roman" w:eastAsia="Times New Roman" w:hint="default"/>
        </w:rPr>
        <w:t>“</w:t>
      </w:r>
      <w:r>
        <w:rPr/>
        <w:t>宜和通</w:t>
      </w:r>
      <w:r>
        <w:rPr>
          <w:rFonts w:ascii="Times New Roman" w:hAnsi="Times New Roman" w:cs="Times New Roman" w:eastAsia="Times New Roman" w:hint="default"/>
        </w:rPr>
        <w:t>”</w:t>
      </w:r>
      <w:r>
        <w:rPr/>
        <w:t>集中管理平台，涵盖员工的食堂商超消费、考勤门禁、班车乘坐、图书借阅、车库停放等各类 业务。作为中国</w:t>
      </w:r>
      <w:r>
        <w:rPr>
          <w:rFonts w:ascii="Times New Roman" w:hAnsi="Times New Roman" w:cs="Times New Roman" w:eastAsia="Times New Roman" w:hint="default"/>
        </w:rPr>
        <w:t>IT</w:t>
      </w:r>
      <w:r>
        <w:rPr/>
        <w:t>行业的领军企业，腾讯公司更是高度认可新开普的移动互联运营模式与其企业理念一脉 相承，新开普承建腾讯全国多个园区的一卡通，并为腾讯在员工班车、夜宵餐补等方面进行深度定制。 公司还将继续运用生物识别、云计算、物联网、人工智能等新兴信息技术打造的针对新一代智慧型企业、</w:t>
      </w:r>
      <w:r>
        <w:rPr>
          <w:spacing w:val="-38"/>
        </w:rPr>
        <w:t> </w:t>
      </w:r>
      <w:r>
        <w:rPr>
          <w:spacing w:val="-38"/>
        </w:rPr>
      </w:r>
      <w:r>
        <w:rPr/>
        <w:t>产业园区等的信息化系统不断地开拓市场，为企业客户带来更精细、更个性化的服务。</w:t>
      </w:r>
    </w:p>
    <w:p>
      <w:pPr>
        <w:pStyle w:val="BodyText"/>
        <w:spacing w:line="240" w:lineRule="auto" w:before="56"/>
        <w:ind w:left="574" w:right="1117"/>
        <w:jc w:val="left"/>
      </w:pPr>
      <w:r>
        <w:rPr>
          <w:rFonts w:ascii="Times New Roman" w:hAnsi="Times New Roman" w:cs="Times New Roman" w:eastAsia="Times New Roman" w:hint="default"/>
        </w:rPr>
        <w:t>4</w:t>
      </w:r>
      <w:r>
        <w:rPr/>
        <w:t>、运维服务</w:t>
      </w:r>
    </w:p>
    <w:p>
      <w:pPr>
        <w:pStyle w:val="BodyText"/>
        <w:spacing w:line="398" w:lineRule="auto" w:before="177"/>
        <w:ind w:right="0" w:firstLine="420"/>
        <w:jc w:val="left"/>
      </w:pPr>
      <w:r>
        <w:rPr>
          <w:rFonts w:ascii="Times New Roman" w:hAnsi="Times New Roman" w:cs="Times New Roman" w:eastAsia="Times New Roman" w:hint="default"/>
        </w:rPr>
        <w:t>2013</w:t>
      </w:r>
      <w:r>
        <w:rPr/>
        <w:t>年公司开始建立全国统一服务热线，为全国用户提供统一服务，并在</w:t>
      </w:r>
      <w:r>
        <w:rPr>
          <w:rFonts w:ascii="Times New Roman" w:hAnsi="Times New Roman" w:cs="Times New Roman" w:eastAsia="Times New Roman" w:hint="default"/>
        </w:rPr>
        <w:t>2014</w:t>
      </w:r>
      <w:r>
        <w:rPr/>
        <w:t>年度导入</w:t>
      </w:r>
      <w:r>
        <w:rPr>
          <w:rFonts w:ascii="Times New Roman" w:hAnsi="Times New Roman" w:cs="Times New Roman" w:eastAsia="Times New Roman" w:hint="default"/>
        </w:rPr>
        <w:t>ITSS</w:t>
      </w:r>
      <w:r>
        <w:rPr/>
        <w:t>运维服务 体系，</w:t>
      </w:r>
      <w:r>
        <w:rPr>
          <w:rFonts w:ascii="Times New Roman" w:hAnsi="Times New Roman" w:cs="Times New Roman" w:eastAsia="Times New Roman" w:hint="default"/>
        </w:rPr>
        <w:t>2015</w:t>
      </w:r>
      <w:r>
        <w:rPr/>
        <w:t>年，客服中心架构进行优化，设立运维支持部，主管运维服务全流程业务，在运维支持部下设 服务台、运维工具运营管理（工具设计、工具开发、手册输出）、运维服务管理（服务外包管理、服务营 销管理），同时在二线工程师设立服务器、数据库、存储专职工程师，为用户提供软硬件产品维保服务、</w:t>
      </w:r>
      <w:r>
        <w:rPr>
          <w:spacing w:val="-38"/>
        </w:rPr>
        <w:t> </w:t>
      </w:r>
      <w:r>
        <w:rPr>
          <w:spacing w:val="-38"/>
        </w:rPr>
      </w:r>
      <w:r>
        <w:rPr/>
        <w:t>资源负载服务、集群服务、数据迁移服务、等工作。</w:t>
      </w:r>
    </w:p>
    <w:p>
      <w:pPr>
        <w:pStyle w:val="BodyText"/>
        <w:spacing w:line="386" w:lineRule="auto" w:before="54"/>
        <w:ind w:right="1131" w:firstLine="420"/>
        <w:jc w:val="both"/>
      </w:pPr>
      <w:r>
        <w:rPr>
          <w:spacing w:val="-1"/>
        </w:rPr>
        <w:t>通过建立呼叫中心服务台、知识库、备品备件库等资源，设立二线工程师</w:t>
      </w:r>
      <w:r>
        <w:rPr>
          <w:rFonts w:ascii="Times New Roman" w:hAnsi="Times New Roman" w:cs="Times New Roman" w:eastAsia="Times New Roman" w:hint="default"/>
          <w:spacing w:val="-1"/>
        </w:rPr>
        <w:t>20</w:t>
      </w:r>
      <w:r>
        <w:rPr>
          <w:spacing w:val="-1"/>
        </w:rPr>
        <w:t>名、一线工程师</w:t>
      </w:r>
      <w:r>
        <w:rPr>
          <w:rFonts w:ascii="Times New Roman" w:hAnsi="Times New Roman" w:cs="Times New Roman" w:eastAsia="Times New Roman" w:hint="default"/>
          <w:spacing w:val="-1"/>
        </w:rPr>
        <w:t>40</w:t>
      </w:r>
      <w:r>
        <w:rPr>
          <w:spacing w:val="-1"/>
        </w:rPr>
        <w:t>名，采</w:t>
      </w:r>
      <w:r>
        <w:rPr/>
        <w:t> 用全国统一服务监控、一线</w:t>
      </w:r>
      <w:r>
        <w:rPr>
          <w:rFonts w:ascii="Times New Roman" w:hAnsi="Times New Roman" w:cs="Times New Roman" w:eastAsia="Times New Roman" w:hint="default"/>
        </w:rPr>
        <w:t>+</w:t>
      </w:r>
      <w:r>
        <w:rPr/>
        <w:t>二线的服务模式为用户提供在线、上门服务，在服务结束后，对用户进行回 访，了解服务结果及用户满意度，建立了完整的服务闭合环，同年通过</w:t>
      </w:r>
      <w:r>
        <w:rPr>
          <w:rFonts w:ascii="Times New Roman" w:hAnsi="Times New Roman" w:cs="Times New Roman" w:eastAsia="Times New Roman" w:hint="default"/>
        </w:rPr>
        <w:t>GB/T28827.1-2012</w:t>
      </w:r>
      <w:r>
        <w:rPr/>
        <w:t>《信息技术服务 运行维护第</w:t>
      </w:r>
      <w:r>
        <w:rPr>
          <w:rFonts w:ascii="Times New Roman" w:hAnsi="Times New Roman" w:cs="Times New Roman" w:eastAsia="Times New Roman" w:hint="default"/>
        </w:rPr>
        <w:t>1</w:t>
      </w:r>
      <w:r>
        <w:rPr/>
        <w:t>部分：通用要求》能力评估，获得</w:t>
      </w:r>
      <w:r>
        <w:rPr>
          <w:rFonts w:ascii="Times New Roman" w:hAnsi="Times New Roman" w:cs="Times New Roman" w:eastAsia="Times New Roman" w:hint="default"/>
        </w:rPr>
        <w:t>GB/T28827.1-2012</w:t>
      </w:r>
      <w:r>
        <w:rPr/>
        <w:t>《信息技术服务运行维护第</w:t>
      </w:r>
      <w:r>
        <w:rPr>
          <w:rFonts w:ascii="Times New Roman" w:hAnsi="Times New Roman" w:cs="Times New Roman" w:eastAsia="Times New Roman" w:hint="default"/>
        </w:rPr>
        <w:t>1</w:t>
      </w:r>
      <w:r>
        <w:rPr/>
        <w:t>部分：通用 要求》证书。</w:t>
      </w:r>
    </w:p>
    <w:p>
      <w:pPr>
        <w:pStyle w:val="BodyText"/>
        <w:spacing w:line="240" w:lineRule="auto" w:before="65"/>
        <w:ind w:left="574" w:right="1117"/>
        <w:jc w:val="left"/>
      </w:pPr>
      <w:r>
        <w:rPr>
          <w:rFonts w:ascii="Times New Roman" w:hAnsi="Times New Roman" w:cs="Times New Roman" w:eastAsia="Times New Roman" w:hint="default"/>
        </w:rPr>
        <w:t>4.1</w:t>
      </w:r>
      <w:r>
        <w:rPr/>
        <w:t>运维模式</w:t>
      </w:r>
    </w:p>
    <w:p>
      <w:pPr>
        <w:pStyle w:val="BodyText"/>
        <w:spacing w:line="386" w:lineRule="auto" w:before="177"/>
        <w:ind w:left="574" w:right="1117"/>
        <w:jc w:val="left"/>
      </w:pPr>
      <w:r>
        <w:rPr>
          <w:rFonts w:ascii="Times New Roman" w:hAnsi="Times New Roman" w:cs="Times New Roman" w:eastAsia="Times New Roman" w:hint="default"/>
        </w:rPr>
        <w:t>4.1.1</w:t>
      </w:r>
      <w:r>
        <w:rPr/>
        <w:t>“无感知”服务模式 </w:t>
      </w:r>
      <w:r>
        <w:rPr>
          <w:spacing w:val="-1"/>
        </w:rPr>
        <w:t>系统的稳定运行已不再是简单的定义恢复故障时间，而是通过有效的手段来规避风险的发生，基于物</w:t>
      </w:r>
    </w:p>
    <w:p>
      <w:pPr>
        <w:spacing w:after="0" w:line="386" w:lineRule="auto"/>
        <w:jc w:val="left"/>
        <w:sectPr>
          <w:pgSz w:w="11910" w:h="16840"/>
          <w:pgMar w:header="747" w:footer="979" w:top="1060" w:bottom="1160" w:left="980" w:right="0"/>
        </w:sectPr>
      </w:pPr>
    </w:p>
    <w:p>
      <w:pPr>
        <w:spacing w:line="240" w:lineRule="auto" w:before="0"/>
        <w:rPr>
          <w:rFonts w:ascii="宋体" w:hAnsi="宋体" w:cs="宋体" w:eastAsia="宋体" w:hint="default"/>
          <w:sz w:val="20"/>
          <w:szCs w:val="20"/>
        </w:rPr>
      </w:pPr>
    </w:p>
    <w:p>
      <w:pPr>
        <w:pStyle w:val="BodyText"/>
        <w:spacing w:line="408" w:lineRule="auto" w:before="174"/>
        <w:ind w:right="1132"/>
        <w:jc w:val="both"/>
      </w:pPr>
      <w:r>
        <w:rPr>
          <w:spacing w:val="-1"/>
        </w:rPr>
        <w:t>联网、云计算、数据挖掘技术的背景，公司自主研发基于校园云运维服务平台，通过实时获取服务器、应</w:t>
      </w:r>
      <w:r>
        <w:rPr>
          <w:spacing w:val="-83"/>
        </w:rPr>
        <w:t> </w:t>
      </w:r>
      <w:r>
        <w:rPr>
          <w:spacing w:val="-83"/>
        </w:rPr>
      </w:r>
      <w:r>
        <w:rPr>
          <w:spacing w:val="-1"/>
        </w:rPr>
        <w:t>用、数据库及终端设备的运行情况，建立数据分析模型，及时的提醒、预警和报警，同时云运维服务平台</w:t>
      </w:r>
      <w:r>
        <w:rPr>
          <w:spacing w:val="-83"/>
        </w:rPr>
        <w:t> </w:t>
      </w:r>
      <w:r>
        <w:rPr>
          <w:spacing w:val="-83"/>
        </w:rPr>
      </w:r>
      <w:r>
        <w:rPr/>
        <w:t>与公司</w:t>
      </w:r>
      <w:r>
        <w:rPr>
          <w:rFonts w:ascii="Times New Roman" w:hAnsi="Times New Roman" w:cs="Times New Roman" w:eastAsia="Times New Roman" w:hint="default"/>
        </w:rPr>
        <w:t>400</w:t>
      </w:r>
      <w:r>
        <w:rPr/>
        <w:t>服务平台进行联动，当系统报警时，向</w:t>
      </w:r>
      <w:r>
        <w:rPr>
          <w:rFonts w:ascii="Times New Roman" w:hAnsi="Times New Roman" w:cs="Times New Roman" w:eastAsia="Times New Roman" w:hint="default"/>
        </w:rPr>
        <w:t>400</w:t>
      </w:r>
      <w:r>
        <w:rPr/>
        <w:t>推送报修派工，打造用户的“无感知”服务体验。</w:t>
      </w:r>
    </w:p>
    <w:p>
      <w:pPr>
        <w:spacing w:line="240" w:lineRule="auto" w:before="6"/>
        <w:rPr>
          <w:rFonts w:ascii="宋体" w:hAnsi="宋体" w:cs="宋体" w:eastAsia="宋体" w:hint="default"/>
          <w:sz w:val="2"/>
          <w:szCs w:val="2"/>
        </w:rPr>
      </w:pPr>
    </w:p>
    <w:p>
      <w:pPr>
        <w:spacing w:line="4815" w:lineRule="exact"/>
        <w:ind w:left="683" w:right="0" w:firstLine="0"/>
        <w:rPr>
          <w:rFonts w:ascii="宋体" w:hAnsi="宋体" w:cs="宋体" w:eastAsia="宋体" w:hint="default"/>
          <w:sz w:val="20"/>
          <w:szCs w:val="20"/>
        </w:rPr>
      </w:pPr>
      <w:r>
        <w:rPr>
          <w:rFonts w:ascii="宋体" w:hAnsi="宋体" w:cs="宋体" w:eastAsia="宋体" w:hint="default"/>
          <w:position w:val="-95"/>
          <w:sz w:val="20"/>
          <w:szCs w:val="20"/>
        </w:rPr>
        <w:drawing>
          <wp:inline distT="0" distB="0" distL="0" distR="0">
            <wp:extent cx="5448299" cy="3057525"/>
            <wp:effectExtent l="0" t="0" r="0" b="0"/>
            <wp:docPr id="35" name="image19.jpeg" descr=""/>
            <wp:cNvGraphicFramePr>
              <a:graphicFrameLocks noChangeAspect="1"/>
            </wp:cNvGraphicFramePr>
            <a:graphic>
              <a:graphicData uri="http://schemas.openxmlformats.org/drawingml/2006/picture">
                <pic:pic>
                  <pic:nvPicPr>
                    <pic:cNvPr id="36" name="image19.jpeg"/>
                    <pic:cNvPicPr/>
                  </pic:nvPicPr>
                  <pic:blipFill>
                    <a:blip r:embed="rId29" cstate="print"/>
                    <a:stretch>
                      <a:fillRect/>
                    </a:stretch>
                  </pic:blipFill>
                  <pic:spPr>
                    <a:xfrm>
                      <a:off x="0" y="0"/>
                      <a:ext cx="5448299" cy="3057525"/>
                    </a:xfrm>
                    <a:prstGeom prst="rect">
                      <a:avLst/>
                    </a:prstGeom>
                  </pic:spPr>
                </pic:pic>
              </a:graphicData>
            </a:graphic>
          </wp:inline>
        </w:drawing>
      </w:r>
      <w:r>
        <w:rPr>
          <w:rFonts w:ascii="宋体" w:hAnsi="宋体" w:cs="宋体" w:eastAsia="宋体" w:hint="default"/>
          <w:position w:val="-95"/>
          <w:sz w:val="20"/>
          <w:szCs w:val="20"/>
        </w:rPr>
      </w:r>
    </w:p>
    <w:p>
      <w:pPr>
        <w:pStyle w:val="BodyText"/>
        <w:spacing w:line="386" w:lineRule="auto" w:before="159"/>
        <w:ind w:left="574" w:right="1150"/>
        <w:jc w:val="left"/>
      </w:pPr>
      <w:r>
        <w:rPr>
          <w:rFonts w:ascii="Times New Roman" w:hAnsi="Times New Roman" w:cs="Times New Roman" w:eastAsia="Times New Roman" w:hint="default"/>
        </w:rPr>
        <w:t>4.1.2</w:t>
      </w:r>
      <w:r>
        <w:rPr/>
        <w:t>手机端服务（新开普服务宝） 新开普服务宝是公司旗下一款集报修、派工、响应、服务、评价于一体的客户服务</w:t>
      </w:r>
      <w:r>
        <w:rPr>
          <w:rFonts w:ascii="Times New Roman" w:hAnsi="Times New Roman" w:cs="Times New Roman" w:eastAsia="Times New Roman" w:hint="default"/>
        </w:rPr>
        <w:t>App</w:t>
      </w:r>
      <w:r>
        <w:rPr/>
        <w:t>，可以实现客</w:t>
      </w:r>
    </w:p>
    <w:p>
      <w:pPr>
        <w:pStyle w:val="BodyText"/>
        <w:spacing w:line="408" w:lineRule="auto" w:before="35"/>
        <w:ind w:right="0"/>
        <w:jc w:val="left"/>
      </w:pPr>
      <w:r>
        <w:rPr/>
        <w:t>户报修后呼叫中心二线工程师在线服务或统一派工至全国各地服务网点，服务完成后，客户可以进行评价 或通过呼叫中心回访进行评价，形成完整的服务闭合环，同时通过服务宝还可以实时了解系统运行情况。</w:t>
      </w:r>
    </w:p>
    <w:p>
      <w:pPr>
        <w:pStyle w:val="BodyText"/>
        <w:spacing w:line="386" w:lineRule="auto"/>
        <w:ind w:left="574" w:right="1117"/>
        <w:jc w:val="left"/>
      </w:pPr>
      <w:r>
        <w:rPr>
          <w:rFonts w:ascii="Times New Roman" w:hAnsi="Times New Roman" w:cs="Times New Roman" w:eastAsia="Times New Roman" w:hint="default"/>
        </w:rPr>
        <w:t>4.1.3</w:t>
      </w:r>
      <w:r>
        <w:rPr/>
        <w:t>在线报修系统 </w:t>
      </w:r>
      <w:r>
        <w:rPr>
          <w:spacing w:val="-1"/>
        </w:rPr>
        <w:t>校方后勤服务人员对于校内的物业故障报修事务，一般情况下无法合理分配人力资源，且不能很好的</w:t>
      </w:r>
    </w:p>
    <w:p>
      <w:pPr>
        <w:pStyle w:val="BodyText"/>
        <w:spacing w:line="408" w:lineRule="auto" w:before="65"/>
        <w:ind w:left="574" w:right="1150" w:hanging="420"/>
        <w:jc w:val="left"/>
      </w:pPr>
      <w:r>
        <w:rPr/>
        <w:t>跟踪售后服务进程，造成无法得到学生的有效反馈，无法统计售后服务工作量。 学生通过完美校园</w:t>
      </w:r>
      <w:r>
        <w:rPr>
          <w:rFonts w:ascii="Times New Roman" w:hAnsi="Times New Roman" w:cs="Times New Roman" w:eastAsia="Times New Roman" w:hint="default"/>
        </w:rPr>
        <w:t>App</w:t>
      </w:r>
      <w:r>
        <w:rPr/>
        <w:t>提起报修申请（支持拍照），管理后台支持自动派单和手动派单，维修人员安</w:t>
      </w:r>
    </w:p>
    <w:p>
      <w:pPr>
        <w:pStyle w:val="BodyText"/>
        <w:spacing w:line="240" w:lineRule="auto" w:before="14"/>
        <w:ind w:right="0"/>
        <w:jc w:val="both"/>
      </w:pPr>
      <w:r>
        <w:rPr/>
        <w:t>装报修管家</w:t>
      </w:r>
      <w:r>
        <w:rPr>
          <w:rFonts w:ascii="Times New Roman" w:hAnsi="Times New Roman" w:cs="Times New Roman" w:eastAsia="Times New Roman" w:hint="default"/>
        </w:rPr>
        <w:t>App</w:t>
      </w:r>
      <w:r>
        <w:rPr/>
        <w:t>与学生进行互动，并在整个服务过程中涵盖进度跟踪、事后评价。</w:t>
      </w:r>
    </w:p>
    <w:p>
      <w:pPr>
        <w:spacing w:after="0" w:line="240" w:lineRule="auto"/>
        <w:jc w:val="both"/>
        <w:sectPr>
          <w:pgSz w:w="11910" w:h="16840"/>
          <w:pgMar w:header="747" w:footer="979" w:top="1060" w:bottom="1160" w:left="980" w:right="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0"/>
          <w:szCs w:val="20"/>
        </w:rPr>
      </w:pPr>
    </w:p>
    <w:p>
      <w:pPr>
        <w:spacing w:line="4665" w:lineRule="exact"/>
        <w:ind w:left="818" w:right="0" w:firstLine="0"/>
        <w:rPr>
          <w:rFonts w:ascii="宋体" w:hAnsi="宋体" w:cs="宋体" w:eastAsia="宋体" w:hint="default"/>
          <w:sz w:val="20"/>
          <w:szCs w:val="20"/>
        </w:rPr>
      </w:pPr>
      <w:r>
        <w:rPr>
          <w:rFonts w:ascii="宋体" w:hAnsi="宋体" w:cs="宋体" w:eastAsia="宋体" w:hint="default"/>
          <w:position w:val="-92"/>
          <w:sz w:val="20"/>
          <w:szCs w:val="20"/>
        </w:rPr>
        <w:drawing>
          <wp:inline distT="0" distB="0" distL="0" distR="0">
            <wp:extent cx="5267325" cy="2962275"/>
            <wp:effectExtent l="0" t="0" r="0" b="0"/>
            <wp:docPr id="37" name="image20.jpeg" descr=""/>
            <wp:cNvGraphicFramePr>
              <a:graphicFrameLocks noChangeAspect="1"/>
            </wp:cNvGraphicFramePr>
            <a:graphic>
              <a:graphicData uri="http://schemas.openxmlformats.org/drawingml/2006/picture">
                <pic:pic>
                  <pic:nvPicPr>
                    <pic:cNvPr id="38" name="image20.jpeg"/>
                    <pic:cNvPicPr/>
                  </pic:nvPicPr>
                  <pic:blipFill>
                    <a:blip r:embed="rId30" cstate="print"/>
                    <a:stretch>
                      <a:fillRect/>
                    </a:stretch>
                  </pic:blipFill>
                  <pic:spPr>
                    <a:xfrm>
                      <a:off x="0" y="0"/>
                      <a:ext cx="5267325" cy="2962275"/>
                    </a:xfrm>
                    <a:prstGeom prst="rect">
                      <a:avLst/>
                    </a:prstGeom>
                  </pic:spPr>
                </pic:pic>
              </a:graphicData>
            </a:graphic>
          </wp:inline>
        </w:drawing>
      </w:r>
      <w:r>
        <w:rPr>
          <w:rFonts w:ascii="宋体" w:hAnsi="宋体" w:cs="宋体" w:eastAsia="宋体" w:hint="default"/>
          <w:position w:val="-92"/>
          <w:sz w:val="20"/>
          <w:szCs w:val="20"/>
        </w:rPr>
      </w:r>
    </w:p>
    <w:p>
      <w:pPr>
        <w:spacing w:line="240" w:lineRule="auto" w:before="3"/>
        <w:rPr>
          <w:rFonts w:ascii="宋体" w:hAnsi="宋体" w:cs="宋体" w:eastAsia="宋体" w:hint="default"/>
          <w:sz w:val="15"/>
          <w:szCs w:val="15"/>
        </w:rPr>
      </w:pPr>
    </w:p>
    <w:p>
      <w:pPr>
        <w:pStyle w:val="BodyText"/>
        <w:spacing w:line="398" w:lineRule="auto" w:before="35"/>
        <w:ind w:right="1132" w:firstLine="420"/>
        <w:jc w:val="both"/>
      </w:pPr>
      <w:r>
        <w:rPr>
          <w:spacing w:val="-1"/>
        </w:rPr>
        <w:t>公司</w:t>
      </w:r>
      <w:r>
        <w:rPr>
          <w:rFonts w:ascii="Times New Roman" w:hAnsi="Times New Roman" w:cs="Times New Roman" w:eastAsia="Times New Roman" w:hint="default"/>
          <w:spacing w:val="-1"/>
        </w:rPr>
        <w:t>2019</w:t>
      </w:r>
      <w:r>
        <w:rPr>
          <w:spacing w:val="-1"/>
        </w:rPr>
        <w:t>年将进一步巩固和拓展智慧校园应用解决方案、智慧校园云平台解决方案、基于</w:t>
      </w:r>
      <w:r>
        <w:rPr>
          <w:rFonts w:ascii="Times New Roman" w:hAnsi="Times New Roman" w:cs="Times New Roman" w:eastAsia="Times New Roman" w:hint="default"/>
          <w:spacing w:val="-1"/>
        </w:rPr>
        <w:t>SaaS</w:t>
      </w:r>
      <w:r>
        <w:rPr>
          <w:spacing w:val="-1"/>
        </w:rPr>
        <w:t>的运维</w:t>
      </w:r>
      <w:r>
        <w:rPr/>
        <w:t> </w:t>
      </w:r>
      <w:r>
        <w:rPr>
          <w:spacing w:val="-1"/>
        </w:rPr>
        <w:t>服务等业务板块，抓住行业快速发展机遇，实现产业链的纵向拓展，丰富产品线，发挥业务协同效应，巩</w:t>
      </w:r>
      <w:r>
        <w:rPr>
          <w:spacing w:val="-83"/>
        </w:rPr>
        <w:t> </w:t>
      </w:r>
      <w:r>
        <w:rPr>
          <w:spacing w:val="-83"/>
        </w:rPr>
      </w:r>
      <w:r>
        <w:rPr/>
        <w:t>固公司行业竞争地位，拓展新的收入来源。</w:t>
      </w:r>
    </w:p>
    <w:p>
      <w:pPr>
        <w:spacing w:line="240" w:lineRule="auto" w:before="6"/>
        <w:rPr>
          <w:rFonts w:ascii="宋体" w:hAnsi="宋体" w:cs="宋体" w:eastAsia="宋体" w:hint="default"/>
          <w:sz w:val="19"/>
          <w:szCs w:val="19"/>
        </w:rPr>
      </w:pPr>
    </w:p>
    <w:p>
      <w:pPr>
        <w:pStyle w:val="Heading2"/>
        <w:spacing w:line="240" w:lineRule="auto"/>
        <w:ind w:right="1117"/>
        <w:jc w:val="left"/>
        <w:rPr>
          <w:b w:val="0"/>
          <w:bCs w:val="0"/>
        </w:rPr>
      </w:pPr>
      <w:bookmarkStart w:name="二、主要资产重大变化情况" w:id="17"/>
      <w:bookmarkEnd w:id="17"/>
      <w:r>
        <w:rPr>
          <w:b w:val="0"/>
          <w:bCs w:val="0"/>
        </w:rPr>
      </w:r>
      <w:r>
        <w:rPr/>
        <w:t>二、主要资产重大变化情况</w:t>
      </w:r>
      <w:r>
        <w:rPr>
          <w:b w:val="0"/>
          <w:bCs w:val="0"/>
        </w:rPr>
      </w:r>
    </w:p>
    <w:p>
      <w:pPr>
        <w:spacing w:line="240" w:lineRule="auto" w:before="9"/>
        <w:rPr>
          <w:rFonts w:ascii="宋体" w:hAnsi="宋体" w:cs="宋体" w:eastAsia="宋体" w:hint="default"/>
          <w:b/>
          <w:bCs/>
          <w:sz w:val="24"/>
          <w:szCs w:val="24"/>
        </w:rPr>
      </w:pPr>
    </w:p>
    <w:p>
      <w:pPr>
        <w:pStyle w:val="Heading4"/>
        <w:spacing w:line="240" w:lineRule="auto"/>
        <w:ind w:right="1117"/>
        <w:jc w:val="left"/>
        <w:rPr>
          <w:b w:val="0"/>
          <w:bCs w:val="0"/>
        </w:rPr>
      </w:pPr>
      <w:bookmarkStart w:name="1、主要资产重大变化情况" w:id="18"/>
      <w:bookmarkEnd w:id="18"/>
      <w:r>
        <w:rPr>
          <w:b w:val="0"/>
          <w:bCs w:val="0"/>
        </w:rPr>
      </w:r>
      <w:r>
        <w:rPr>
          <w:rFonts w:ascii="Times New Roman" w:hAnsi="Times New Roman" w:cs="Times New Roman" w:eastAsia="Times New Roman" w:hint="default"/>
        </w:rPr>
        <w:t>1</w:t>
      </w:r>
      <w:r>
        <w:rPr/>
        <w:t>、主要资产重大变化情况</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3052"/>
        <w:gridCol w:w="6517"/>
      </w:tblGrid>
      <w:tr>
        <w:trPr>
          <w:trHeight w:val="186" w:hRule="exact"/>
        </w:trPr>
        <w:tc>
          <w:tcPr>
            <w:tcW w:w="3052" w:type="dxa"/>
            <w:tcBorders>
              <w:top w:val="single" w:sz="4" w:space="0" w:color="000000"/>
              <w:left w:val="single" w:sz="4" w:space="0" w:color="000000"/>
              <w:bottom w:val="nil" w:sz="6" w:space="0" w:color="auto"/>
              <w:right w:val="single" w:sz="4" w:space="0" w:color="000000"/>
            </w:tcBorders>
            <w:shd w:val="clear" w:color="auto" w:fill="D2D2D2"/>
          </w:tcPr>
          <w:p>
            <w:pPr/>
          </w:p>
        </w:tc>
        <w:tc>
          <w:tcPr>
            <w:tcW w:w="6517"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392" w:hRule="exact"/>
        </w:trPr>
        <w:tc>
          <w:tcPr>
            <w:tcW w:w="305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主要资产</w:t>
            </w:r>
          </w:p>
        </w:tc>
        <w:tc>
          <w:tcPr>
            <w:tcW w:w="651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重大变化说明</w:t>
            </w:r>
          </w:p>
        </w:tc>
      </w:tr>
      <w:tr>
        <w:trPr>
          <w:trHeight w:val="186" w:hRule="exact"/>
        </w:trPr>
        <w:tc>
          <w:tcPr>
            <w:tcW w:w="3052" w:type="dxa"/>
            <w:tcBorders>
              <w:top w:val="nil" w:sz="6" w:space="0" w:color="auto"/>
              <w:left w:val="single" w:sz="4" w:space="0" w:color="000000"/>
              <w:bottom w:val="single" w:sz="4" w:space="0" w:color="000000"/>
              <w:right w:val="single" w:sz="4" w:space="0" w:color="000000"/>
            </w:tcBorders>
            <w:shd w:val="clear" w:color="auto" w:fill="D2D2D2"/>
          </w:tcPr>
          <w:p>
            <w:pPr/>
          </w:p>
        </w:tc>
        <w:tc>
          <w:tcPr>
            <w:tcW w:w="6517"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402" w:hRule="exact"/>
        </w:trPr>
        <w:tc>
          <w:tcPr>
            <w:tcW w:w="30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股权资产</w:t>
            </w:r>
          </w:p>
        </w:tc>
        <w:tc>
          <w:tcPr>
            <w:tcW w:w="651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10" w:right="0"/>
              <w:jc w:val="left"/>
              <w:rPr>
                <w:rFonts w:ascii="宋体" w:hAnsi="宋体" w:cs="宋体" w:eastAsia="宋体" w:hint="default"/>
                <w:sz w:val="18"/>
                <w:szCs w:val="18"/>
              </w:rPr>
            </w:pPr>
            <w:r>
              <w:rPr>
                <w:rFonts w:ascii="宋体" w:hAnsi="宋体" w:cs="宋体" w:eastAsia="宋体" w:hint="default"/>
                <w:sz w:val="18"/>
                <w:szCs w:val="18"/>
              </w:rPr>
              <w:t>主要系报告期内投资希嘉教育及丹诚开普所致。</w:t>
            </w:r>
          </w:p>
        </w:tc>
      </w:tr>
      <w:tr>
        <w:trPr>
          <w:trHeight w:val="402" w:hRule="exact"/>
        </w:trPr>
        <w:tc>
          <w:tcPr>
            <w:tcW w:w="30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651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10" w:right="0"/>
              <w:jc w:val="left"/>
              <w:rPr>
                <w:rFonts w:ascii="宋体" w:hAnsi="宋体" w:cs="宋体" w:eastAsia="宋体" w:hint="default"/>
                <w:sz w:val="18"/>
                <w:szCs w:val="18"/>
              </w:rPr>
            </w:pPr>
            <w:r>
              <w:rPr>
                <w:rFonts w:ascii="宋体" w:hAnsi="宋体" w:cs="宋体" w:eastAsia="宋体" w:hint="default"/>
                <w:sz w:val="18"/>
                <w:szCs w:val="18"/>
              </w:rPr>
              <w:t>无重大变化。</w:t>
            </w:r>
          </w:p>
        </w:tc>
      </w:tr>
      <w:tr>
        <w:trPr>
          <w:trHeight w:val="402" w:hRule="exact"/>
        </w:trPr>
        <w:tc>
          <w:tcPr>
            <w:tcW w:w="30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651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10" w:right="0"/>
              <w:jc w:val="left"/>
              <w:rPr>
                <w:rFonts w:ascii="宋体" w:hAnsi="宋体" w:cs="宋体" w:eastAsia="宋体" w:hint="default"/>
                <w:sz w:val="18"/>
                <w:szCs w:val="18"/>
              </w:rPr>
            </w:pPr>
            <w:r>
              <w:rPr>
                <w:rFonts w:ascii="宋体" w:hAnsi="宋体" w:cs="宋体" w:eastAsia="宋体" w:hint="default"/>
                <w:sz w:val="18"/>
                <w:szCs w:val="18"/>
              </w:rPr>
              <w:t>无重大变化。</w:t>
            </w:r>
          </w:p>
        </w:tc>
      </w:tr>
      <w:tr>
        <w:trPr>
          <w:trHeight w:val="402" w:hRule="exact"/>
        </w:trPr>
        <w:tc>
          <w:tcPr>
            <w:tcW w:w="30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651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10" w:right="0"/>
              <w:jc w:val="left"/>
              <w:rPr>
                <w:rFonts w:ascii="宋体" w:hAnsi="宋体" w:cs="宋体" w:eastAsia="宋体" w:hint="default"/>
                <w:sz w:val="18"/>
                <w:szCs w:val="18"/>
              </w:rPr>
            </w:pPr>
            <w:r>
              <w:rPr>
                <w:rFonts w:ascii="宋体" w:hAnsi="宋体" w:cs="宋体" w:eastAsia="宋体" w:hint="default"/>
                <w:sz w:val="18"/>
                <w:szCs w:val="18"/>
              </w:rPr>
              <w:t>主要系宽带载波通信芯片模具开发。</w:t>
            </w:r>
          </w:p>
        </w:tc>
      </w:tr>
      <w:tr>
        <w:trPr>
          <w:trHeight w:val="714" w:hRule="exact"/>
        </w:trPr>
        <w:tc>
          <w:tcPr>
            <w:tcW w:w="3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6517"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1"/>
              <w:ind w:left="22" w:right="22"/>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A</w:t>
            </w:r>
            <w:r>
              <w:rPr>
                <w:rFonts w:ascii="宋体" w:hAnsi="宋体" w:cs="宋体" w:eastAsia="宋体" w:hint="default"/>
                <w:spacing w:val="-3"/>
                <w:sz w:val="18"/>
                <w:szCs w:val="18"/>
              </w:rPr>
              <w:t>、本报告期限制性股票的回购注销，支付员工的限制性股票回购款；</w:t>
            </w:r>
            <w:r>
              <w:rPr>
                <w:rFonts w:ascii="Times New Roman" w:hAnsi="Times New Roman" w:cs="Times New Roman" w:eastAsia="Times New Roman" w:hint="default"/>
                <w:spacing w:val="-3"/>
                <w:sz w:val="18"/>
                <w:szCs w:val="18"/>
              </w:rPr>
              <w:t>B</w:t>
            </w:r>
            <w:r>
              <w:rPr>
                <w:rFonts w:ascii="宋体" w:hAnsi="宋体" w:cs="宋体" w:eastAsia="宋体" w:hint="default"/>
                <w:spacing w:val="-3"/>
                <w:sz w:val="18"/>
                <w:szCs w:val="18"/>
              </w:rPr>
              <w:t>、公司期末</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未到期理财金额较期初增加；</w:t>
            </w:r>
            <w:r>
              <w:rPr>
                <w:rFonts w:ascii="Times New Roman" w:hAnsi="Times New Roman" w:cs="Times New Roman" w:eastAsia="Times New Roman" w:hint="default"/>
                <w:sz w:val="18"/>
                <w:szCs w:val="18"/>
              </w:rPr>
              <w:t>C</w:t>
            </w:r>
            <w:r>
              <w:rPr>
                <w:rFonts w:ascii="宋体" w:hAnsi="宋体" w:cs="宋体" w:eastAsia="宋体" w:hint="default"/>
                <w:sz w:val="18"/>
                <w:szCs w:val="18"/>
              </w:rPr>
              <w:t>、经营性现金净流量较上期减少。</w:t>
            </w:r>
          </w:p>
        </w:tc>
      </w:tr>
      <w:tr>
        <w:trPr>
          <w:trHeight w:val="402" w:hRule="exact"/>
        </w:trPr>
        <w:tc>
          <w:tcPr>
            <w:tcW w:w="3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6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主要系随收入增加而增长。</w:t>
            </w:r>
          </w:p>
        </w:tc>
      </w:tr>
      <w:tr>
        <w:trPr>
          <w:trHeight w:val="402" w:hRule="exact"/>
        </w:trPr>
        <w:tc>
          <w:tcPr>
            <w:tcW w:w="3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6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系报告期内母公司现金管理增加所致。</w:t>
            </w:r>
          </w:p>
        </w:tc>
      </w:tr>
      <w:tr>
        <w:trPr>
          <w:trHeight w:val="402" w:hRule="exact"/>
        </w:trPr>
        <w:tc>
          <w:tcPr>
            <w:tcW w:w="3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6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主要系待摊销的职业教育培训中心装修费摊销入费用所致。</w:t>
            </w:r>
          </w:p>
        </w:tc>
      </w:tr>
      <w:tr>
        <w:trPr>
          <w:trHeight w:val="402" w:hRule="exact"/>
        </w:trPr>
        <w:tc>
          <w:tcPr>
            <w:tcW w:w="3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6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系报告期内母公司及子公司北京迪科的资本化项目投入金额。</w:t>
            </w:r>
          </w:p>
        </w:tc>
      </w:tr>
    </w:tbl>
    <w:p>
      <w:pPr>
        <w:spacing w:line="240" w:lineRule="auto" w:before="2"/>
        <w:rPr>
          <w:rFonts w:ascii="宋体" w:hAnsi="宋体" w:cs="宋体" w:eastAsia="宋体" w:hint="default"/>
          <w:b/>
          <w:bCs/>
          <w:sz w:val="19"/>
          <w:szCs w:val="19"/>
        </w:rPr>
      </w:pPr>
    </w:p>
    <w:p>
      <w:pPr>
        <w:pStyle w:val="Heading4"/>
        <w:spacing w:line="240" w:lineRule="auto" w:before="35"/>
        <w:ind w:right="1117"/>
        <w:jc w:val="left"/>
        <w:rPr>
          <w:b w:val="0"/>
          <w:bCs w:val="0"/>
        </w:rPr>
      </w:pPr>
      <w:bookmarkStart w:name="2、主要境外资产情况" w:id="19"/>
      <w:bookmarkEnd w:id="19"/>
      <w:r>
        <w:rPr>
          <w:b w:val="0"/>
          <w:bCs w:val="0"/>
        </w:rPr>
      </w:r>
      <w:r>
        <w:rPr>
          <w:rFonts w:ascii="Times New Roman" w:hAnsi="Times New Roman" w:cs="Times New Roman" w:eastAsia="Times New Roman" w:hint="default"/>
        </w:rPr>
        <w:t>2</w:t>
      </w:r>
      <w:r>
        <w:rPr/>
        <w:t>、主要境外资产情况</w:t>
      </w:r>
      <w:r>
        <w:rPr>
          <w:b w:val="0"/>
          <w:bCs w:val="0"/>
        </w:rPr>
      </w:r>
    </w:p>
    <w:p>
      <w:pPr>
        <w:spacing w:line="240" w:lineRule="auto" w:before="8"/>
        <w:rPr>
          <w:rFonts w:ascii="宋体" w:hAnsi="宋体" w:cs="宋体" w:eastAsia="宋体" w:hint="default"/>
          <w:b/>
          <w:bCs/>
          <w:sz w:val="26"/>
          <w:szCs w:val="26"/>
        </w:rPr>
      </w:pPr>
    </w:p>
    <w:p>
      <w:pPr>
        <w:spacing w:before="0"/>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after="0"/>
        <w:jc w:val="left"/>
        <w:rPr>
          <w:rFonts w:ascii="宋体" w:hAnsi="宋体" w:cs="宋体" w:eastAsia="宋体" w:hint="default"/>
          <w:sz w:val="18"/>
          <w:szCs w:val="18"/>
        </w:rPr>
        <w:sectPr>
          <w:pgSz w:w="11910" w:h="16840"/>
          <w:pgMar w:header="747" w:footer="979" w:top="1060" w:bottom="1160" w:left="980" w:right="0"/>
        </w:sectPr>
      </w:pPr>
    </w:p>
    <w:p>
      <w:pPr>
        <w:spacing w:line="240" w:lineRule="auto" w:before="8"/>
        <w:rPr>
          <w:rFonts w:ascii="宋体" w:hAnsi="宋体" w:cs="宋体" w:eastAsia="宋体" w:hint="default"/>
          <w:sz w:val="23"/>
          <w:szCs w:val="23"/>
        </w:rPr>
      </w:pPr>
    </w:p>
    <w:p>
      <w:pPr>
        <w:pStyle w:val="Heading2"/>
        <w:spacing w:line="240" w:lineRule="auto" w:before="26"/>
        <w:ind w:right="1117"/>
        <w:jc w:val="left"/>
        <w:rPr>
          <w:b w:val="0"/>
          <w:bCs w:val="0"/>
        </w:rPr>
      </w:pPr>
      <w:bookmarkStart w:name="三、核心竞争力分析" w:id="20"/>
      <w:bookmarkEnd w:id="20"/>
      <w:r>
        <w:rPr>
          <w:b w:val="0"/>
          <w:bCs w:val="0"/>
        </w:rPr>
      </w:r>
      <w:r>
        <w:rPr/>
        <w:t>三、核心竞争力分析</w:t>
      </w:r>
      <w:r>
        <w:rPr>
          <w:b w:val="0"/>
          <w:bCs w:val="0"/>
        </w:rPr>
      </w:r>
    </w:p>
    <w:p>
      <w:pPr>
        <w:spacing w:line="240" w:lineRule="auto" w:before="9"/>
        <w:rPr>
          <w:rFonts w:ascii="宋体" w:hAnsi="宋体" w:cs="宋体" w:eastAsia="宋体" w:hint="default"/>
          <w:b/>
          <w:bCs/>
          <w:sz w:val="26"/>
          <w:szCs w:val="26"/>
        </w:rPr>
      </w:pPr>
    </w:p>
    <w:p>
      <w:pPr>
        <w:spacing w:line="357" w:lineRule="auto" w:before="0"/>
        <w:ind w:left="154" w:right="7692" w:firstLine="0"/>
        <w:jc w:val="left"/>
        <w:rPr>
          <w:rFonts w:ascii="宋体" w:hAnsi="宋体" w:cs="宋体" w:eastAsia="宋体" w:hint="default"/>
          <w:sz w:val="18"/>
          <w:szCs w:val="18"/>
        </w:rPr>
      </w:pPr>
      <w:r>
        <w:rPr>
          <w:rFonts w:ascii="宋体" w:hAnsi="宋体" w:cs="宋体" w:eastAsia="宋体" w:hint="default"/>
          <w:sz w:val="18"/>
          <w:szCs w:val="18"/>
        </w:rPr>
        <w:t>公司是否需要遵守特殊行业的披露要求 否</w:t>
      </w:r>
    </w:p>
    <w:p>
      <w:pPr>
        <w:pStyle w:val="BodyText"/>
        <w:spacing w:line="352" w:lineRule="auto" w:before="4"/>
        <w:ind w:left="650" w:right="1117"/>
        <w:jc w:val="left"/>
      </w:pPr>
      <w:r>
        <w:rPr>
          <w:rFonts w:ascii="Times New Roman" w:hAnsi="Times New Roman" w:cs="Times New Roman" w:eastAsia="Times New Roman" w:hint="default"/>
        </w:rPr>
        <w:t>1</w:t>
      </w:r>
      <w:r>
        <w:rPr/>
        <w:t>、优质客户多、需求黏性大 </w:t>
      </w:r>
      <w:r>
        <w:rPr>
          <w:spacing w:val="-3"/>
        </w:rPr>
        <w:t>经过多年经营，公司凭借完善的整体解决方案和优质的客户服务，在行业内树立了良好的口碑，客户</w:t>
      </w:r>
    </w:p>
    <w:p>
      <w:pPr>
        <w:pStyle w:val="BodyText"/>
        <w:spacing w:line="400" w:lineRule="auto" w:before="94"/>
        <w:ind w:right="1131"/>
        <w:jc w:val="both"/>
      </w:pPr>
      <w:r>
        <w:rPr>
          <w:spacing w:val="-1"/>
        </w:rPr>
        <w:t>范围遍及校园、企事业、城市等领域。截至报告期末，公司校园信息化产品覆盖高校总数达千余所，市场</w:t>
      </w:r>
      <w:r>
        <w:rPr>
          <w:spacing w:val="-83"/>
        </w:rPr>
        <w:t> </w:t>
      </w:r>
      <w:r>
        <w:rPr>
          <w:spacing w:val="-83"/>
        </w:rPr>
      </w:r>
      <w:r>
        <w:rPr/>
        <w:t>占有率逾</w:t>
      </w:r>
      <w:r>
        <w:rPr>
          <w:spacing w:val="-52"/>
        </w:rPr>
        <w:t> </w:t>
      </w:r>
      <w:r>
        <w:rPr>
          <w:rFonts w:ascii="Times New Roman" w:hAnsi="Times New Roman" w:cs="Times New Roman" w:eastAsia="Times New Roman" w:hint="default"/>
          <w:spacing w:val="-1"/>
        </w:rPr>
        <w:t>40%</w:t>
      </w:r>
      <w:r>
        <w:rPr>
          <w:spacing w:val="-1"/>
        </w:rPr>
        <w:t>，进一步夯实校园信息化龙头地位。线下业务多年的经营积累为公司进军移动互联网提供了</w:t>
      </w:r>
      <w:r>
        <w:rPr/>
        <w:t> </w:t>
      </w:r>
      <w:r>
        <w:rPr>
          <w:spacing w:val="-1"/>
        </w:rPr>
        <w:t>良好的保障，便于公司快速将线下资源向线上转移。公司以传统一卡通为切入点，通过推出智慧校园应用</w:t>
      </w:r>
      <w:r>
        <w:rPr>
          <w:spacing w:val="-83"/>
        </w:rPr>
        <w:t> </w:t>
      </w:r>
      <w:r>
        <w:rPr>
          <w:spacing w:val="-83"/>
        </w:rPr>
      </w:r>
      <w:r>
        <w:rPr>
          <w:spacing w:val="-1"/>
        </w:rPr>
        <w:t>解决方案、智慧校园云平台解决方案持续占领高校市场不断扩大线下用户群体规模，同时公司面向高校自</w:t>
      </w:r>
      <w:r>
        <w:rPr>
          <w:spacing w:val="-81"/>
        </w:rPr>
        <w:t> </w:t>
      </w:r>
      <w:r>
        <w:rPr>
          <w:spacing w:val="-81"/>
        </w:rPr>
      </w:r>
      <w:r>
        <w:rPr/>
        <w:t>主运营的移动互联网产品“完美校园”</w:t>
      </w:r>
      <w:r>
        <w:rPr>
          <w:rFonts w:ascii="Times New Roman" w:hAnsi="Times New Roman" w:cs="Times New Roman" w:eastAsia="Times New Roman" w:hint="default"/>
        </w:rPr>
        <w:t>App</w:t>
      </w:r>
      <w:r>
        <w:rPr/>
        <w:t>，已进军移动互联网领域。不仅包含校园一卡通、移动支付、 </w:t>
      </w:r>
      <w:r>
        <w:rPr>
          <w:spacing w:val="-1"/>
        </w:rPr>
        <w:t>学习、生活等服务，还加入了人才成长服务体系，致力于全面提升学生综合能力素质，解决学校和学生的</w:t>
      </w:r>
      <w:r>
        <w:rPr>
          <w:spacing w:val="-86"/>
        </w:rPr>
        <w:t> </w:t>
      </w:r>
      <w:r>
        <w:rPr>
          <w:spacing w:val="-86"/>
        </w:rPr>
      </w:r>
      <w:r>
        <w:rPr/>
        <w:t>就业问题。</w:t>
      </w:r>
    </w:p>
    <w:p>
      <w:pPr>
        <w:pStyle w:val="BodyText"/>
        <w:spacing w:line="400" w:lineRule="auto" w:before="91"/>
        <w:ind w:right="1131" w:firstLine="496"/>
        <w:jc w:val="both"/>
      </w:pPr>
      <w:r>
        <w:rPr>
          <w:spacing w:val="-3"/>
        </w:rPr>
        <w:t>此外，由于智慧校园应用解决方案、智慧校园云平台解决方案全面服务校园信息化各个领域，相比传</w:t>
      </w:r>
      <w:r>
        <w:rPr/>
        <w:t> </w:t>
      </w:r>
      <w:r>
        <w:rPr>
          <w:spacing w:val="-1"/>
        </w:rPr>
        <w:t>统一卡通系统更具有延续性，公司提供的解决方案以多功能系统为主，因此原有客户的后续需求黏性比较</w:t>
      </w:r>
      <w:r>
        <w:rPr>
          <w:spacing w:val="-81"/>
        </w:rPr>
        <w:t> </w:t>
      </w:r>
      <w:r>
        <w:rPr>
          <w:spacing w:val="-81"/>
        </w:rPr>
      </w:r>
      <w:r>
        <w:rPr/>
        <w:t>大。</w:t>
      </w:r>
      <w:r>
        <w:rPr>
          <w:rFonts w:ascii="Times New Roman" w:hAnsi="Times New Roman" w:cs="Times New Roman" w:eastAsia="Times New Roman" w:hint="default"/>
        </w:rPr>
        <w:t>50%</w:t>
      </w:r>
      <w:r>
        <w:rPr/>
        <w:t>以上的客户购买安装了公司的整体解决方案后，未来仍会选择公司的其他功能系统或后续产品升 级持续运维服务。</w:t>
      </w:r>
    </w:p>
    <w:p>
      <w:pPr>
        <w:pStyle w:val="BodyText"/>
        <w:spacing w:line="386" w:lineRule="auto" w:before="92"/>
        <w:ind w:left="650" w:right="0"/>
        <w:jc w:val="left"/>
      </w:pPr>
      <w:r>
        <w:rPr>
          <w:rFonts w:ascii="Times New Roman" w:hAnsi="Times New Roman" w:cs="Times New Roman" w:eastAsia="Times New Roman" w:hint="default"/>
        </w:rPr>
        <w:t>2</w:t>
      </w:r>
      <w:r>
        <w:rPr/>
        <w:t>、符合个性化需求的一站式整体解决方案 </w:t>
      </w:r>
      <w:r>
        <w:rPr>
          <w:spacing w:val="-3"/>
        </w:rPr>
        <w:t>公司拥有自主研发的全系列智能化硬件终端产品线、多功能应用子系统以及强大集成能力的系统平台，</w:t>
      </w:r>
    </w:p>
    <w:p>
      <w:pPr>
        <w:pStyle w:val="BodyText"/>
        <w:spacing w:line="393" w:lineRule="auto" w:before="65"/>
        <w:ind w:right="0"/>
        <w:jc w:val="left"/>
      </w:pPr>
      <w:r>
        <w:rPr/>
        <w:t>截止目前，公司拥有校园核心服务平台、支付服务平台、物联网平台、人脸认证服务平台、大数据平台、</w:t>
      </w:r>
      <w:r>
        <w:rPr>
          <w:spacing w:val="-38"/>
        </w:rPr>
        <w:t> </w:t>
      </w:r>
      <w:r>
        <w:rPr>
          <w:spacing w:val="-38"/>
        </w:rPr>
      </w:r>
      <w:r>
        <w:rPr/>
        <w:t>数字化校园平台、大数据平台、能源管控管理平台、金融</w:t>
      </w:r>
      <w:r>
        <w:rPr>
          <w:rFonts w:ascii="Times New Roman" w:hAnsi="Times New Roman" w:cs="Times New Roman" w:eastAsia="Times New Roman" w:hint="default"/>
        </w:rPr>
        <w:t>IC</w:t>
      </w:r>
      <w:r>
        <w:rPr/>
        <w:t>卡行业应用平台等平台系统、</w:t>
      </w:r>
      <w:r>
        <w:rPr>
          <w:rFonts w:ascii="Times New Roman" w:hAnsi="Times New Roman" w:cs="Times New Roman" w:eastAsia="Times New Roman" w:hint="default"/>
        </w:rPr>
        <w:t>50</w:t>
      </w:r>
      <w:r>
        <w:rPr/>
        <w:t>余个应用功能 子系统以及</w:t>
      </w:r>
      <w:r>
        <w:rPr>
          <w:rFonts w:ascii="Times New Roman" w:hAnsi="Times New Roman" w:cs="Times New Roman" w:eastAsia="Times New Roman" w:hint="default"/>
        </w:rPr>
        <w:t>300</w:t>
      </w:r>
      <w:r>
        <w:rPr/>
        <w:t>多种不同型号规格的智能终端系列产品，能够为客户提供符合个性化需求、多功能实现、 一站式服务的整体解决方案。</w:t>
      </w:r>
    </w:p>
    <w:p>
      <w:pPr>
        <w:pStyle w:val="BodyText"/>
        <w:spacing w:line="408" w:lineRule="auto" w:before="58"/>
        <w:ind w:right="1023" w:firstLine="496"/>
        <w:jc w:val="left"/>
      </w:pPr>
      <w:r>
        <w:rPr>
          <w:spacing w:val="-3"/>
        </w:rPr>
        <w:t>总体来看，国内智能一卡通行业内的企业在研发实力、技术素质、业务规模、涉及领域等多方面的差</w:t>
      </w:r>
      <w:r>
        <w:rPr/>
        <w:t> 别较大，行业内以提供单一功能系统解决方案的企业居多，且多集中在餐饮收费、门禁、考勤系统等传统 功能板块，其因市场竞争激烈，利润空间小。而新开普是行业内少数能够为客户提供全面、整体化、一揽 子解决方案的代表性企业之一，公司通过更全面的产品线、更高的研发平台、更丰富的业务功能、更强的 </w:t>
      </w:r>
      <w:r>
        <w:rPr>
          <w:spacing w:val="-3"/>
        </w:rPr>
        <w:t>集成能力，在满足客户个性化需求的前提下，为客户提供多功能实现的整体解决方案和一站式的客户服务，</w:t>
      </w:r>
      <w:r>
        <w:rPr>
          <w:spacing w:val="-92"/>
        </w:rPr>
        <w:t> </w:t>
      </w:r>
      <w:r>
        <w:rPr>
          <w:spacing w:val="-92"/>
        </w:rPr>
      </w:r>
      <w:r>
        <w:rPr/>
        <w:t>以增加公司产品和服务的经济附加值、不断增强客户黏性、扩大品牌影响度，进而提升自身的盈利能力和</w:t>
      </w:r>
      <w:r>
        <w:rPr/>
        <w:t> 利润空间。</w:t>
      </w:r>
    </w:p>
    <w:p>
      <w:pPr>
        <w:pStyle w:val="BodyText"/>
        <w:spacing w:line="240" w:lineRule="auto"/>
        <w:ind w:left="650" w:right="1117"/>
        <w:jc w:val="left"/>
      </w:pPr>
      <w:r>
        <w:rPr>
          <w:rFonts w:ascii="Times New Roman" w:hAnsi="Times New Roman" w:cs="Times New Roman" w:eastAsia="Times New Roman" w:hint="default"/>
        </w:rPr>
        <w:t>3</w:t>
      </w:r>
      <w:r>
        <w:rPr/>
        <w:t>、自主研发和技术创新能力强</w:t>
      </w:r>
    </w:p>
    <w:p>
      <w:pPr>
        <w:spacing w:after="0" w:line="240" w:lineRule="auto"/>
        <w:jc w:val="left"/>
        <w:sectPr>
          <w:pgSz w:w="11910" w:h="16840"/>
          <w:pgMar w:header="747" w:footer="979" w:top="1060" w:bottom="1160" w:left="980" w:right="0"/>
        </w:sectPr>
      </w:pPr>
    </w:p>
    <w:p>
      <w:pPr>
        <w:spacing w:line="240" w:lineRule="auto" w:before="0"/>
        <w:rPr>
          <w:rFonts w:ascii="宋体" w:hAnsi="宋体" w:cs="宋体" w:eastAsia="宋体" w:hint="default"/>
          <w:sz w:val="20"/>
          <w:szCs w:val="20"/>
        </w:rPr>
      </w:pPr>
    </w:p>
    <w:p>
      <w:pPr>
        <w:pStyle w:val="BodyText"/>
        <w:spacing w:line="408" w:lineRule="auto" w:before="174"/>
        <w:ind w:right="1130" w:firstLine="496"/>
        <w:jc w:val="both"/>
      </w:pPr>
      <w:r>
        <w:rPr>
          <w:spacing w:val="-3"/>
        </w:rPr>
        <w:t>公司是国家重点支持的高新技术企业，火炬计划重点高新技术企业，具有较强的自主研发和技术创新</w:t>
      </w:r>
      <w:r>
        <w:rPr/>
        <w:t> </w:t>
      </w:r>
      <w:r>
        <w:rPr>
          <w:spacing w:val="-5"/>
        </w:rPr>
        <w:t>能力。公司始终紧跟信息技术发展前沿，并将技术创新的着眼点立足于符合客户需求、符合公司资源现状、</w:t>
      </w:r>
      <w:r>
        <w:rPr>
          <w:spacing w:val="-101"/>
        </w:rPr>
        <w:t> </w:t>
      </w:r>
      <w:r>
        <w:rPr>
          <w:spacing w:val="-101"/>
        </w:rPr>
      </w:r>
      <w:r>
        <w:rPr>
          <w:spacing w:val="-1"/>
        </w:rPr>
        <w:t>符合行业特点的应用技术创新上，在努力提升产品性能、降低生产成本的同时，更加突出市场需求对产品</w:t>
      </w:r>
      <w:r>
        <w:rPr>
          <w:spacing w:val="-83"/>
        </w:rPr>
        <w:t> </w:t>
      </w:r>
      <w:r>
        <w:rPr>
          <w:spacing w:val="-83"/>
        </w:rPr>
      </w:r>
      <w:r>
        <w:rPr>
          <w:spacing w:val="-1"/>
        </w:rPr>
        <w:t>研发和服务的导向作用，强调集成创新和研发成果的转化及应用，持续开发出具备行业先进性、具有公司</w:t>
      </w:r>
      <w:r>
        <w:rPr>
          <w:spacing w:val="-83"/>
        </w:rPr>
        <w:t> </w:t>
      </w:r>
      <w:r>
        <w:rPr>
          <w:spacing w:val="-83"/>
        </w:rPr>
      </w:r>
      <w:r>
        <w:rPr/>
        <w:t>特色和富有市场竞争力的产品。</w:t>
      </w:r>
    </w:p>
    <w:p>
      <w:pPr>
        <w:pStyle w:val="BodyText"/>
        <w:spacing w:line="398" w:lineRule="auto"/>
        <w:ind w:right="1132" w:firstLine="496"/>
        <w:jc w:val="both"/>
      </w:pPr>
      <w:r>
        <w:rPr>
          <w:spacing w:val="-3"/>
        </w:rPr>
        <w:t>近年来公司不断引进研发和研发管理人才以提高技术创新能力。同时，核心技术带头人员的行业专业</w:t>
      </w:r>
      <w:r>
        <w:rPr/>
        <w:t> </w:t>
      </w:r>
      <w:r>
        <w:rPr>
          <w:spacing w:val="-1"/>
        </w:rPr>
        <w:t>经验平均超过</w:t>
      </w:r>
      <w:r>
        <w:rPr>
          <w:rFonts w:ascii="Times New Roman" w:hAnsi="Times New Roman" w:cs="Times New Roman" w:eastAsia="Times New Roman" w:hint="default"/>
          <w:spacing w:val="-1"/>
        </w:rPr>
        <w:t>10</w:t>
      </w:r>
      <w:r>
        <w:rPr>
          <w:spacing w:val="-1"/>
        </w:rPr>
        <w:t>年，稳定性高，长期从事研究与开发，在智能身份识别、校园信息化、互联网等业务领域</w:t>
      </w:r>
      <w:r>
        <w:rPr>
          <w:spacing w:val="-83"/>
        </w:rPr>
        <w:t> </w:t>
      </w:r>
      <w:r>
        <w:rPr>
          <w:spacing w:val="-83"/>
        </w:rPr>
      </w:r>
      <w:r>
        <w:rPr/>
        <w:t>具有非常突出的技术创新能力。</w:t>
      </w:r>
    </w:p>
    <w:p>
      <w:pPr>
        <w:pStyle w:val="BodyText"/>
        <w:spacing w:line="386" w:lineRule="auto" w:before="54"/>
        <w:ind w:left="650" w:right="1117"/>
        <w:jc w:val="left"/>
      </w:pPr>
      <w:r>
        <w:rPr>
          <w:rFonts w:ascii="Times New Roman" w:hAnsi="Times New Roman" w:cs="Times New Roman" w:eastAsia="Times New Roman" w:hint="default"/>
        </w:rPr>
        <w:t>4</w:t>
      </w:r>
      <w:r>
        <w:rPr/>
        <w:t>、贴近客户、高效响应的服务优势 </w:t>
      </w:r>
      <w:r>
        <w:rPr>
          <w:spacing w:val="-3"/>
        </w:rPr>
        <w:t>基于一直以来以需求为导向的经营理念，以及公司提供整体解决方案及定制服务的业务特色，公司能</w:t>
      </w:r>
    </w:p>
    <w:p>
      <w:pPr>
        <w:pStyle w:val="BodyText"/>
        <w:spacing w:line="400" w:lineRule="auto" w:before="65"/>
        <w:ind w:right="1131"/>
        <w:jc w:val="both"/>
      </w:pPr>
      <w:r>
        <w:rPr>
          <w:spacing w:val="-1"/>
        </w:rPr>
        <w:t>够深刻理解客户个性化需求，有针对性地推进前端营销工作，并及时提供技术支持和客户服务。目前，公</w:t>
      </w:r>
      <w:r>
        <w:rPr>
          <w:spacing w:val="-85"/>
        </w:rPr>
        <w:t> </w:t>
      </w:r>
      <w:r>
        <w:rPr>
          <w:spacing w:val="-85"/>
        </w:rPr>
      </w:r>
      <w:r>
        <w:rPr>
          <w:spacing w:val="-1"/>
        </w:rPr>
        <w:t>司已经在全国范围内设立</w:t>
      </w:r>
      <w:r>
        <w:rPr>
          <w:rFonts w:ascii="Times New Roman" w:hAnsi="Times New Roman" w:cs="Times New Roman" w:eastAsia="Times New Roman" w:hint="default"/>
          <w:spacing w:val="-1"/>
        </w:rPr>
        <w:t>28</w:t>
      </w:r>
      <w:r>
        <w:rPr>
          <w:spacing w:val="-1"/>
        </w:rPr>
        <w:t>家分支机构，建立了成熟的销售渠道和客户服务体系，以贴近客户的方式进行</w:t>
      </w:r>
      <w:r>
        <w:rPr>
          <w:spacing w:val="-82"/>
        </w:rPr>
        <w:t> </w:t>
      </w:r>
      <w:r>
        <w:rPr>
          <w:spacing w:val="-82"/>
        </w:rPr>
      </w:r>
      <w:r>
        <w:rPr>
          <w:spacing w:val="-1"/>
        </w:rPr>
        <w:t>一对一的营销和技术支持，能够第一手掌握客户的动态，发现新的个性化需求，成为公司创新的来源，同</w:t>
      </w:r>
      <w:r>
        <w:rPr>
          <w:spacing w:val="-85"/>
        </w:rPr>
        <w:t> </w:t>
      </w:r>
      <w:r>
        <w:rPr>
          <w:spacing w:val="-85"/>
        </w:rPr>
      </w:r>
      <w:r>
        <w:rPr/>
        <w:t>时给予客户最及时的技术反馈和维护。</w:t>
      </w:r>
    </w:p>
    <w:p>
      <w:pPr>
        <w:pStyle w:val="BodyText"/>
        <w:spacing w:line="408" w:lineRule="auto" w:before="52"/>
        <w:ind w:right="1131" w:firstLine="496"/>
        <w:jc w:val="both"/>
      </w:pPr>
      <w:r>
        <w:rPr>
          <w:spacing w:val="-7"/>
        </w:rPr>
        <w:t>结合公司业务的快速增长、产品应用领域的扩张以及技术升级带来的营销、客服需求，公司也拟扩建、</w:t>
      </w:r>
      <w:r>
        <w:rPr/>
        <w:t> </w:t>
      </w:r>
      <w:r>
        <w:rPr>
          <w:spacing w:val="-1"/>
        </w:rPr>
        <w:t>新建营销客服网络，为客户提供更优质、更快速、更贴身的技术支持与服务，同时将更多新产品、新技术</w:t>
      </w:r>
      <w:r>
        <w:rPr>
          <w:spacing w:val="-83"/>
        </w:rPr>
        <w:t> </w:t>
      </w:r>
      <w:r>
        <w:rPr>
          <w:spacing w:val="-83"/>
        </w:rPr>
      </w:r>
      <w:r>
        <w:rPr>
          <w:spacing w:val="-1"/>
        </w:rPr>
        <w:t>向更多客户推广，加快创新技术成果转化能力，使得产品和服务能第一时间满足客户日益增加的智慧化需</w:t>
      </w:r>
      <w:r>
        <w:rPr>
          <w:spacing w:val="-81"/>
        </w:rPr>
        <w:t> </w:t>
      </w:r>
      <w:r>
        <w:rPr>
          <w:spacing w:val="-81"/>
        </w:rPr>
      </w:r>
      <w:r>
        <w:rPr/>
        <w:t>求。</w:t>
      </w:r>
    </w:p>
    <w:p>
      <w:pPr>
        <w:pStyle w:val="BodyText"/>
        <w:spacing w:line="386" w:lineRule="auto"/>
        <w:ind w:left="650" w:right="1016"/>
        <w:jc w:val="left"/>
      </w:pPr>
      <w:r>
        <w:rPr>
          <w:rFonts w:ascii="Times New Roman" w:hAnsi="Times New Roman" w:cs="Times New Roman" w:eastAsia="Times New Roman" w:hint="default"/>
        </w:rPr>
        <w:t>5</w:t>
      </w:r>
      <w:r>
        <w:rPr/>
        <w:t>、并购整合优势 相对于行业内其他竞争对手，公司融资渠道众多、融资能力强、资本运作手段灵活的优势较为明显，</w:t>
      </w:r>
    </w:p>
    <w:p>
      <w:pPr>
        <w:pStyle w:val="BodyText"/>
        <w:spacing w:line="400" w:lineRule="auto" w:before="65"/>
        <w:ind w:right="1131"/>
        <w:jc w:val="both"/>
      </w:pPr>
      <w:r>
        <w:rPr>
          <w:spacing w:val="-1"/>
        </w:rPr>
        <w:t>便于公司借助资本市场的力量迅速拓展市场，推动主营业务发展，不断强化竞争优势。</w:t>
      </w:r>
      <w:r>
        <w:rPr>
          <w:rFonts w:ascii="Times New Roman" w:hAnsi="Times New Roman" w:cs="Times New Roman" w:eastAsia="Times New Roman" w:hint="default"/>
          <w:spacing w:val="-1"/>
        </w:rPr>
        <w:t>2015</w:t>
      </w:r>
      <w:r>
        <w:rPr>
          <w:spacing w:val="-1"/>
        </w:rPr>
        <w:t>年，公司先后</w:t>
      </w:r>
      <w:r>
        <w:rPr>
          <w:spacing w:val="-83"/>
        </w:rPr>
        <w:t> </w:t>
      </w:r>
      <w:r>
        <w:rPr>
          <w:spacing w:val="-83"/>
        </w:rPr>
      </w:r>
      <w:r>
        <w:rPr>
          <w:spacing w:val="-1"/>
        </w:rPr>
        <w:t>完成了对北京迪科远望科技有限公司和上海树维信息科技有限公司的收购工作，收购完成后公司在校园一</w:t>
      </w:r>
      <w:r>
        <w:rPr>
          <w:spacing w:val="-81"/>
        </w:rPr>
        <w:t> </w:t>
      </w:r>
      <w:r>
        <w:rPr>
          <w:spacing w:val="-81"/>
        </w:rPr>
      </w:r>
      <w:r>
        <w:rPr/>
        <w:t>卡通领域的市场份额大幅提高，高校客户尤其是</w:t>
      </w:r>
      <w:r>
        <w:rPr>
          <w:rFonts w:ascii="Times New Roman" w:hAnsi="Times New Roman" w:cs="Times New Roman" w:eastAsia="Times New Roman" w:hint="default"/>
        </w:rPr>
        <w:t>“985</w:t>
      </w:r>
      <w:r>
        <w:rPr/>
        <w:t>工程</w:t>
      </w:r>
      <w:r>
        <w:rPr>
          <w:rFonts w:ascii="Times New Roman" w:hAnsi="Times New Roman" w:cs="Times New Roman" w:eastAsia="Times New Roman" w:hint="default"/>
        </w:rPr>
        <w:t>”</w:t>
      </w:r>
      <w:r>
        <w:rPr/>
        <w:t>院校、</w:t>
      </w:r>
      <w:r>
        <w:rPr>
          <w:rFonts w:ascii="Times New Roman" w:hAnsi="Times New Roman" w:cs="Times New Roman" w:eastAsia="Times New Roman" w:hint="default"/>
        </w:rPr>
        <w:t>“211</w:t>
      </w:r>
      <w:r>
        <w:rPr/>
        <w:t>工程</w:t>
      </w:r>
      <w:r>
        <w:rPr>
          <w:rFonts w:ascii="Times New Roman" w:hAnsi="Times New Roman" w:cs="Times New Roman" w:eastAsia="Times New Roman" w:hint="default"/>
        </w:rPr>
        <w:t>”</w:t>
      </w:r>
      <w:r>
        <w:rPr/>
        <w:t>院校等知名高校客户的数量大 </w:t>
      </w:r>
      <w:r>
        <w:rPr>
          <w:spacing w:val="-1"/>
        </w:rPr>
        <w:t>幅增加，进一步夯实了公司校园移动互联网业务的高校客户资源基础。同时，提升了公司的业务规模和盈</w:t>
      </w:r>
      <w:r>
        <w:rPr>
          <w:spacing w:val="-83"/>
        </w:rPr>
        <w:t> </w:t>
      </w:r>
      <w:r>
        <w:rPr>
          <w:spacing w:val="-83"/>
        </w:rPr>
      </w:r>
      <w:r>
        <w:rPr>
          <w:spacing w:val="-5"/>
        </w:rPr>
        <w:t>利水平，充分发挥并购双方在采购、生产、技术与研发、营销服务、产品与业务内容等多方面的整合效应，</w:t>
      </w:r>
      <w:r>
        <w:rPr/>
        <w:t> 提高公司的核心竞争力和持续盈利能力。</w:t>
      </w:r>
    </w:p>
    <w:p>
      <w:pPr>
        <w:spacing w:after="0" w:line="400" w:lineRule="auto"/>
        <w:jc w:val="both"/>
        <w:sectPr>
          <w:pgSz w:w="11910" w:h="16840"/>
          <w:pgMar w:header="747" w:footer="979" w:top="106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3"/>
          <w:szCs w:val="23"/>
        </w:rPr>
      </w:pPr>
    </w:p>
    <w:p>
      <w:pPr>
        <w:pStyle w:val="Heading1"/>
        <w:spacing w:line="240" w:lineRule="auto"/>
        <w:ind w:left="2966" w:right="1117"/>
        <w:jc w:val="left"/>
        <w:rPr>
          <w:b w:val="0"/>
          <w:bCs w:val="0"/>
        </w:rPr>
      </w:pPr>
      <w:bookmarkStart w:name="第四节 经营情况讨论与分析" w:id="21"/>
      <w:bookmarkEnd w:id="21"/>
      <w:r>
        <w:rPr>
          <w:b w:val="0"/>
          <w:bCs w:val="0"/>
        </w:rPr>
      </w:r>
      <w:bookmarkStart w:name="_bookmark2" w:id="22"/>
      <w:bookmarkEnd w:id="22"/>
      <w:r>
        <w:rPr>
          <w:b w:val="0"/>
          <w:bCs w:val="0"/>
        </w:rPr>
      </w:r>
      <w:r>
        <w:rPr/>
        <w:t>第四节</w:t>
      </w:r>
      <w:r>
        <w:rPr>
          <w:spacing w:val="-10"/>
        </w:rPr>
        <w:t> </w:t>
      </w:r>
      <w:r>
        <w:rPr/>
        <w:t>经营情况讨论与分析</w:t>
      </w:r>
      <w:r>
        <w:rPr>
          <w:b w:val="0"/>
          <w:bCs w:val="0"/>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6"/>
          <w:szCs w:val="16"/>
        </w:rPr>
      </w:pPr>
    </w:p>
    <w:p>
      <w:pPr>
        <w:pStyle w:val="Heading2"/>
        <w:spacing w:line="240" w:lineRule="auto" w:before="26"/>
        <w:ind w:right="0"/>
        <w:jc w:val="both"/>
        <w:rPr>
          <w:b w:val="0"/>
          <w:bCs w:val="0"/>
        </w:rPr>
      </w:pPr>
      <w:bookmarkStart w:name="一、概述" w:id="23"/>
      <w:bookmarkEnd w:id="23"/>
      <w:r>
        <w:rPr>
          <w:b w:val="0"/>
          <w:bCs w:val="0"/>
        </w:rPr>
      </w:r>
      <w:r>
        <w:rPr/>
        <w:t>一、概述</w:t>
      </w:r>
      <w:r>
        <w:rPr>
          <w:b w:val="0"/>
          <w:bCs w:val="0"/>
        </w:rPr>
      </w:r>
    </w:p>
    <w:p>
      <w:pPr>
        <w:spacing w:line="240" w:lineRule="auto" w:before="8"/>
        <w:rPr>
          <w:rFonts w:ascii="宋体" w:hAnsi="宋体" w:cs="宋体" w:eastAsia="宋体" w:hint="default"/>
          <w:b/>
          <w:bCs/>
          <w:sz w:val="30"/>
          <w:szCs w:val="30"/>
        </w:rPr>
      </w:pPr>
    </w:p>
    <w:p>
      <w:pPr>
        <w:spacing w:line="408" w:lineRule="auto" w:before="0"/>
        <w:ind w:left="577" w:right="1117" w:firstLine="2"/>
        <w:jc w:val="left"/>
        <w:rPr>
          <w:rFonts w:ascii="宋体" w:hAnsi="宋体" w:cs="宋体" w:eastAsia="宋体" w:hint="default"/>
          <w:sz w:val="21"/>
          <w:szCs w:val="21"/>
        </w:rPr>
      </w:pPr>
      <w:r>
        <w:rPr>
          <w:rFonts w:ascii="宋体" w:hAnsi="宋体" w:cs="宋体" w:eastAsia="宋体" w:hint="default"/>
          <w:b/>
          <w:bCs/>
          <w:sz w:val="21"/>
          <w:szCs w:val="21"/>
        </w:rPr>
        <w:t>（一）深耕落实智慧校园、教育信息化布局</w:t>
      </w:r>
      <w:r>
        <w:rPr>
          <w:rFonts w:ascii="宋体" w:hAnsi="宋体" w:cs="宋体" w:eastAsia="宋体" w:hint="default"/>
          <w:b/>
          <w:bCs/>
          <w:w w:val="99"/>
          <w:sz w:val="21"/>
          <w:szCs w:val="21"/>
        </w:rPr>
        <w:t> </w:t>
      </w:r>
      <w:r>
        <w:rPr>
          <w:rFonts w:ascii="宋体" w:hAnsi="宋体" w:cs="宋体" w:eastAsia="宋体" w:hint="default"/>
          <w:spacing w:val="-1"/>
          <w:sz w:val="21"/>
          <w:szCs w:val="21"/>
        </w:rPr>
        <w:t>报告期内，公司不断进行产品功能叠加及技术迭代创新，并拓展针对高校及大学生群体的移动互联网</w:t>
      </w:r>
    </w:p>
    <w:p>
      <w:pPr>
        <w:pStyle w:val="BodyText"/>
        <w:spacing w:line="408" w:lineRule="auto"/>
        <w:ind w:right="1131"/>
        <w:jc w:val="both"/>
      </w:pPr>
      <w:r>
        <w:rPr>
          <w:spacing w:val="-1"/>
        </w:rPr>
        <w:t>服务，目前公司已经转型为集一校通、数字化校园平台与应用、教务管理系统、综合缴费云服务、多场景</w:t>
      </w:r>
      <w:r>
        <w:rPr>
          <w:spacing w:val="-83"/>
        </w:rPr>
        <w:t> </w:t>
      </w:r>
      <w:r>
        <w:rPr>
          <w:spacing w:val="-83"/>
        </w:rPr>
      </w:r>
      <w:r>
        <w:rPr>
          <w:spacing w:val="-1"/>
        </w:rPr>
        <w:t>物联网智能终端设计研发制造、教育科技、校企合作及专业共建、移动互联网服务等业务为一体的智慧校</w:t>
      </w:r>
      <w:r>
        <w:rPr>
          <w:spacing w:val="-83"/>
        </w:rPr>
        <w:t> </w:t>
      </w:r>
      <w:r>
        <w:rPr>
          <w:spacing w:val="-83"/>
        </w:rPr>
      </w:r>
      <w:r>
        <w:rPr/>
        <w:t>园综合平台解决方案服务商，全面覆校园管理信息化、教学信息化和学校内涵信息化建设。</w:t>
      </w:r>
    </w:p>
    <w:p>
      <w:pPr>
        <w:pStyle w:val="BodyText"/>
        <w:spacing w:line="391" w:lineRule="auto"/>
        <w:ind w:right="1014" w:firstLine="423"/>
        <w:jc w:val="left"/>
      </w:pPr>
      <w:r>
        <w:rPr>
          <w:spacing w:val="-3"/>
        </w:rPr>
        <w:t>报告期内，公司持续提升智慧校园产品和服务能力，加大各业务板块及与各子公司间的业务深度融合，</w:t>
      </w:r>
      <w:r>
        <w:rPr/>
        <w:t> 在产业互联网、消费互联网能力建设、</w:t>
      </w:r>
      <w:r>
        <w:rPr>
          <w:rFonts w:ascii="Times New Roman" w:hAnsi="Times New Roman" w:cs="Times New Roman" w:eastAsia="Times New Roman" w:hint="default"/>
        </w:rPr>
        <w:t>SaaS</w:t>
      </w:r>
      <w:r>
        <w:rPr/>
        <w:t>服务能力、运营能力方面取得较大突破。</w:t>
      </w:r>
      <w:r>
        <w:rPr>
          <w:rFonts w:ascii="Times New Roman" w:hAnsi="Times New Roman" w:cs="Times New Roman" w:eastAsia="Times New Roman" w:hint="default"/>
        </w:rPr>
        <w:t>2018</w:t>
      </w:r>
      <w:r>
        <w:rPr/>
        <w:t>年度公司实现营 业收入</w:t>
      </w:r>
      <w:r>
        <w:rPr>
          <w:rFonts w:ascii="Times New Roman" w:hAnsi="Times New Roman" w:cs="Times New Roman" w:eastAsia="Times New Roman" w:hint="default"/>
        </w:rPr>
        <w:t>83,762.76</w:t>
      </w:r>
      <w:r>
        <w:rPr/>
        <w:t>万元，比上年同期增长</w:t>
      </w:r>
      <w:r>
        <w:rPr>
          <w:rFonts w:ascii="Times New Roman" w:hAnsi="Times New Roman" w:cs="Times New Roman" w:eastAsia="Times New Roman" w:hint="default"/>
        </w:rPr>
        <w:t>8.84%</w:t>
      </w:r>
      <w:r>
        <w:rPr/>
        <w:t>。但由于在业务融合及产品创新的过程中，研发及市场投入 持续增加，费用增长较快，报告期内，公司实现营业利润</w:t>
      </w:r>
      <w:r>
        <w:rPr>
          <w:rFonts w:ascii="Times New Roman" w:hAnsi="Times New Roman" w:cs="Times New Roman" w:eastAsia="Times New Roman" w:hint="default"/>
        </w:rPr>
        <w:t>10,721.11</w:t>
      </w:r>
      <w:r>
        <w:rPr/>
        <w:t>万元，比上年同期下降</w:t>
      </w:r>
      <w:r>
        <w:rPr>
          <w:rFonts w:ascii="Times New Roman" w:hAnsi="Times New Roman" w:cs="Times New Roman" w:eastAsia="Times New Roman" w:hint="default"/>
        </w:rPr>
        <w:t>17.86%</w:t>
      </w:r>
      <w:r>
        <w:rPr/>
        <w:t>，实现归 属于上市公司股东的净利润</w:t>
      </w:r>
      <w:r>
        <w:rPr>
          <w:rFonts w:ascii="Times New Roman" w:hAnsi="Times New Roman" w:cs="Times New Roman" w:eastAsia="Times New Roman" w:hint="default"/>
        </w:rPr>
        <w:t>9,611.26</w:t>
      </w:r>
      <w:r>
        <w:rPr/>
        <w:t>万元，比上年同期下降</w:t>
      </w:r>
      <w:r>
        <w:rPr>
          <w:rFonts w:ascii="Times New Roman" w:hAnsi="Times New Roman" w:cs="Times New Roman" w:eastAsia="Times New Roman" w:hint="default"/>
        </w:rPr>
        <w:t>19.69%</w:t>
      </w:r>
      <w:r>
        <w:rPr/>
        <w:t>。</w:t>
      </w:r>
    </w:p>
    <w:p>
      <w:pPr>
        <w:pStyle w:val="BodyText"/>
        <w:spacing w:line="403" w:lineRule="auto" w:before="31"/>
        <w:ind w:right="0" w:firstLine="423"/>
        <w:jc w:val="left"/>
      </w:pPr>
      <w:r>
        <w:rPr/>
        <w:t>报告期内，公司通过行业解决方案和物联网智能终端的创新升级，提高多产品、校园多场景覆盖率； 通过新增客户提高市场占有率，并结合移动互联平台产品</w:t>
      </w:r>
      <w:r>
        <w:rPr>
          <w:rFonts w:ascii="Times New Roman" w:hAnsi="Times New Roman" w:cs="Times New Roman" w:eastAsia="Times New Roman" w:hint="default"/>
        </w:rPr>
        <w:t>“</w:t>
      </w:r>
      <w:r>
        <w:rPr/>
        <w:t>完美校园</w:t>
      </w:r>
      <w:r>
        <w:rPr>
          <w:rFonts w:ascii="Times New Roman" w:hAnsi="Times New Roman" w:cs="Times New Roman" w:eastAsia="Times New Roman" w:hint="default"/>
        </w:rPr>
        <w:t>”</w:t>
      </w:r>
      <w:r>
        <w:rPr/>
        <w:t>的服务运营，提升公司服务客户及用 户的深度和广度；通过打造完整的校园物联网平台及运维服务创新升级，大大提升和巩固客户黏性；通过 职业教育和产学研专业共建，深挖教育信息化深度，提升智慧教育应用水平。公司始终在进行“硬件</w:t>
      </w:r>
      <w:r>
        <w:rPr>
          <w:rFonts w:ascii="宋体" w:hAnsi="宋体" w:cs="宋体" w:eastAsia="宋体" w:hint="default"/>
        </w:rPr>
        <w:t>+</w:t>
      </w:r>
      <w:r>
        <w:rPr/>
        <w:t>软 件”、“产品</w:t>
      </w:r>
      <w:r>
        <w:rPr>
          <w:rFonts w:ascii="宋体" w:hAnsi="宋体" w:cs="宋体" w:eastAsia="宋体" w:hint="default"/>
        </w:rPr>
        <w:t>+</w:t>
      </w:r>
      <w:r>
        <w:rPr/>
        <w:t>服务”、“平台</w:t>
      </w:r>
      <w:r>
        <w:rPr>
          <w:rFonts w:ascii="宋体" w:hAnsi="宋体" w:cs="宋体" w:eastAsia="宋体" w:hint="default"/>
        </w:rPr>
        <w:t>+</w:t>
      </w:r>
      <w:r>
        <w:rPr/>
        <w:t>内容”、“线上</w:t>
      </w:r>
      <w:r>
        <w:rPr>
          <w:rFonts w:ascii="宋体" w:hAnsi="宋体" w:cs="宋体" w:eastAsia="宋体" w:hint="default"/>
        </w:rPr>
        <w:t>+</w:t>
      </w:r>
      <w:r>
        <w:rPr/>
        <w:t>线下”的生态体系建设，夯实教育信息化龙头地位。</w:t>
      </w:r>
    </w:p>
    <w:p>
      <w:pPr>
        <w:pStyle w:val="BodyText"/>
        <w:spacing w:line="396" w:lineRule="auto" w:before="50"/>
        <w:ind w:right="1131" w:firstLine="423"/>
        <w:jc w:val="both"/>
      </w:pPr>
      <w:r>
        <w:rPr>
          <w:spacing w:val="-1"/>
        </w:rPr>
        <w:t>公司通过全新的平台架构及技术理念，紧跟客户需求的变化，</w:t>
      </w:r>
      <w:r>
        <w:rPr>
          <w:rFonts w:ascii="Times New Roman" w:hAnsi="Times New Roman" w:cs="Times New Roman" w:eastAsia="Times New Roman" w:hint="default"/>
          <w:spacing w:val="-1"/>
        </w:rPr>
        <w:t>2018</w:t>
      </w:r>
      <w:r>
        <w:rPr>
          <w:spacing w:val="-1"/>
        </w:rPr>
        <w:t>年先后完成北京舞蹈学院、北京体</w:t>
      </w:r>
      <w:r>
        <w:rPr/>
        <w:t> </w:t>
      </w:r>
      <w:r>
        <w:rPr>
          <w:spacing w:val="-1"/>
        </w:rPr>
        <w:t>育大学校园等一大批优质客户的智慧校园应用解决方案建设，也是目前校园信息化行业内一卡通产品首次</w:t>
      </w:r>
      <w:r>
        <w:rPr>
          <w:spacing w:val="-81"/>
        </w:rPr>
        <w:t> </w:t>
      </w:r>
      <w:r>
        <w:rPr>
          <w:spacing w:val="-81"/>
        </w:rPr>
      </w:r>
      <w:r>
        <w:rPr>
          <w:spacing w:val="-1"/>
        </w:rPr>
        <w:t>以微服务架构模式落地到高校信息化建设中。</w:t>
      </w:r>
      <w:r>
        <w:rPr>
          <w:rFonts w:ascii="Times New Roman" w:hAnsi="Times New Roman" w:cs="Times New Roman" w:eastAsia="Times New Roman" w:hint="default"/>
          <w:spacing w:val="-1"/>
        </w:rPr>
        <w:t>2018</w:t>
      </w:r>
      <w:r>
        <w:rPr>
          <w:spacing w:val="-1"/>
        </w:rPr>
        <w:t>年，公司共计新增高校客户</w:t>
      </w:r>
      <w:r>
        <w:rPr>
          <w:rFonts w:ascii="Times New Roman" w:hAnsi="Times New Roman" w:cs="Times New Roman" w:eastAsia="Times New Roman" w:hint="default"/>
          <w:spacing w:val="-1"/>
        </w:rPr>
        <w:t>70</w:t>
      </w:r>
      <w:r>
        <w:rPr>
          <w:spacing w:val="-1"/>
        </w:rPr>
        <w:t>余所，同时具有公司引领</w:t>
      </w:r>
      <w:r>
        <w:rPr>
          <w:spacing w:val="-83"/>
        </w:rPr>
        <w:t> </w:t>
      </w:r>
      <w:r>
        <w:rPr>
          <w:spacing w:val="-83"/>
        </w:rPr>
      </w:r>
      <w:r>
        <w:rPr>
          <w:spacing w:val="-1"/>
        </w:rPr>
        <w:t>行业内模式、技术创新的特色的应用产品，如综合缴费平台、智慧点餐系统、大数据分析平台等成功落地</w:t>
      </w:r>
      <w:r>
        <w:rPr>
          <w:spacing w:val="-86"/>
        </w:rPr>
        <w:t> </w:t>
      </w:r>
      <w:r>
        <w:rPr>
          <w:spacing w:val="-86"/>
        </w:rPr>
      </w:r>
      <w:r>
        <w:rPr>
          <w:rFonts w:ascii="Times New Roman" w:hAnsi="Times New Roman" w:cs="Times New Roman" w:eastAsia="Times New Roman" w:hint="default"/>
        </w:rPr>
        <w:t>50</w:t>
      </w:r>
      <w:r>
        <w:rPr/>
        <w:t>余所高校。截至报告期末，新开普智慧校园应用解决方案高校客户超过</w:t>
      </w:r>
      <w:r>
        <w:rPr>
          <w:rFonts w:ascii="Times New Roman" w:hAnsi="Times New Roman" w:cs="Times New Roman" w:eastAsia="Times New Roman" w:hint="default"/>
        </w:rPr>
        <w:t>1100</w:t>
      </w:r>
      <w:r>
        <w:rPr/>
        <w:t>所，市场占有率达到</w:t>
      </w:r>
      <w:r>
        <w:rPr>
          <w:rFonts w:ascii="Times New Roman" w:hAnsi="Times New Roman" w:cs="Times New Roman" w:eastAsia="Times New Roman" w:hint="default"/>
        </w:rPr>
        <w:t>42%</w:t>
      </w:r>
      <w:r>
        <w:rPr/>
        <w:t>， 并保持市场占有率稳步上升。</w:t>
      </w:r>
    </w:p>
    <w:p>
      <w:pPr>
        <w:spacing w:line="408" w:lineRule="auto" w:before="56"/>
        <w:ind w:left="577" w:right="1194" w:firstLine="2"/>
        <w:jc w:val="left"/>
        <w:rPr>
          <w:rFonts w:ascii="宋体" w:hAnsi="宋体" w:cs="宋体" w:eastAsia="宋体" w:hint="default"/>
          <w:sz w:val="21"/>
          <w:szCs w:val="21"/>
        </w:rPr>
      </w:pPr>
      <w:r>
        <w:rPr>
          <w:rFonts w:ascii="宋体" w:hAnsi="宋体" w:cs="宋体" w:eastAsia="宋体" w:hint="default"/>
          <w:b/>
          <w:bCs/>
          <w:sz w:val="21"/>
          <w:szCs w:val="21"/>
        </w:rPr>
        <w:t>（二）校园云管理探索取得重大突破，业务融合将显著提高客户建校与管理效率</w:t>
      </w:r>
      <w:r>
        <w:rPr>
          <w:rFonts w:ascii="宋体" w:hAnsi="宋体" w:cs="宋体" w:eastAsia="宋体" w:hint="default"/>
          <w:b/>
          <w:bCs/>
          <w:w w:val="99"/>
          <w:sz w:val="21"/>
          <w:szCs w:val="21"/>
        </w:rPr>
        <w:t> </w:t>
      </w:r>
      <w:r>
        <w:rPr>
          <w:rFonts w:ascii="宋体" w:hAnsi="宋体" w:cs="宋体" w:eastAsia="宋体" w:hint="default"/>
          <w:sz w:val="21"/>
          <w:szCs w:val="21"/>
        </w:rPr>
        <w:t>报告期内，公司结合多年来线下智能设备终端的覆盖和产品持续升级，经过</w:t>
      </w:r>
      <w:r>
        <w:rPr>
          <w:rFonts w:ascii="Times New Roman" w:hAnsi="Times New Roman" w:cs="Times New Roman" w:eastAsia="Times New Roman" w:hint="default"/>
          <w:sz w:val="21"/>
          <w:szCs w:val="21"/>
        </w:rPr>
        <w:t>3</w:t>
      </w:r>
      <w:r>
        <w:rPr>
          <w:rFonts w:ascii="宋体" w:hAnsi="宋体" w:cs="宋体" w:eastAsia="宋体" w:hint="default"/>
          <w:sz w:val="21"/>
          <w:szCs w:val="21"/>
        </w:rPr>
        <w:t>年的移动互联网运营技</w:t>
      </w:r>
    </w:p>
    <w:p>
      <w:pPr>
        <w:pStyle w:val="BodyText"/>
        <w:spacing w:line="408" w:lineRule="auto" w:before="14"/>
        <w:ind w:right="1131"/>
        <w:jc w:val="both"/>
      </w:pPr>
      <w:r>
        <w:rPr>
          <w:spacing w:val="-1"/>
        </w:rPr>
        <w:t>术和经验的积累，公司向商业银行赋能模式成功开启。报告期内，公司为多个国有商业银行总行及部分省</w:t>
      </w:r>
      <w:r>
        <w:rPr>
          <w:spacing w:val="-83"/>
        </w:rPr>
        <w:t> </w:t>
      </w:r>
      <w:r>
        <w:rPr>
          <w:spacing w:val="-83"/>
        </w:rPr>
      </w:r>
      <w:r>
        <w:rPr>
          <w:spacing w:val="-1"/>
        </w:rPr>
        <w:t>级分行打造基于银行金融科技能力的智慧校园普惠服务云平台，融合学校生活、学习服务领域私有云服务</w:t>
      </w:r>
    </w:p>
    <w:p>
      <w:pPr>
        <w:spacing w:after="0" w:line="408" w:lineRule="auto"/>
        <w:jc w:val="both"/>
        <w:sectPr>
          <w:pgSz w:w="11910" w:h="16840"/>
          <w:pgMar w:header="747" w:footer="979" w:top="1060" w:bottom="1160" w:left="980" w:right="0"/>
        </w:sectPr>
      </w:pPr>
    </w:p>
    <w:p>
      <w:pPr>
        <w:spacing w:line="240" w:lineRule="auto" w:before="0"/>
        <w:rPr>
          <w:rFonts w:ascii="宋体" w:hAnsi="宋体" w:cs="宋体" w:eastAsia="宋体" w:hint="default"/>
          <w:sz w:val="20"/>
          <w:szCs w:val="20"/>
        </w:rPr>
      </w:pPr>
    </w:p>
    <w:p>
      <w:pPr>
        <w:pStyle w:val="BodyText"/>
        <w:spacing w:line="398" w:lineRule="auto" w:before="174"/>
        <w:ind w:right="1131"/>
        <w:jc w:val="both"/>
      </w:pPr>
      <w:r>
        <w:rPr/>
        <w:t>应用和新开普公有云</w:t>
      </w:r>
      <w:r>
        <w:rPr>
          <w:rFonts w:ascii="Times New Roman" w:hAnsi="Times New Roman" w:cs="Times New Roman" w:eastAsia="Times New Roman" w:hint="default"/>
        </w:rPr>
        <w:t>SaaS</w:t>
      </w:r>
      <w:r>
        <w:rPr/>
        <w:t>服务群以及银行普惠金融服务能力（聚合支付、</w:t>
      </w:r>
      <w:r>
        <w:rPr>
          <w:rFonts w:ascii="Times New Roman" w:hAnsi="Times New Roman" w:cs="Times New Roman" w:eastAsia="Times New Roman" w:hint="default"/>
        </w:rPr>
        <w:t>B2C</w:t>
      </w:r>
      <w:r>
        <w:rPr/>
        <w:t>、</w:t>
      </w:r>
      <w:r>
        <w:rPr>
          <w:rFonts w:ascii="Times New Roman" w:hAnsi="Times New Roman" w:cs="Times New Roman" w:eastAsia="Times New Roman" w:hint="default"/>
        </w:rPr>
        <w:t>B2B</w:t>
      </w:r>
      <w:r>
        <w:rPr/>
        <w:t>），为教育信息化行 业产业互联网的行业云产品服务模式提出了新的解决方案。该模式为银行客户带来了</w:t>
      </w:r>
      <w:r>
        <w:rPr>
          <w:rFonts w:ascii="Times New Roman" w:hAnsi="Times New Roman" w:cs="Times New Roman" w:eastAsia="Times New Roman" w:hint="default"/>
        </w:rPr>
        <w:t>B</w:t>
      </w:r>
      <w:r>
        <w:rPr/>
        <w:t>端的持续连接和</w:t>
      </w:r>
      <w:r>
        <w:rPr>
          <w:rFonts w:ascii="Times New Roman" w:hAnsi="Times New Roman" w:cs="Times New Roman" w:eastAsia="Times New Roman" w:hint="default"/>
        </w:rPr>
        <w:t>C </w:t>
      </w:r>
      <w:r>
        <w:rPr>
          <w:spacing w:val="-1"/>
        </w:rPr>
        <w:t>端拓客的场景，也有利于银行客户和高校客户保持长久粘性提供了合作空间。这为新开普逐渐由教育行业</w:t>
      </w:r>
      <w:r>
        <w:rPr>
          <w:spacing w:val="-81"/>
        </w:rPr>
        <w:t> </w:t>
      </w:r>
      <w:r>
        <w:rPr>
          <w:spacing w:val="-81"/>
        </w:rPr>
      </w:r>
      <w:r>
        <w:rPr>
          <w:spacing w:val="-1"/>
        </w:rPr>
        <w:t>信息化产品供应商向教育信息化行业产业互联网科技服务公司转型奠定了坚实的基础。报告期内，智慧校</w:t>
      </w:r>
      <w:r>
        <w:rPr>
          <w:spacing w:val="-81"/>
        </w:rPr>
        <w:t> </w:t>
      </w:r>
      <w:r>
        <w:rPr>
          <w:spacing w:val="-81"/>
        </w:rPr>
      </w:r>
      <w:r>
        <w:rPr/>
        <w:t>园云平台解决方案部分实现收入</w:t>
      </w:r>
      <w:r>
        <w:rPr>
          <w:rFonts w:ascii="Times New Roman" w:hAnsi="Times New Roman" w:cs="Times New Roman" w:eastAsia="Times New Roman" w:hint="default"/>
        </w:rPr>
        <w:t>8,800.78</w:t>
      </w:r>
      <w:r>
        <w:rPr/>
        <w:t>万元，比上年同期增长</w:t>
      </w:r>
      <w:r>
        <w:rPr>
          <w:rFonts w:ascii="Times New Roman" w:hAnsi="Times New Roman" w:cs="Times New Roman" w:eastAsia="Times New Roman" w:hint="default"/>
        </w:rPr>
        <w:t>46.03%</w:t>
      </w:r>
      <w:r>
        <w:rPr/>
        <w:t>。</w:t>
      </w:r>
    </w:p>
    <w:p>
      <w:pPr>
        <w:pStyle w:val="Heading4"/>
        <w:spacing w:line="408" w:lineRule="auto" w:before="24"/>
        <w:ind w:right="1117" w:firstLine="426"/>
        <w:jc w:val="left"/>
        <w:rPr>
          <w:b w:val="0"/>
          <w:bCs w:val="0"/>
        </w:rPr>
      </w:pPr>
      <w:r>
        <w:rPr>
          <w:spacing w:val="-1"/>
          <w:w w:val="95"/>
        </w:rPr>
        <w:t>（三）携手蚂蚁金服全资子公司，互联网基因助推公司向教育行业产业互联网、物联网科技服务企业</w:t>
      </w:r>
      <w:r>
        <w:rPr>
          <w:spacing w:val="-91"/>
          <w:w w:val="95"/>
        </w:rPr>
        <w:t> </w:t>
      </w:r>
      <w:r>
        <w:rPr>
          <w:spacing w:val="-91"/>
          <w:w w:val="95"/>
        </w:rPr>
      </w:r>
      <w:r>
        <w:rPr/>
        <w:t>快速转型</w:t>
      </w:r>
      <w:r>
        <w:rPr>
          <w:b w:val="0"/>
          <w:bCs w:val="0"/>
        </w:rPr>
      </w:r>
    </w:p>
    <w:p>
      <w:pPr>
        <w:pStyle w:val="BodyText"/>
        <w:spacing w:line="398" w:lineRule="auto"/>
        <w:ind w:right="0" w:firstLine="423"/>
        <w:jc w:val="left"/>
      </w:pPr>
      <w:r>
        <w:rPr>
          <w:rFonts w:ascii="Times New Roman" w:hAnsi="Times New Roman" w:cs="Times New Roman" w:eastAsia="Times New Roman" w:hint="default"/>
        </w:rPr>
        <w:t>2019</w:t>
      </w:r>
      <w:r>
        <w:rPr/>
        <w:t>年</w:t>
      </w:r>
      <w:r>
        <w:rPr>
          <w:rFonts w:ascii="Times New Roman" w:hAnsi="Times New Roman" w:cs="Times New Roman" w:eastAsia="Times New Roman" w:hint="default"/>
        </w:rPr>
        <w:t>1</w:t>
      </w:r>
      <w:r>
        <w:rPr/>
        <w:t>月，蚂蚁金服全资子公司上海云鑫受让公司股东</w:t>
      </w:r>
      <w:r>
        <w:rPr>
          <w:rFonts w:ascii="Times New Roman" w:hAnsi="Times New Roman" w:cs="Times New Roman" w:eastAsia="Times New Roman" w:hint="default"/>
        </w:rPr>
        <w:t>6.28%</w:t>
      </w:r>
      <w:r>
        <w:rPr/>
        <w:t>的股份，成为公司第二大股东。本次合 作后，公司将在现有教育信息化行业的客户资源、应用场景、服务体系和物联网技术的优势基础，结合蚂 蚁金服的互联网运营经验、技术优势以及生态体系整合能力，提升公司的整体智慧校园产品和服务能力，</w:t>
      </w:r>
      <w:r>
        <w:rPr>
          <w:spacing w:val="-33"/>
        </w:rPr>
        <w:t> </w:t>
      </w:r>
      <w:r>
        <w:rPr>
          <w:spacing w:val="-33"/>
        </w:rPr>
      </w:r>
      <w:r>
        <w:rPr/>
        <w:t>以及公司产业互联网平台、</w:t>
      </w:r>
      <w:r>
        <w:rPr>
          <w:rFonts w:ascii="Times New Roman" w:hAnsi="Times New Roman" w:cs="Times New Roman" w:eastAsia="Times New Roman" w:hint="default"/>
        </w:rPr>
        <w:t>SaaS</w:t>
      </w:r>
      <w:r>
        <w:rPr/>
        <w:t>服务及智能终端系列产品的创新能力和运营能力。快速促进公司转型为教 育信息化行业产业互联网、物联网科技服务公司。</w:t>
      </w:r>
    </w:p>
    <w:p>
      <w:pPr>
        <w:pStyle w:val="BodyText"/>
        <w:spacing w:line="400" w:lineRule="auto" w:before="54"/>
        <w:ind w:right="1131" w:firstLine="423"/>
        <w:jc w:val="both"/>
      </w:pPr>
      <w:r>
        <w:rPr>
          <w:spacing w:val="-2"/>
        </w:rPr>
        <w:t>公司目前正在打造基于“教育信息化</w:t>
      </w:r>
      <w:r>
        <w:rPr>
          <w:rFonts w:ascii="Times New Roman" w:hAnsi="Times New Roman" w:cs="Times New Roman" w:eastAsia="Times New Roman" w:hint="default"/>
          <w:spacing w:val="-2"/>
        </w:rPr>
        <w:t>2.0</w:t>
      </w:r>
      <w:r>
        <w:rPr>
          <w:spacing w:val="-2"/>
        </w:rPr>
        <w:t>”的智慧校园平台，它以面向师生服务为核心，以云计算、物</w:t>
      </w:r>
      <w:r>
        <w:rPr/>
        <w:t> </w:t>
      </w:r>
      <w:r>
        <w:rPr>
          <w:spacing w:val="-1"/>
        </w:rPr>
        <w:t>联网、移动互联、大数据、人工智能等新兴信息技术的运用为基础，构建开放、灵活的校园服务框架，全</w:t>
      </w:r>
      <w:r>
        <w:rPr>
          <w:spacing w:val="-83"/>
        </w:rPr>
        <w:t> </w:t>
      </w:r>
      <w:r>
        <w:rPr>
          <w:spacing w:val="-83"/>
        </w:rPr>
      </w:r>
      <w:r>
        <w:rPr>
          <w:spacing w:val="-1"/>
        </w:rPr>
        <w:t>面拓展智慧型的人才培养、科学研究、管理决策、生活服务等应用服务，改变师生的教学生活环境，实现</w:t>
      </w:r>
      <w:r>
        <w:rPr>
          <w:spacing w:val="-83"/>
        </w:rPr>
        <w:t> </w:t>
      </w:r>
      <w:r>
        <w:rPr>
          <w:spacing w:val="-83"/>
        </w:rPr>
      </w:r>
      <w:r>
        <w:rPr/>
        <w:t>以人为本的个性化创新服务，构建新的校园运行模型。</w:t>
      </w:r>
    </w:p>
    <w:p>
      <w:pPr>
        <w:pStyle w:val="BodyText"/>
        <w:spacing w:line="403" w:lineRule="auto" w:before="52"/>
        <w:ind w:right="0" w:firstLine="423"/>
        <w:jc w:val="left"/>
      </w:pPr>
      <w:r>
        <w:rPr/>
        <w:t>公司将借助本次合作，提升公司的整体智慧校园产品和服务能力，以及公司产业互联网平台、</w:t>
      </w:r>
      <w:r>
        <w:rPr>
          <w:rFonts w:ascii="Times New Roman" w:hAnsi="Times New Roman" w:cs="Times New Roman" w:eastAsia="Times New Roman" w:hint="default"/>
        </w:rPr>
        <w:t>SaaS</w:t>
      </w:r>
      <w:r>
        <w:rPr/>
        <w:t>服 务及智能终端系列产品的创新能力和运营能力，并与蚂蚁金服合力完成智慧校园云架构的搭建和升级，促 进公司转型为教育行业产业互联网、物联网科技服务公司。基于智慧校园混合云平台，利用平台的服务开 发能力，为校园管理者、教师、学生提供微服务或定制化服务，并向校际交互方向拓展，打通校际壁垒，</w:t>
      </w:r>
      <w:r>
        <w:rPr>
          <w:spacing w:val="-38"/>
        </w:rPr>
        <w:t> </w:t>
      </w:r>
      <w:r>
        <w:rPr>
          <w:spacing w:val="-38"/>
        </w:rPr>
      </w:r>
      <w:r>
        <w:rPr/>
        <w:t>充分体现智慧校园云平台所产生的巨大价值。公司也将通过智慧校园云平台，赋能线下应用场景终端，增</w:t>
      </w:r>
      <w:r>
        <w:rPr/>
        <w:t> 加用户粘性，构建产业物联网与消费互联网相结合的生态模型。</w:t>
      </w:r>
    </w:p>
    <w:p>
      <w:pPr>
        <w:pStyle w:val="Heading4"/>
        <w:spacing w:line="386" w:lineRule="auto" w:before="50"/>
        <w:ind w:right="1117" w:firstLine="426"/>
        <w:jc w:val="left"/>
        <w:rPr>
          <w:b w:val="0"/>
          <w:bCs w:val="0"/>
        </w:rPr>
      </w:pPr>
      <w:r>
        <w:rPr>
          <w:spacing w:val="-1"/>
          <w:w w:val="95"/>
        </w:rPr>
        <w:t>（四）蚂蚁金服全资子公司增资完美数联，助力</w:t>
      </w:r>
      <w:r>
        <w:rPr>
          <w:rFonts w:ascii="Times New Roman" w:hAnsi="Times New Roman" w:cs="Times New Roman" w:eastAsia="Times New Roman" w:hint="default"/>
          <w:spacing w:val="-1"/>
          <w:w w:val="95"/>
        </w:rPr>
        <w:t>“</w:t>
      </w:r>
      <w:r>
        <w:rPr>
          <w:spacing w:val="-1"/>
          <w:w w:val="95"/>
        </w:rPr>
        <w:t>完美校园</w:t>
      </w:r>
      <w:r>
        <w:rPr>
          <w:rFonts w:ascii="Times New Roman" w:hAnsi="Times New Roman" w:cs="Times New Roman" w:eastAsia="Times New Roman" w:hint="default"/>
          <w:spacing w:val="-1"/>
          <w:w w:val="95"/>
        </w:rPr>
        <w:t>”</w:t>
      </w:r>
      <w:r>
        <w:rPr>
          <w:spacing w:val="-1"/>
          <w:w w:val="95"/>
        </w:rPr>
        <w:t>消费互联网产业升级，成为学生立德、树</w:t>
      </w:r>
      <w:r>
        <w:rPr>
          <w:spacing w:val="-89"/>
          <w:w w:val="95"/>
        </w:rPr>
        <w:t> </w:t>
      </w:r>
      <w:r>
        <w:rPr>
          <w:spacing w:val="-89"/>
          <w:w w:val="95"/>
        </w:rPr>
      </w:r>
      <w:r>
        <w:rPr/>
        <w:t>人、成长及人才服务商</w:t>
      </w:r>
      <w:r>
        <w:rPr>
          <w:b w:val="0"/>
          <w:bCs w:val="0"/>
        </w:rPr>
      </w:r>
    </w:p>
    <w:p>
      <w:pPr>
        <w:pStyle w:val="BodyText"/>
        <w:spacing w:line="386" w:lineRule="auto" w:before="65"/>
        <w:ind w:right="1130" w:firstLine="423"/>
        <w:jc w:val="left"/>
      </w:pPr>
      <w:r>
        <w:rPr>
          <w:spacing w:val="-1"/>
        </w:rPr>
        <w:t>公司自</w:t>
      </w:r>
      <w:r>
        <w:rPr>
          <w:rFonts w:ascii="Times New Roman" w:hAnsi="Times New Roman" w:cs="Times New Roman" w:eastAsia="Times New Roman" w:hint="default"/>
          <w:spacing w:val="-1"/>
        </w:rPr>
        <w:t>2014</w:t>
      </w:r>
      <w:r>
        <w:rPr>
          <w:spacing w:val="-1"/>
        </w:rPr>
        <w:t>年推出针对大学生的移动互联网产品后，创新服务覆盖院校数量和大学生人数每年均快速</w:t>
      </w:r>
      <w:r>
        <w:rPr/>
        <w:t> </w:t>
      </w:r>
      <w:r>
        <w:rPr>
          <w:spacing w:val="-1"/>
        </w:rPr>
        <w:t>增长。“完美校园”通过移动端</w:t>
      </w:r>
      <w:r>
        <w:rPr>
          <w:rFonts w:ascii="Times New Roman" w:hAnsi="Times New Roman" w:cs="Times New Roman" w:eastAsia="Times New Roman" w:hint="default"/>
          <w:spacing w:val="-1"/>
        </w:rPr>
        <w:t>7*24</w:t>
      </w:r>
      <w:r>
        <w:rPr>
          <w:spacing w:val="-1"/>
        </w:rPr>
        <w:t>小时实时用户自助服务及多维度的</w:t>
      </w:r>
      <w:r>
        <w:rPr>
          <w:rFonts w:ascii="Times New Roman" w:hAnsi="Times New Roman" w:cs="Times New Roman" w:eastAsia="Times New Roman" w:hint="default"/>
          <w:spacing w:val="-1"/>
        </w:rPr>
        <w:t>SaaS</w:t>
      </w:r>
      <w:r>
        <w:rPr>
          <w:spacing w:val="-1"/>
        </w:rPr>
        <w:t>微服务，提供了综合的校园信</w:t>
      </w:r>
      <w:r>
        <w:rPr>
          <w:spacing w:val="-81"/>
        </w:rPr>
        <w:t> </w:t>
      </w:r>
      <w:r>
        <w:rPr>
          <w:spacing w:val="-81"/>
        </w:rPr>
      </w:r>
      <w:r>
        <w:rPr/>
        <w:t>息化及学生学习、生活、消费和人才成长等服务，促进了用户活跃度保持在较高的水平。截至目前，</w:t>
      </w:r>
      <w:r>
        <w:rPr>
          <w:rFonts w:ascii="Times New Roman" w:hAnsi="Times New Roman" w:cs="Times New Roman" w:eastAsia="Times New Roman" w:hint="default"/>
        </w:rPr>
        <w:t>“</w:t>
      </w:r>
      <w:r>
        <w:rPr/>
        <w:t>完 </w:t>
      </w:r>
      <w:r>
        <w:rPr>
          <w:spacing w:val="-4"/>
          <w:w w:val="100"/>
        </w:rPr>
        <w:t>美校园</w:t>
      </w:r>
      <w:r>
        <w:rPr>
          <w:rFonts w:ascii="Times New Roman" w:hAnsi="Times New Roman" w:cs="Times New Roman" w:eastAsia="Times New Roman" w:hint="default"/>
          <w:spacing w:val="-4"/>
          <w:w w:val="100"/>
        </w:rPr>
        <w:t>”</w:t>
      </w:r>
      <w:r>
        <w:rPr>
          <w:spacing w:val="-4"/>
          <w:w w:val="100"/>
        </w:rPr>
        <w:t>已累计服务</w:t>
      </w:r>
      <w:r>
        <w:rPr>
          <w:rFonts w:ascii="Times New Roman" w:hAnsi="Times New Roman" w:cs="Times New Roman" w:eastAsia="Times New Roman" w:hint="default"/>
          <w:spacing w:val="-4"/>
          <w:w w:val="100"/>
        </w:rPr>
        <w:t>1000</w:t>
      </w:r>
      <w:r>
        <w:rPr>
          <w:spacing w:val="-4"/>
          <w:w w:val="100"/>
        </w:rPr>
        <w:t>多所高校，超过</w:t>
      </w:r>
      <w:r>
        <w:rPr>
          <w:rFonts w:ascii="Times New Roman" w:hAnsi="Times New Roman" w:cs="Times New Roman" w:eastAsia="Times New Roman" w:hint="default"/>
          <w:spacing w:val="-4"/>
          <w:w w:val="100"/>
        </w:rPr>
        <w:t>1000</w:t>
      </w:r>
      <w:r>
        <w:rPr>
          <w:spacing w:val="-4"/>
          <w:w w:val="100"/>
        </w:rPr>
        <w:t>万大学生上线注册</w:t>
      </w:r>
      <w:r>
        <w:rPr>
          <w:rFonts w:ascii="Times New Roman" w:hAnsi="Times New Roman" w:cs="Times New Roman" w:eastAsia="Times New Roman" w:hint="default"/>
          <w:spacing w:val="-4"/>
          <w:w w:val="100"/>
        </w:rPr>
        <w:t>“</w:t>
      </w:r>
      <w:r>
        <w:rPr>
          <w:spacing w:val="-4"/>
          <w:w w:val="100"/>
        </w:rPr>
        <w:t>完美校园</w:t>
      </w:r>
      <w:r>
        <w:rPr>
          <w:rFonts w:ascii="Times New Roman" w:hAnsi="Times New Roman" w:cs="Times New Roman" w:eastAsia="Times New Roman" w:hint="default"/>
          <w:spacing w:val="-4"/>
          <w:w w:val="100"/>
        </w:rPr>
        <w:t>”</w:t>
      </w:r>
      <w:r>
        <w:rPr>
          <w:spacing w:val="-4"/>
          <w:w w:val="100"/>
        </w:rPr>
        <w:t>，累计实名认证用户数量接近</w:t>
      </w:r>
      <w:r>
        <w:rPr>
          <w:rFonts w:ascii="Times New Roman" w:hAnsi="Times New Roman" w:cs="Times New Roman" w:eastAsia="Times New Roman" w:hint="default"/>
          <w:spacing w:val="-4"/>
          <w:w w:val="100"/>
        </w:rPr>
        <w:t>900</w:t>
      </w:r>
      <w:r>
        <w:rPr>
          <w:rFonts w:ascii="Times New Roman" w:hAnsi="Times New Roman" w:cs="Times New Roman" w:eastAsia="Times New Roman" w:hint="default"/>
          <w:spacing w:val="-36"/>
          <w:w w:val="100"/>
        </w:rPr>
        <w:t> </w:t>
      </w:r>
      <w:r>
        <w:rPr>
          <w:spacing w:val="-3"/>
        </w:rPr>
        <w:t>万人。目前，“完美校园”</w:t>
      </w:r>
      <w:r>
        <w:rPr>
          <w:rFonts w:ascii="Times New Roman" w:hAnsi="Times New Roman" w:cs="Times New Roman" w:eastAsia="Times New Roman" w:hint="default"/>
          <w:spacing w:val="-3"/>
        </w:rPr>
        <w:t>App</w:t>
      </w:r>
      <w:r>
        <w:rPr>
          <w:spacing w:val="-3"/>
        </w:rPr>
        <w:t>平均周活跃度保持在</w:t>
      </w:r>
      <w:r>
        <w:rPr>
          <w:rFonts w:ascii="Times New Roman" w:hAnsi="Times New Roman" w:cs="Times New Roman" w:eastAsia="Times New Roman" w:hint="default"/>
          <w:spacing w:val="-3"/>
        </w:rPr>
        <w:t>20%</w:t>
      </w:r>
      <w:r>
        <w:rPr>
          <w:spacing w:val="-3"/>
        </w:rPr>
        <w:t>以上，平均月活跃度为</w:t>
      </w:r>
      <w:r>
        <w:rPr>
          <w:rFonts w:ascii="Times New Roman" w:hAnsi="Times New Roman" w:cs="Times New Roman" w:eastAsia="Times New Roman" w:hint="default"/>
          <w:spacing w:val="-3"/>
        </w:rPr>
        <w:t>50%</w:t>
      </w:r>
      <w:r>
        <w:rPr>
          <w:spacing w:val="-3"/>
        </w:rPr>
        <w:t>左右，日活跃度保持在</w:t>
      </w:r>
      <w:r>
        <w:rPr>
          <w:spacing w:val="-67"/>
        </w:rPr>
        <w:t> </w:t>
      </w:r>
      <w:r>
        <w:rPr>
          <w:spacing w:val="-67"/>
        </w:rPr>
      </w:r>
      <w:r>
        <w:rPr>
          <w:rFonts w:ascii="Times New Roman" w:hAnsi="Times New Roman" w:cs="Times New Roman" w:eastAsia="Times New Roman" w:hint="default"/>
        </w:rPr>
        <w:t>8%-10%</w:t>
      </w:r>
      <w:r>
        <w:rPr/>
        <w:t>，每天有近</w:t>
      </w:r>
      <w:r>
        <w:rPr>
          <w:rFonts w:ascii="Times New Roman" w:hAnsi="Times New Roman" w:cs="Times New Roman" w:eastAsia="Times New Roman" w:hint="default"/>
        </w:rPr>
        <w:t>100</w:t>
      </w:r>
      <w:r>
        <w:rPr/>
        <w:t>万人通过</w:t>
      </w:r>
      <w:r>
        <w:rPr>
          <w:rFonts w:ascii="Times New Roman" w:hAnsi="Times New Roman" w:cs="Times New Roman" w:eastAsia="Times New Roman" w:hint="default"/>
        </w:rPr>
        <w:t>“</w:t>
      </w:r>
      <w:r>
        <w:rPr/>
        <w:t>完美校园</w:t>
      </w:r>
      <w:r>
        <w:rPr>
          <w:rFonts w:ascii="Times New Roman" w:hAnsi="Times New Roman" w:cs="Times New Roman" w:eastAsia="Times New Roman" w:hint="default"/>
        </w:rPr>
        <w:t>”</w:t>
      </w:r>
      <w:r>
        <w:rPr/>
        <w:t>获取公司提供的学习生活、人才成长等各种各样的创新服务。</w:t>
      </w:r>
    </w:p>
    <w:p>
      <w:pPr>
        <w:spacing w:after="0" w:line="386" w:lineRule="auto"/>
        <w:jc w:val="left"/>
        <w:sectPr>
          <w:pgSz w:w="11910" w:h="16840"/>
          <w:pgMar w:header="747" w:footer="979" w:top="1060" w:bottom="1160" w:left="980" w:right="0"/>
        </w:sectPr>
      </w:pPr>
    </w:p>
    <w:p>
      <w:pPr>
        <w:spacing w:line="240" w:lineRule="auto" w:before="0"/>
        <w:rPr>
          <w:rFonts w:ascii="宋体" w:hAnsi="宋体" w:cs="宋体" w:eastAsia="宋体" w:hint="default"/>
          <w:sz w:val="20"/>
          <w:szCs w:val="20"/>
        </w:rPr>
      </w:pPr>
    </w:p>
    <w:p>
      <w:pPr>
        <w:pStyle w:val="BodyText"/>
        <w:spacing w:line="400" w:lineRule="auto" w:before="174"/>
        <w:ind w:right="0" w:firstLine="423"/>
        <w:jc w:val="left"/>
      </w:pPr>
      <w:r>
        <w:rPr>
          <w:rFonts w:ascii="Times New Roman" w:hAnsi="Times New Roman" w:cs="Times New Roman" w:eastAsia="Times New Roman" w:hint="default"/>
        </w:rPr>
        <w:t>2018</w:t>
      </w:r>
      <w:r>
        <w:rPr/>
        <w:t>年</w:t>
      </w:r>
      <w:r>
        <w:rPr>
          <w:rFonts w:ascii="Times New Roman" w:hAnsi="Times New Roman" w:cs="Times New Roman" w:eastAsia="Times New Roman" w:hint="default"/>
        </w:rPr>
        <w:t>9</w:t>
      </w:r>
      <w:r>
        <w:rPr/>
        <w:t>月，公司设立控股子公司完美数联（北京）科技有限公司，设立完美数联是为了发挥“完美 校园”互联网平台优势和品牌价值，与学校各个垂直场景深度融合，服务学生的学习生活、校园生活、教 育培训、实习就业、社区服务等方面，助力高校提供更优质的生活管理、教学管理、人才成长管理服务，</w:t>
      </w:r>
      <w:r>
        <w:rPr>
          <w:spacing w:val="-38"/>
        </w:rPr>
        <w:t> </w:t>
      </w:r>
      <w:r>
        <w:rPr>
          <w:spacing w:val="-38"/>
        </w:rPr>
      </w:r>
      <w:r>
        <w:rPr/>
        <w:t>帮助大学生提升校园生活质量、提升就业能力和素质，为高校、企业与社会提供有效的连接平台，成为高</w:t>
      </w:r>
      <w:r>
        <w:rPr/>
        <w:t> </w:t>
      </w:r>
      <w:r>
        <w:rPr>
          <w:spacing w:val="-2"/>
        </w:rPr>
        <w:t>校信息化生态共建者。</w:t>
      </w:r>
      <w:r>
        <w:rPr>
          <w:rFonts w:ascii="Times New Roman" w:hAnsi="Times New Roman" w:cs="Times New Roman" w:eastAsia="Times New Roman" w:hint="default"/>
          <w:spacing w:val="-2"/>
        </w:rPr>
        <w:t>2019</w:t>
      </w:r>
      <w:r>
        <w:rPr>
          <w:spacing w:val="-2"/>
        </w:rPr>
        <w:t>年</w:t>
      </w:r>
      <w:r>
        <w:rPr>
          <w:rFonts w:ascii="Times New Roman" w:hAnsi="Times New Roman" w:cs="Times New Roman" w:eastAsia="Times New Roman" w:hint="default"/>
          <w:spacing w:val="-2"/>
        </w:rPr>
        <w:t>1</w:t>
      </w:r>
      <w:r>
        <w:rPr>
          <w:spacing w:val="-2"/>
        </w:rPr>
        <w:t>月</w:t>
      </w:r>
      <w:r>
        <w:rPr>
          <w:rFonts w:ascii="Times New Roman" w:hAnsi="Times New Roman" w:cs="Times New Roman" w:eastAsia="Times New Roman" w:hint="default"/>
          <w:spacing w:val="-2"/>
        </w:rPr>
        <w:t>6</w:t>
      </w:r>
      <w:r>
        <w:rPr>
          <w:spacing w:val="-2"/>
        </w:rPr>
        <w:t>日，蚂蚁金服全资子公司上海云鑫以</w:t>
      </w:r>
      <w:r>
        <w:rPr>
          <w:rFonts w:ascii="Times New Roman" w:hAnsi="Times New Roman" w:cs="Times New Roman" w:eastAsia="Times New Roman" w:hint="default"/>
          <w:spacing w:val="-2"/>
        </w:rPr>
        <w:t>2.5</w:t>
      </w:r>
      <w:r>
        <w:rPr>
          <w:spacing w:val="-2"/>
        </w:rPr>
        <w:t>亿元人民币增资完美数联，是公</w:t>
      </w:r>
      <w:r>
        <w:rPr>
          <w:spacing w:val="-84"/>
        </w:rPr>
        <w:t> </w:t>
      </w:r>
      <w:r>
        <w:rPr>
          <w:spacing w:val="-84"/>
        </w:rPr>
      </w:r>
      <w:r>
        <w:rPr>
          <w:spacing w:val="-2"/>
        </w:rPr>
        <w:t>司与上海云鑫围绕着让校园成为科技应用创新的高地，共同打造基于“教育信息化</w:t>
      </w:r>
      <w:r>
        <w:rPr>
          <w:rFonts w:ascii="Times New Roman" w:hAnsi="Times New Roman" w:cs="Times New Roman" w:eastAsia="Times New Roman" w:hint="default"/>
          <w:spacing w:val="-2"/>
        </w:rPr>
        <w:t>2.</w:t>
      </w:r>
      <w:r>
        <w:rPr>
          <w:rFonts w:ascii="宋体" w:hAnsi="宋体" w:cs="宋体" w:eastAsia="宋体" w:hint="default"/>
          <w:spacing w:val="-2"/>
        </w:rPr>
        <w:t>0</w:t>
      </w:r>
      <w:r>
        <w:rPr>
          <w:spacing w:val="-2"/>
        </w:rPr>
        <w:t>”为核心的校园服务</w:t>
      </w:r>
      <w:r>
        <w:rPr>
          <w:spacing w:val="-88"/>
        </w:rPr>
        <w:t> </w:t>
      </w:r>
      <w:r>
        <w:rPr>
          <w:spacing w:val="-88"/>
        </w:rPr>
      </w:r>
      <w:r>
        <w:rPr>
          <w:spacing w:val="-5"/>
        </w:rPr>
        <w:t>和教育服务的重大战略举措。完美数联将以改变师生的教学、生活环境，实现以人为本的个性化创新服务，</w:t>
      </w:r>
      <w:r>
        <w:rPr>
          <w:spacing w:val="-101"/>
        </w:rPr>
        <w:t> </w:t>
      </w:r>
      <w:r>
        <w:rPr>
          <w:spacing w:val="-101"/>
        </w:rPr>
      </w:r>
      <w:r>
        <w:rPr/>
        <w:t>构建新的校园运行形态为己任，共建校园生态，科技赋能教育。同时，完美数联将结合蚂蚁金服生态体系</w:t>
      </w:r>
      <w:r>
        <w:rPr/>
        <w:t> 与科技能力，打造基于新开普的产品能力与服务体系的智慧校园解决方案，在输出智慧校园解决方案的同 时构建一套完整的科技化体系帮助学生成长。未来，完美数联将整合行业生态，使“完美校园”</w:t>
      </w:r>
      <w:r>
        <w:rPr>
          <w:rFonts w:ascii="Times New Roman" w:hAnsi="Times New Roman" w:cs="Times New Roman" w:eastAsia="Times New Roman" w:hint="default"/>
        </w:rPr>
        <w:t>App</w:t>
      </w:r>
      <w:r>
        <w:rPr/>
        <w:t>成为 中国高校大学生官方综合服务入口和著名品牌。同时，完美数联将整合业务资源优势，完善产品和技术体 系，服务于学生成长过程，成为学生立德、树人、成长及人才服务商。完美数联还将整合股东优势，深耕 产业互联网，通过支付、技术、金融科技、信用等领域的能力建设，向各类校园输出先进、安全、可靠的 场景化服务及信息化解决方案，夯实数字化场景数据，成为教育信息化综合运营商。</w:t>
      </w:r>
    </w:p>
    <w:p>
      <w:pPr>
        <w:pStyle w:val="Heading4"/>
        <w:spacing w:line="240" w:lineRule="auto" w:before="52"/>
        <w:ind w:left="580" w:right="0"/>
        <w:jc w:val="left"/>
        <w:rPr>
          <w:b w:val="0"/>
          <w:bCs w:val="0"/>
        </w:rPr>
      </w:pPr>
      <w:r>
        <w:rPr/>
        <w:t>（五）为高校及职业院校提供教学过程、内容信息化整体解决方案，扎根教育本质，拓展智慧教育板</w:t>
      </w:r>
      <w:r>
        <w:rPr>
          <w:b w:val="0"/>
          <w:bCs w:val="0"/>
        </w:rPr>
      </w:r>
    </w:p>
    <w:p>
      <w:pPr>
        <w:spacing w:line="240" w:lineRule="auto" w:before="10"/>
        <w:rPr>
          <w:rFonts w:ascii="宋体" w:hAnsi="宋体" w:cs="宋体" w:eastAsia="宋体" w:hint="default"/>
          <w:b/>
          <w:bCs/>
          <w:sz w:val="14"/>
          <w:szCs w:val="14"/>
        </w:rPr>
      </w:pPr>
    </w:p>
    <w:p>
      <w:pPr>
        <w:pStyle w:val="Heading4"/>
        <w:spacing w:line="240" w:lineRule="auto"/>
        <w:ind w:right="1117"/>
        <w:jc w:val="left"/>
        <w:rPr>
          <w:b w:val="0"/>
          <w:bCs w:val="0"/>
        </w:rPr>
      </w:pPr>
      <w:r>
        <w:rPr>
          <w:w w:val="99"/>
        </w:rPr>
        <w:t>块</w:t>
      </w:r>
      <w:r>
        <w:rPr>
          <w:b w:val="0"/>
          <w:bCs w:val="0"/>
        </w:rPr>
      </w:r>
    </w:p>
    <w:p>
      <w:pPr>
        <w:spacing w:line="240" w:lineRule="auto" w:before="10"/>
        <w:rPr>
          <w:rFonts w:ascii="宋体" w:hAnsi="宋体" w:cs="宋体" w:eastAsia="宋体" w:hint="default"/>
          <w:b/>
          <w:bCs/>
          <w:sz w:val="14"/>
          <w:szCs w:val="14"/>
        </w:rPr>
      </w:pPr>
    </w:p>
    <w:p>
      <w:pPr>
        <w:pStyle w:val="BodyText"/>
        <w:spacing w:line="408" w:lineRule="auto" w:before="0"/>
        <w:ind w:right="1131" w:firstLine="423"/>
        <w:jc w:val="both"/>
      </w:pPr>
      <w:r>
        <w:rPr>
          <w:spacing w:val="-1"/>
        </w:rPr>
        <w:t>公司密切关注高校专业发展动向和用户需求，牢牢把握信息技术、智能制造相关专业教学实训设备的</w:t>
      </w:r>
      <w:r>
        <w:rPr/>
        <w:t> </w:t>
      </w:r>
      <w:r>
        <w:rPr>
          <w:spacing w:val="-1"/>
        </w:rPr>
        <w:t>发展趋势，积极做好新产品研发和技术储备工作，完善人才梯队建设，为产品的不断升级和创新提供强有</w:t>
      </w:r>
      <w:r>
        <w:rPr>
          <w:spacing w:val="-83"/>
        </w:rPr>
        <w:t> </w:t>
      </w:r>
      <w:r>
        <w:rPr>
          <w:spacing w:val="-83"/>
        </w:rPr>
      </w:r>
      <w:r>
        <w:rPr/>
        <w:t>力的支撑。</w:t>
      </w:r>
    </w:p>
    <w:p>
      <w:pPr>
        <w:pStyle w:val="BodyText"/>
        <w:spacing w:line="405" w:lineRule="auto"/>
        <w:ind w:right="0" w:firstLine="423"/>
        <w:jc w:val="left"/>
      </w:pPr>
      <w:r>
        <w:rPr/>
        <w:t>随着职业教育信息化的发展，信息技术与教育教学深度融合的推进，公司以服务教学为导向，针对中 等职业院校研发了数字化校院、教务系统、教学管理平台、实训实验系统、教学资源为一体的智慧校园综 合解决方案。随着教育部对高校专业目录的调整，过去的一年数据科学与大数据技术、智能科学与技术、</w:t>
      </w:r>
      <w:r>
        <w:rPr>
          <w:spacing w:val="-38"/>
        </w:rPr>
        <w:t> </w:t>
      </w:r>
      <w:r>
        <w:rPr>
          <w:spacing w:val="-38"/>
        </w:rPr>
      </w:r>
      <w:r>
        <w:rPr/>
        <w:t>工业机器人技术、虚拟现实应用技术全国新增申报数量急剧增加。公司在巩固大数据教学、科研平台的基</w:t>
      </w:r>
      <w:r>
        <w:rPr/>
        <w:t> 础上，积极扩展工业机器人、虚拟现实、人工智能、物联网等专业教学实训设备，并通过调整人员结构打 造过硬的市场营销体系。目前公司的大数据教学</w:t>
      </w:r>
      <w:r>
        <w:rPr>
          <w:rFonts w:ascii="Times New Roman" w:hAnsi="Times New Roman" w:cs="Times New Roman" w:eastAsia="Times New Roman" w:hint="default"/>
        </w:rPr>
        <w:t>/</w:t>
      </w:r>
      <w:r>
        <w:rPr/>
        <w:t>科研平台、工业机器人实训设备、基于云架构的</w:t>
      </w:r>
      <w:r>
        <w:rPr>
          <w:rFonts w:ascii="Times New Roman" w:hAnsi="Times New Roman" w:cs="Times New Roman" w:eastAsia="Times New Roman" w:hint="default"/>
        </w:rPr>
        <w:t>VR</w:t>
      </w:r>
      <w:r>
        <w:rPr/>
        <w:t>创作 平台及相关课程已经在河南、湖南、江苏、重庆、陕西、广西等全国诸多高校落地，打开市场局面并开始 产生效应，已经将公司的产品及服务延伸高校专业教学领域。</w:t>
      </w:r>
    </w:p>
    <w:p>
      <w:pPr>
        <w:spacing w:line="408" w:lineRule="auto" w:before="48"/>
        <w:ind w:left="577" w:right="1117" w:firstLine="2"/>
        <w:jc w:val="left"/>
        <w:rPr>
          <w:rFonts w:ascii="宋体" w:hAnsi="宋体" w:cs="宋体" w:eastAsia="宋体" w:hint="default"/>
          <w:sz w:val="21"/>
          <w:szCs w:val="21"/>
        </w:rPr>
      </w:pPr>
      <w:r>
        <w:rPr>
          <w:rFonts w:ascii="宋体" w:hAnsi="宋体" w:cs="宋体" w:eastAsia="宋体" w:hint="default"/>
          <w:b/>
          <w:bCs/>
          <w:sz w:val="21"/>
          <w:szCs w:val="21"/>
        </w:rPr>
        <w:t>（六）运维服务使高客户黏性转化为持续收益</w:t>
      </w:r>
      <w:r>
        <w:rPr>
          <w:rFonts w:ascii="宋体" w:hAnsi="宋体" w:cs="宋体" w:eastAsia="宋体" w:hint="default"/>
          <w:b/>
          <w:bCs/>
          <w:w w:val="99"/>
          <w:sz w:val="21"/>
          <w:szCs w:val="21"/>
        </w:rPr>
        <w:t> </w:t>
      </w:r>
      <w:r>
        <w:rPr>
          <w:rFonts w:ascii="宋体" w:hAnsi="宋体" w:cs="宋体" w:eastAsia="宋体" w:hint="default"/>
          <w:spacing w:val="-1"/>
          <w:sz w:val="21"/>
          <w:szCs w:val="21"/>
        </w:rPr>
        <w:t>随着校园信息化集成业务越来越多，用户对信息化系统的依赖越来越强，信息化系统的运行稳定成为</w:t>
      </w:r>
    </w:p>
    <w:p>
      <w:pPr>
        <w:pStyle w:val="BodyText"/>
        <w:spacing w:line="240" w:lineRule="auto"/>
        <w:ind w:right="0"/>
        <w:jc w:val="left"/>
      </w:pPr>
      <w:r>
        <w:rPr/>
        <w:t>重中之重，同时随着经济和技术的发展，信息技术服务外包逐渐成为趋势，越来越多的客户愿意将全部或</w:t>
      </w:r>
    </w:p>
    <w:p>
      <w:pPr>
        <w:spacing w:after="0" w:line="240" w:lineRule="auto"/>
        <w:jc w:val="left"/>
        <w:sectPr>
          <w:pgSz w:w="11910" w:h="16840"/>
          <w:pgMar w:header="747" w:footer="979" w:top="1060" w:bottom="1160" w:left="980" w:right="0"/>
        </w:sectPr>
      </w:pPr>
    </w:p>
    <w:p>
      <w:pPr>
        <w:spacing w:line="240" w:lineRule="auto" w:before="0"/>
        <w:rPr>
          <w:rFonts w:ascii="宋体" w:hAnsi="宋体" w:cs="宋体" w:eastAsia="宋体" w:hint="default"/>
          <w:sz w:val="20"/>
          <w:szCs w:val="20"/>
        </w:rPr>
      </w:pPr>
    </w:p>
    <w:p>
      <w:pPr>
        <w:pStyle w:val="BodyText"/>
        <w:spacing w:line="408" w:lineRule="auto" w:before="174"/>
        <w:ind w:left="577" w:right="1141" w:hanging="424"/>
        <w:jc w:val="left"/>
      </w:pPr>
      <w:r>
        <w:rPr/>
        <w:t>部分信息技术服务性、支持性的工作包给专业化公司来完成。 得益于公司逐渐完善的运维服务体系，公司报告期实现运维服务部分收入</w:t>
      </w:r>
      <w:r>
        <w:rPr>
          <w:rFonts w:ascii="Times New Roman" w:hAnsi="Times New Roman" w:cs="Times New Roman" w:eastAsia="Times New Roman" w:hint="default"/>
        </w:rPr>
        <w:t>8,505.69</w:t>
      </w:r>
      <w:r>
        <w:rPr/>
        <w:t>万元</w:t>
      </w:r>
      <w:r>
        <w:rPr>
          <w:rFonts w:ascii="Times New Roman" w:hAnsi="Times New Roman" w:cs="Times New Roman" w:eastAsia="Times New Roman" w:hint="default"/>
        </w:rPr>
        <w:t>,</w:t>
      </w:r>
      <w:r>
        <w:rPr/>
        <w:t>相比去年增长</w:t>
      </w:r>
    </w:p>
    <w:p>
      <w:pPr>
        <w:pStyle w:val="BodyText"/>
        <w:spacing w:line="400" w:lineRule="auto" w:before="14"/>
        <w:ind w:right="0"/>
        <w:jc w:val="left"/>
      </w:pPr>
      <w:r>
        <w:rPr>
          <w:rFonts w:ascii="Times New Roman" w:hAnsi="Times New Roman" w:cs="Times New Roman" w:eastAsia="Times New Roman" w:hint="default"/>
        </w:rPr>
        <w:t>30.89%</w:t>
      </w:r>
      <w:r>
        <w:rPr/>
        <w:t>。公司近几年从建立全国统一服务热线着手，导入</w:t>
      </w:r>
      <w:r>
        <w:rPr>
          <w:rFonts w:ascii="Times New Roman" w:hAnsi="Times New Roman" w:cs="Times New Roman" w:eastAsia="Times New Roman" w:hint="default"/>
        </w:rPr>
        <w:t>ITSS</w:t>
      </w:r>
      <w:r>
        <w:rPr/>
        <w:t>运维服务体系，优化客服中心架构，设立运 维支持部主管运维服务全流程业务。在运维支持部下设服务台、运维工具运营管理、运维服务管理，同时 在二线工程师设立服务器、数据库、存储专职工程师，为用户提供软硬件产品维保服务、资源负载服务、</w:t>
      </w:r>
      <w:r>
        <w:rPr>
          <w:spacing w:val="-38"/>
        </w:rPr>
        <w:t> </w:t>
      </w:r>
      <w:r>
        <w:rPr>
          <w:spacing w:val="-38"/>
        </w:rPr>
      </w:r>
      <w:r>
        <w:rPr/>
        <w:t>集群服务、数据迁移服务等工作。通过建立呼叫中心服务台、知识库、备品备件库等资源，设立多个运维</w:t>
      </w:r>
      <w:r>
        <w:rPr/>
        <w:t> 层次工程师，采用全国统一服务监控、一线</w:t>
      </w:r>
      <w:r>
        <w:rPr>
          <w:rFonts w:ascii="Times New Roman" w:hAnsi="Times New Roman" w:cs="Times New Roman" w:eastAsia="Times New Roman" w:hint="default"/>
        </w:rPr>
        <w:t>+</w:t>
      </w:r>
      <w:r>
        <w:rPr/>
        <w:t>二线的服务模式为用户提供在线、上门服务、评价体系，建 立完整的服务闭合环。</w:t>
      </w:r>
    </w:p>
    <w:p>
      <w:pPr>
        <w:pStyle w:val="BodyText"/>
        <w:spacing w:line="408" w:lineRule="auto" w:before="52"/>
        <w:ind w:right="1131" w:firstLine="423"/>
        <w:jc w:val="both"/>
      </w:pPr>
      <w:r>
        <w:rPr>
          <w:spacing w:val="-1"/>
        </w:rPr>
        <w:t>公司在为客户提供优质的产品之后，能通过“无感知”服务模式尽早规避风险的发生，在线报修系统</w:t>
      </w:r>
      <w:r>
        <w:rPr/>
        <w:t> </w:t>
      </w:r>
      <w:r>
        <w:rPr>
          <w:spacing w:val="-1"/>
        </w:rPr>
        <w:t>管理后台合理分配维修人员、新开普“服务宝”（手机移动端服务）实时监测系统运行、便捷报修等服务</w:t>
      </w:r>
      <w:r>
        <w:rPr>
          <w:spacing w:val="-83"/>
        </w:rPr>
        <w:t> </w:t>
      </w:r>
      <w:r>
        <w:rPr>
          <w:spacing w:val="-83"/>
        </w:rPr>
      </w:r>
      <w:r>
        <w:rPr/>
        <w:t>模式为客户提供全面、便捷长期的售后维护工作，让客户无后顾之忧。</w:t>
      </w:r>
    </w:p>
    <w:p>
      <w:pPr>
        <w:pStyle w:val="BodyText"/>
        <w:spacing w:line="393" w:lineRule="auto"/>
        <w:ind w:right="1131" w:firstLine="423"/>
        <w:jc w:val="both"/>
      </w:pPr>
      <w:r>
        <w:rPr>
          <w:spacing w:val="-1"/>
        </w:rPr>
        <w:t>回顾</w:t>
      </w:r>
      <w:r>
        <w:rPr>
          <w:rFonts w:ascii="Times New Roman" w:hAnsi="Times New Roman" w:cs="Times New Roman" w:eastAsia="Times New Roman" w:hint="default"/>
          <w:spacing w:val="-1"/>
        </w:rPr>
        <w:t>2018</w:t>
      </w:r>
      <w:r>
        <w:rPr>
          <w:spacing w:val="-1"/>
        </w:rPr>
        <w:t>年，公司通过以互联网运营思维为核心的解决方案输出，进行多业务融合发展，向客户进行</w:t>
      </w:r>
      <w:r>
        <w:rPr/>
        <w:t> </w:t>
      </w:r>
      <w:r>
        <w:rPr>
          <w:spacing w:val="-1"/>
        </w:rPr>
        <w:t>科技赋能，在智慧校园应用解决方案、智慧校园云平台整体方案、基于</w:t>
      </w:r>
      <w:r>
        <w:rPr>
          <w:rFonts w:ascii="Times New Roman" w:hAnsi="Times New Roman" w:cs="Times New Roman" w:eastAsia="Times New Roman" w:hint="default"/>
          <w:spacing w:val="-1"/>
        </w:rPr>
        <w:t>SaaS</w:t>
      </w:r>
      <w:r>
        <w:rPr>
          <w:spacing w:val="-1"/>
        </w:rPr>
        <w:t>的多维度运维服务等多个业务</w:t>
      </w:r>
      <w:r>
        <w:rPr>
          <w:spacing w:val="-83"/>
        </w:rPr>
        <w:t> </w:t>
      </w:r>
      <w:r>
        <w:rPr>
          <w:spacing w:val="-1"/>
        </w:rPr>
        <w:t>环节上取得了突破，获得了快速的增长同时也为未来开拓了诸多的增长点，为公司快速转型为教育信息化</w:t>
      </w:r>
      <w:r>
        <w:rPr>
          <w:spacing w:val="-81"/>
        </w:rPr>
        <w:t> </w:t>
      </w:r>
      <w:r>
        <w:rPr>
          <w:spacing w:val="-81"/>
        </w:rPr>
      </w:r>
      <w:r>
        <w:rPr/>
        <w:t>行业产业互联网、物联网科技服务公司奠定了良好的基础。</w:t>
      </w:r>
    </w:p>
    <w:p>
      <w:pPr>
        <w:spacing w:line="240" w:lineRule="auto" w:before="11"/>
        <w:rPr>
          <w:rFonts w:ascii="宋体" w:hAnsi="宋体" w:cs="宋体" w:eastAsia="宋体" w:hint="default"/>
          <w:sz w:val="19"/>
          <w:szCs w:val="19"/>
        </w:rPr>
      </w:pPr>
    </w:p>
    <w:p>
      <w:pPr>
        <w:pStyle w:val="Heading2"/>
        <w:spacing w:line="240" w:lineRule="auto"/>
        <w:ind w:right="1117"/>
        <w:jc w:val="left"/>
        <w:rPr>
          <w:b w:val="0"/>
          <w:bCs w:val="0"/>
        </w:rPr>
      </w:pPr>
      <w:bookmarkStart w:name="二、主营业务分析" w:id="24"/>
      <w:bookmarkEnd w:id="24"/>
      <w:r>
        <w:rPr>
          <w:b w:val="0"/>
          <w:bCs w:val="0"/>
        </w:rPr>
      </w:r>
      <w:r>
        <w:rPr/>
        <w:t>二、主营业务分析</w:t>
      </w:r>
      <w:r>
        <w:rPr>
          <w:b w:val="0"/>
          <w:bCs w:val="0"/>
        </w:rPr>
      </w:r>
    </w:p>
    <w:p>
      <w:pPr>
        <w:spacing w:line="240" w:lineRule="auto" w:before="8"/>
        <w:rPr>
          <w:rFonts w:ascii="宋体" w:hAnsi="宋体" w:cs="宋体" w:eastAsia="宋体" w:hint="default"/>
          <w:b/>
          <w:bCs/>
          <w:sz w:val="24"/>
          <w:szCs w:val="24"/>
        </w:rPr>
      </w:pPr>
    </w:p>
    <w:p>
      <w:pPr>
        <w:spacing w:line="544" w:lineRule="auto" w:before="0"/>
        <w:ind w:left="154" w:right="6472" w:firstLine="0"/>
        <w:jc w:val="left"/>
        <w:rPr>
          <w:rFonts w:ascii="宋体" w:hAnsi="宋体" w:cs="宋体" w:eastAsia="宋体" w:hint="default"/>
          <w:sz w:val="21"/>
          <w:szCs w:val="21"/>
        </w:rPr>
      </w:pPr>
      <w:bookmarkStart w:name="1、概述" w:id="25"/>
      <w:bookmarkEnd w:id="25"/>
      <w:r>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、概述</w:t>
      </w:r>
      <w:r>
        <w:rPr>
          <w:rFonts w:ascii="宋体" w:hAnsi="宋体" w:cs="宋体" w:eastAsia="宋体" w:hint="default"/>
          <w:b/>
          <w:bCs/>
          <w:spacing w:val="1"/>
          <w:w w:val="99"/>
          <w:sz w:val="21"/>
          <w:szCs w:val="21"/>
        </w:rPr>
        <w:t> </w:t>
      </w:r>
      <w:r>
        <w:rPr>
          <w:rFonts w:ascii="宋体" w:hAnsi="宋体" w:cs="宋体" w:eastAsia="宋体" w:hint="default"/>
          <w:sz w:val="18"/>
          <w:szCs w:val="18"/>
        </w:rPr>
        <w:t>参见</w:t>
      </w:r>
      <w:r>
        <w:rPr>
          <w:rFonts w:ascii="Times New Roman" w:hAnsi="Times New Roman" w:cs="Times New Roman" w:eastAsia="Times New Roman" w:hint="default"/>
          <w:sz w:val="18"/>
          <w:szCs w:val="18"/>
        </w:rPr>
        <w:t>“</w:t>
      </w:r>
      <w:r>
        <w:rPr>
          <w:rFonts w:ascii="宋体" w:hAnsi="宋体" w:cs="宋体" w:eastAsia="宋体" w:hint="default"/>
          <w:sz w:val="18"/>
          <w:szCs w:val="18"/>
        </w:rPr>
        <w:t>经营情况讨论与分析</w:t>
      </w:r>
      <w:r>
        <w:rPr>
          <w:rFonts w:ascii="Times New Roman" w:hAnsi="Times New Roman" w:cs="Times New Roman" w:eastAsia="Times New Roman" w:hint="default"/>
          <w:sz w:val="18"/>
          <w:szCs w:val="18"/>
        </w:rPr>
        <w:t>”</w:t>
      </w:r>
      <w:r>
        <w:rPr>
          <w:rFonts w:ascii="宋体" w:hAnsi="宋体" w:cs="宋体" w:eastAsia="宋体" w:hint="default"/>
          <w:sz w:val="18"/>
          <w:szCs w:val="18"/>
        </w:rPr>
        <w:t>中的</w:t>
      </w:r>
      <w:r>
        <w:rPr>
          <w:rFonts w:ascii="Times New Roman" w:hAnsi="Times New Roman" w:cs="Times New Roman" w:eastAsia="Times New Roman" w:hint="default"/>
          <w:sz w:val="18"/>
          <w:szCs w:val="18"/>
        </w:rPr>
        <w:t>“</w:t>
      </w:r>
      <w:r>
        <w:rPr>
          <w:rFonts w:ascii="宋体" w:hAnsi="宋体" w:cs="宋体" w:eastAsia="宋体" w:hint="default"/>
          <w:sz w:val="18"/>
          <w:szCs w:val="18"/>
        </w:rPr>
        <w:t>一、概述</w:t>
      </w:r>
      <w:r>
        <w:rPr>
          <w:rFonts w:ascii="Times New Roman" w:hAnsi="Times New Roman" w:cs="Times New Roman" w:eastAsia="Times New Roman" w:hint="default"/>
          <w:sz w:val="18"/>
          <w:szCs w:val="18"/>
        </w:rPr>
        <w:t>”</w:t>
      </w:r>
      <w:r>
        <w:rPr>
          <w:rFonts w:ascii="宋体" w:hAnsi="宋体" w:cs="宋体" w:eastAsia="宋体" w:hint="default"/>
          <w:sz w:val="18"/>
          <w:szCs w:val="18"/>
        </w:rPr>
        <w:t>相关内容。 </w:t>
      </w:r>
      <w:bookmarkStart w:name="2、收入与成本" w:id="26"/>
      <w:bookmarkEnd w:id="26"/>
      <w:r>
        <w:rPr>
          <w:rFonts w:ascii="宋体" w:hAnsi="宋体" w:cs="宋体" w:eastAsia="宋体" w:hint="default"/>
          <w:sz w:val="18"/>
          <w:szCs w:val="18"/>
        </w:rPr>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、收入与成本</w:t>
      </w:r>
      <w:r>
        <w:rPr>
          <w:rFonts w:ascii="宋体" w:hAnsi="宋体" w:cs="宋体" w:eastAsia="宋体" w:hint="default"/>
          <w:sz w:val="21"/>
          <w:szCs w:val="21"/>
        </w:rPr>
      </w:r>
    </w:p>
    <w:p>
      <w:pPr>
        <w:pStyle w:val="Heading4"/>
        <w:spacing w:line="240" w:lineRule="auto" w:before="28"/>
        <w:ind w:right="1117"/>
        <w:jc w:val="left"/>
        <w:rPr>
          <w:b w:val="0"/>
          <w:bCs w:val="0"/>
        </w:rPr>
      </w:pPr>
      <w:bookmarkStart w:name="（1）营业收入构成" w:id="27"/>
      <w:bookmarkEnd w:id="27"/>
      <w:r>
        <w:rPr>
          <w:b w:val="0"/>
          <w:bCs w:val="0"/>
        </w:rPr>
      </w:r>
      <w:r>
        <w:rPr/>
        <w:t>（</w:t>
      </w:r>
      <w:r>
        <w:rPr>
          <w:rFonts w:ascii="Times New Roman" w:hAnsi="Times New Roman" w:cs="Times New Roman" w:eastAsia="Times New Roman" w:hint="default"/>
        </w:rPr>
        <w:t>1</w:t>
      </w:r>
      <w:r>
        <w:rPr/>
        <w:t>）营业收入构成</w:t>
      </w:r>
      <w:r>
        <w:rPr>
          <w:b w:val="0"/>
          <w:bCs w:val="0"/>
        </w:rPr>
      </w:r>
    </w:p>
    <w:p>
      <w:pPr>
        <w:spacing w:line="240" w:lineRule="auto" w:before="8"/>
        <w:rPr>
          <w:rFonts w:ascii="宋体" w:hAnsi="宋体" w:cs="宋体" w:eastAsia="宋体" w:hint="default"/>
          <w:b/>
          <w:bCs/>
          <w:sz w:val="26"/>
          <w:szCs w:val="26"/>
        </w:rPr>
      </w:pPr>
    </w:p>
    <w:p>
      <w:pPr>
        <w:spacing w:line="360" w:lineRule="auto" w:before="0"/>
        <w:ind w:left="154" w:right="6972" w:firstLine="0"/>
        <w:jc w:val="left"/>
        <w:rPr>
          <w:rFonts w:ascii="宋体" w:hAnsi="宋体" w:cs="宋体" w:eastAsia="宋体" w:hint="default"/>
          <w:sz w:val="18"/>
          <w:szCs w:val="18"/>
        </w:rPr>
      </w:pPr>
      <w:r>
        <w:rPr>
          <w:rFonts w:ascii="宋体" w:hAnsi="宋体" w:cs="宋体" w:eastAsia="宋体" w:hint="default"/>
          <w:sz w:val="18"/>
          <w:szCs w:val="18"/>
        </w:rPr>
        <w:t>公司是否需要遵守光伏产业链相关业的披露要求 否</w:t>
      </w:r>
    </w:p>
    <w:p>
      <w:pPr>
        <w:spacing w:line="338" w:lineRule="auto" w:before="26"/>
        <w:ind w:left="154" w:right="1393" w:firstLine="0"/>
        <w:jc w:val="left"/>
        <w:rPr>
          <w:rFonts w:ascii="宋体" w:hAnsi="宋体" w:cs="宋体" w:eastAsia="宋体" w:hint="default"/>
          <w:sz w:val="18"/>
          <w:szCs w:val="18"/>
        </w:rPr>
      </w:pPr>
      <w:r>
        <w:rPr>
          <w:rFonts w:ascii="宋体" w:hAnsi="宋体" w:cs="宋体" w:eastAsia="宋体" w:hint="default"/>
          <w:sz w:val="18"/>
          <w:szCs w:val="18"/>
        </w:rPr>
        <w:t>公司是否需遵守《深圳证券交易所创业板行业信息披露指引第</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w:t>
      </w:r>
      <w:r>
        <w:rPr>
          <w:rFonts w:ascii="Times New Roman" w:hAnsi="Times New Roman" w:cs="Times New Roman" w:eastAsia="Times New Roman" w:hint="default"/>
          <w:sz w:val="18"/>
          <w:szCs w:val="18"/>
        </w:rPr>
        <w:t>——</w:t>
      </w:r>
      <w:r>
        <w:rPr>
          <w:rFonts w:ascii="宋体" w:hAnsi="宋体" w:cs="宋体" w:eastAsia="宋体" w:hint="default"/>
          <w:sz w:val="18"/>
          <w:szCs w:val="18"/>
        </w:rPr>
        <w:t>上市公司从事广播电影电视业务》的披露要求： 否</w:t>
      </w:r>
    </w:p>
    <w:p>
      <w:pPr>
        <w:spacing w:line="338" w:lineRule="auto" w:before="43"/>
        <w:ind w:left="154" w:right="1573" w:firstLine="0"/>
        <w:jc w:val="left"/>
        <w:rPr>
          <w:rFonts w:ascii="宋体" w:hAnsi="宋体" w:cs="宋体" w:eastAsia="宋体" w:hint="default"/>
          <w:sz w:val="18"/>
          <w:szCs w:val="18"/>
        </w:rPr>
      </w:pPr>
      <w:r>
        <w:rPr>
          <w:rFonts w:ascii="宋体" w:hAnsi="宋体" w:cs="宋体" w:eastAsia="宋体" w:hint="default"/>
          <w:sz w:val="18"/>
          <w:szCs w:val="18"/>
        </w:rPr>
        <w:t>公司是否需遵守《深圳证券交易所创业板行业信息披露指引第</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w:t>
      </w:r>
      <w:r>
        <w:rPr>
          <w:rFonts w:ascii="Times New Roman" w:hAnsi="Times New Roman" w:cs="Times New Roman" w:eastAsia="Times New Roman" w:hint="default"/>
          <w:sz w:val="18"/>
          <w:szCs w:val="18"/>
        </w:rPr>
        <w:t>——</w:t>
      </w:r>
      <w:r>
        <w:rPr>
          <w:rFonts w:ascii="宋体" w:hAnsi="宋体" w:cs="宋体" w:eastAsia="宋体" w:hint="default"/>
          <w:sz w:val="18"/>
          <w:szCs w:val="18"/>
        </w:rPr>
        <w:t>上市公司从事互联网游戏业务》的披露要求： 否</w:t>
      </w:r>
    </w:p>
    <w:p>
      <w:pPr>
        <w:spacing w:line="340" w:lineRule="auto" w:before="42"/>
        <w:ind w:left="154" w:right="1135" w:firstLine="0"/>
        <w:jc w:val="left"/>
        <w:rPr>
          <w:rFonts w:ascii="宋体" w:hAnsi="宋体" w:cs="宋体" w:eastAsia="宋体" w:hint="default"/>
          <w:sz w:val="18"/>
          <w:szCs w:val="18"/>
        </w:rPr>
      </w:pPr>
      <w:r>
        <w:rPr>
          <w:rFonts w:ascii="宋体" w:hAnsi="宋体" w:cs="宋体" w:eastAsia="宋体" w:hint="default"/>
          <w:sz w:val="18"/>
          <w:szCs w:val="18"/>
        </w:rPr>
        <w:t>公司是否需遵守《深圳证券交易所创业板行业信息披露指引第</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w:t>
      </w:r>
      <w:r>
        <w:rPr>
          <w:rFonts w:ascii="Times New Roman" w:hAnsi="Times New Roman" w:cs="Times New Roman" w:eastAsia="Times New Roman" w:hint="default"/>
          <w:sz w:val="18"/>
          <w:szCs w:val="18"/>
        </w:rPr>
        <w:t>——</w:t>
      </w:r>
      <w:r>
        <w:rPr>
          <w:rFonts w:ascii="宋体" w:hAnsi="宋体" w:cs="宋体" w:eastAsia="宋体" w:hint="default"/>
          <w:sz w:val="18"/>
          <w:szCs w:val="18"/>
        </w:rPr>
        <w:t>上市公司从事</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LED</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产业链相关业务》的披露要求： 否</w:t>
      </w:r>
    </w:p>
    <w:p>
      <w:pPr>
        <w:spacing w:line="338" w:lineRule="auto" w:before="40"/>
        <w:ind w:left="154" w:right="1663" w:firstLine="0"/>
        <w:jc w:val="left"/>
        <w:rPr>
          <w:rFonts w:ascii="宋体" w:hAnsi="宋体" w:cs="宋体" w:eastAsia="宋体" w:hint="default"/>
          <w:sz w:val="18"/>
          <w:szCs w:val="18"/>
        </w:rPr>
      </w:pPr>
      <w:r>
        <w:rPr>
          <w:rFonts w:ascii="宋体" w:hAnsi="宋体" w:cs="宋体" w:eastAsia="宋体" w:hint="default"/>
          <w:sz w:val="18"/>
          <w:szCs w:val="18"/>
        </w:rPr>
        <w:t>公司是否需遵守《深圳证券交易所创业板行业信息披露指引第</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w:t>
      </w:r>
      <w:r>
        <w:rPr>
          <w:rFonts w:ascii="Times New Roman" w:hAnsi="Times New Roman" w:cs="Times New Roman" w:eastAsia="Times New Roman" w:hint="default"/>
          <w:sz w:val="18"/>
          <w:szCs w:val="18"/>
        </w:rPr>
        <w:t>——</w:t>
      </w:r>
      <w:r>
        <w:rPr>
          <w:rFonts w:ascii="宋体" w:hAnsi="宋体" w:cs="宋体" w:eastAsia="宋体" w:hint="default"/>
          <w:sz w:val="18"/>
          <w:szCs w:val="18"/>
        </w:rPr>
        <w:t>上市公司从事医疗器械业务》的披露要求： 否</w:t>
      </w:r>
    </w:p>
    <w:p>
      <w:pPr>
        <w:spacing w:after="0" w:line="338" w:lineRule="auto"/>
        <w:jc w:val="left"/>
        <w:rPr>
          <w:rFonts w:ascii="宋体" w:hAnsi="宋体" w:cs="宋体" w:eastAsia="宋体" w:hint="default"/>
          <w:sz w:val="18"/>
          <w:szCs w:val="18"/>
        </w:rPr>
        <w:sectPr>
          <w:pgSz w:w="11910" w:h="16840"/>
          <w:pgMar w:header="747" w:footer="979" w:top="1060" w:bottom="1160" w:left="980" w:right="0"/>
        </w:sectPr>
      </w:pPr>
    </w:p>
    <w:p>
      <w:pPr>
        <w:spacing w:line="240" w:lineRule="auto" w:before="13"/>
        <w:rPr>
          <w:rFonts w:ascii="宋体" w:hAnsi="宋体" w:cs="宋体" w:eastAsia="宋体" w:hint="default"/>
          <w:sz w:val="25"/>
          <w:szCs w:val="25"/>
        </w:rPr>
      </w:pPr>
    </w:p>
    <w:p>
      <w:pPr>
        <w:spacing w:line="338" w:lineRule="auto" w:before="44"/>
        <w:ind w:left="154" w:right="1663" w:firstLine="0"/>
        <w:jc w:val="left"/>
        <w:rPr>
          <w:rFonts w:ascii="宋体" w:hAnsi="宋体" w:cs="宋体" w:eastAsia="宋体" w:hint="default"/>
          <w:sz w:val="18"/>
          <w:szCs w:val="18"/>
        </w:rPr>
      </w:pPr>
      <w:r>
        <w:rPr>
          <w:rFonts w:ascii="宋体" w:hAnsi="宋体" w:cs="宋体" w:eastAsia="宋体" w:hint="default"/>
          <w:sz w:val="18"/>
          <w:szCs w:val="18"/>
        </w:rPr>
        <w:t>公司是否需遵守《深圳证券交易所行业信息披露指引第</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w:t>
      </w:r>
      <w:r>
        <w:rPr>
          <w:rFonts w:ascii="Times New Roman" w:hAnsi="Times New Roman" w:cs="Times New Roman" w:eastAsia="Times New Roman" w:hint="default"/>
          <w:sz w:val="18"/>
          <w:szCs w:val="18"/>
        </w:rPr>
        <w:t>——</w:t>
      </w:r>
      <w:r>
        <w:rPr>
          <w:rFonts w:ascii="宋体" w:hAnsi="宋体" w:cs="宋体" w:eastAsia="宋体" w:hint="default"/>
          <w:sz w:val="18"/>
          <w:szCs w:val="18"/>
        </w:rPr>
        <w:t>上市公司从软件与信息技术服务业务》的披露要求 否</w:t>
      </w:r>
    </w:p>
    <w:p>
      <w:pPr>
        <w:spacing w:before="43"/>
        <w:ind w:left="154" w:right="1117" w:firstLine="0"/>
        <w:jc w:val="left"/>
        <w:rPr>
          <w:rFonts w:ascii="宋体" w:hAnsi="宋体" w:cs="宋体" w:eastAsia="宋体" w:hint="default"/>
          <w:sz w:val="18"/>
          <w:szCs w:val="18"/>
        </w:rPr>
      </w:pPr>
      <w:r>
        <w:rPr>
          <w:rFonts w:ascii="宋体" w:hAnsi="宋体" w:cs="宋体" w:eastAsia="宋体" w:hint="default"/>
          <w:sz w:val="18"/>
          <w:szCs w:val="18"/>
        </w:rPr>
        <w:t>营业收入整体情况</w:t>
      </w:r>
    </w:p>
    <w:p>
      <w:pPr>
        <w:spacing w:before="116"/>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596"/>
        <w:gridCol w:w="1597"/>
        <w:gridCol w:w="1592"/>
        <w:gridCol w:w="1597"/>
        <w:gridCol w:w="1588"/>
        <w:gridCol w:w="1598"/>
      </w:tblGrid>
      <w:tr>
        <w:trPr>
          <w:trHeight w:val="206" w:hRule="exact"/>
        </w:trPr>
        <w:tc>
          <w:tcPr>
            <w:tcW w:w="1596" w:type="dxa"/>
            <w:tcBorders>
              <w:top w:val="single" w:sz="4" w:space="0" w:color="000000"/>
              <w:left w:val="single" w:sz="4" w:space="0" w:color="000000"/>
              <w:bottom w:val="nil" w:sz="6" w:space="0" w:color="auto"/>
              <w:right w:val="single" w:sz="4" w:space="0" w:color="000000"/>
            </w:tcBorders>
            <w:shd w:val="clear" w:color="auto" w:fill="D2D2D2"/>
          </w:tcPr>
          <w:p>
            <w:pPr/>
          </w:p>
        </w:tc>
        <w:tc>
          <w:tcPr>
            <w:tcW w:w="3189"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3185"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98"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96" w:hRule="exact"/>
        </w:trPr>
        <w:tc>
          <w:tcPr>
            <w:tcW w:w="1596" w:type="dxa"/>
            <w:vMerge w:val="restart"/>
            <w:tcBorders>
              <w:top w:val="nil" w:sz="6" w:space="0" w:color="auto"/>
              <w:left w:val="single" w:sz="4" w:space="0" w:color="000000"/>
              <w:right w:val="single" w:sz="4" w:space="0" w:color="000000"/>
            </w:tcBorders>
            <w:shd w:val="clear" w:color="auto" w:fill="D2D2D2"/>
          </w:tcPr>
          <w:p>
            <w:pPr/>
          </w:p>
        </w:tc>
        <w:tc>
          <w:tcPr>
            <w:tcW w:w="3189" w:type="dxa"/>
            <w:gridSpan w:val="2"/>
            <w:vMerge/>
            <w:tcBorders>
              <w:left w:val="single" w:sz="4" w:space="0" w:color="000000"/>
              <w:bottom w:val="single" w:sz="4" w:space="0" w:color="000000"/>
              <w:right w:val="single" w:sz="4" w:space="0" w:color="000000"/>
            </w:tcBorders>
            <w:shd w:val="clear" w:color="auto" w:fill="D2D2D2"/>
          </w:tcPr>
          <w:p>
            <w:pPr/>
          </w:p>
        </w:tc>
        <w:tc>
          <w:tcPr>
            <w:tcW w:w="3185" w:type="dxa"/>
            <w:gridSpan w:val="2"/>
            <w:vMerge/>
            <w:tcBorders>
              <w:left w:val="single" w:sz="4" w:space="0" w:color="000000"/>
              <w:bottom w:val="single" w:sz="4" w:space="0" w:color="000000"/>
              <w:right w:val="single" w:sz="4" w:space="0" w:color="000000"/>
            </w:tcBorders>
            <w:shd w:val="clear" w:color="auto" w:fill="D2D2D2"/>
          </w:tcPr>
          <w:p>
            <w:pPr/>
          </w:p>
        </w:tc>
        <w:tc>
          <w:tcPr>
            <w:tcW w:w="159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436" w:right="0"/>
              <w:jc w:val="left"/>
              <w:rPr>
                <w:rFonts w:ascii="宋体" w:hAnsi="宋体" w:cs="宋体" w:eastAsia="宋体" w:hint="default"/>
                <w:sz w:val="18"/>
                <w:szCs w:val="18"/>
              </w:rPr>
            </w:pPr>
            <w:r>
              <w:rPr>
                <w:rFonts w:ascii="宋体" w:hAnsi="宋体" w:cs="宋体" w:eastAsia="宋体" w:hint="default"/>
                <w:sz w:val="18"/>
                <w:szCs w:val="18"/>
              </w:rPr>
              <w:t>同比增减</w:t>
            </w:r>
          </w:p>
        </w:tc>
      </w:tr>
      <w:tr>
        <w:trPr>
          <w:trHeight w:val="196" w:hRule="exact"/>
        </w:trPr>
        <w:tc>
          <w:tcPr>
            <w:tcW w:w="1596" w:type="dxa"/>
            <w:vMerge/>
            <w:tcBorders>
              <w:left w:val="single" w:sz="4" w:space="0" w:color="000000"/>
              <w:bottom w:val="nil" w:sz="6" w:space="0" w:color="auto"/>
              <w:right w:val="single" w:sz="4" w:space="0" w:color="000000"/>
            </w:tcBorders>
            <w:shd w:val="clear" w:color="auto" w:fill="D2D2D2"/>
          </w:tcPr>
          <w:p>
            <w:pPr/>
          </w:p>
        </w:tc>
        <w:tc>
          <w:tcPr>
            <w:tcW w:w="15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2"/>
              <w:jc w:val="center"/>
              <w:rPr>
                <w:rFonts w:ascii="宋体" w:hAnsi="宋体" w:cs="宋体" w:eastAsia="宋体" w:hint="default"/>
                <w:sz w:val="18"/>
                <w:szCs w:val="18"/>
              </w:rPr>
            </w:pPr>
            <w:r>
              <w:rPr>
                <w:rFonts w:ascii="宋体" w:hAnsi="宋体" w:cs="宋体" w:eastAsia="宋体" w:hint="default"/>
                <w:sz w:val="18"/>
                <w:szCs w:val="18"/>
              </w:rPr>
              <w:t>金额</w:t>
            </w:r>
          </w:p>
        </w:tc>
        <w:tc>
          <w:tcPr>
            <w:tcW w:w="159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160" w:right="0"/>
              <w:jc w:val="left"/>
              <w:rPr>
                <w:rFonts w:ascii="宋体" w:hAnsi="宋体" w:cs="宋体" w:eastAsia="宋体" w:hint="default"/>
                <w:sz w:val="18"/>
                <w:szCs w:val="18"/>
              </w:rPr>
            </w:pPr>
            <w:r>
              <w:rPr>
                <w:rFonts w:ascii="宋体" w:hAnsi="宋体" w:cs="宋体" w:eastAsia="宋体" w:hint="default"/>
                <w:sz w:val="18"/>
                <w:szCs w:val="18"/>
              </w:rPr>
              <w:t>占营业收入比重</w:t>
            </w:r>
          </w:p>
        </w:tc>
        <w:tc>
          <w:tcPr>
            <w:tcW w:w="15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58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159" w:right="0"/>
              <w:jc w:val="left"/>
              <w:rPr>
                <w:rFonts w:ascii="宋体" w:hAnsi="宋体" w:cs="宋体" w:eastAsia="宋体" w:hint="default"/>
                <w:sz w:val="18"/>
                <w:szCs w:val="18"/>
              </w:rPr>
            </w:pPr>
            <w:r>
              <w:rPr>
                <w:rFonts w:ascii="宋体" w:hAnsi="宋体" w:cs="宋体" w:eastAsia="宋体" w:hint="default"/>
                <w:sz w:val="18"/>
                <w:szCs w:val="18"/>
              </w:rPr>
              <w:t>占营业收入比重</w:t>
            </w:r>
          </w:p>
        </w:tc>
        <w:tc>
          <w:tcPr>
            <w:tcW w:w="1598" w:type="dxa"/>
            <w:vMerge/>
            <w:tcBorders>
              <w:left w:val="single" w:sz="4" w:space="0" w:color="000000"/>
              <w:bottom w:val="nil" w:sz="6" w:space="0" w:color="auto"/>
              <w:right w:val="single" w:sz="4" w:space="0" w:color="000000"/>
            </w:tcBorders>
            <w:shd w:val="clear" w:color="auto" w:fill="D2D2D2"/>
          </w:tcPr>
          <w:p>
            <w:pPr/>
          </w:p>
        </w:tc>
      </w:tr>
      <w:tr>
        <w:trPr>
          <w:trHeight w:val="205" w:hRule="exact"/>
        </w:trPr>
        <w:tc>
          <w:tcPr>
            <w:tcW w:w="1596" w:type="dxa"/>
            <w:tcBorders>
              <w:top w:val="nil" w:sz="6" w:space="0" w:color="auto"/>
              <w:left w:val="single" w:sz="4" w:space="0" w:color="000000"/>
              <w:bottom w:val="single" w:sz="4" w:space="0" w:color="000000"/>
              <w:right w:val="single" w:sz="4" w:space="0" w:color="000000"/>
            </w:tcBorders>
            <w:shd w:val="clear" w:color="auto" w:fill="D2D2D2"/>
          </w:tcPr>
          <w:p>
            <w:pPr/>
          </w:p>
        </w:tc>
        <w:tc>
          <w:tcPr>
            <w:tcW w:w="1597" w:type="dxa"/>
            <w:vMerge/>
            <w:tcBorders>
              <w:left w:val="single" w:sz="4" w:space="0" w:color="000000"/>
              <w:bottom w:val="single" w:sz="4" w:space="0" w:color="000000"/>
              <w:right w:val="single" w:sz="4" w:space="0" w:color="000000"/>
            </w:tcBorders>
            <w:shd w:val="clear" w:color="auto" w:fill="D2D2D2"/>
          </w:tcPr>
          <w:p>
            <w:pPr/>
          </w:p>
        </w:tc>
        <w:tc>
          <w:tcPr>
            <w:tcW w:w="1592" w:type="dxa"/>
            <w:vMerge/>
            <w:tcBorders>
              <w:left w:val="single" w:sz="4" w:space="0" w:color="000000"/>
              <w:bottom w:val="single" w:sz="4" w:space="0" w:color="000000"/>
              <w:right w:val="single" w:sz="4" w:space="0" w:color="000000"/>
            </w:tcBorders>
            <w:shd w:val="clear" w:color="auto" w:fill="D2D2D2"/>
          </w:tcPr>
          <w:p>
            <w:pPr/>
          </w:p>
        </w:tc>
        <w:tc>
          <w:tcPr>
            <w:tcW w:w="1597" w:type="dxa"/>
            <w:vMerge/>
            <w:tcBorders>
              <w:left w:val="single" w:sz="4" w:space="0" w:color="000000"/>
              <w:bottom w:val="single" w:sz="4" w:space="0" w:color="000000"/>
              <w:right w:val="single" w:sz="4" w:space="0" w:color="000000"/>
            </w:tcBorders>
            <w:shd w:val="clear" w:color="auto" w:fill="D2D2D2"/>
          </w:tcPr>
          <w:p>
            <w:pPr/>
          </w:p>
        </w:tc>
        <w:tc>
          <w:tcPr>
            <w:tcW w:w="1588" w:type="dxa"/>
            <w:vMerge/>
            <w:tcBorders>
              <w:left w:val="single" w:sz="4" w:space="0" w:color="000000"/>
              <w:bottom w:val="single" w:sz="4" w:space="0" w:color="000000"/>
              <w:right w:val="single" w:sz="4" w:space="0" w:color="000000"/>
            </w:tcBorders>
            <w:shd w:val="clear" w:color="auto" w:fill="D2D2D2"/>
          </w:tcPr>
          <w:p>
            <w:pPr/>
          </w:p>
        </w:tc>
        <w:tc>
          <w:tcPr>
            <w:tcW w:w="1598"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408" w:hRule="exact"/>
        </w:trPr>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营业收入合计</w:t>
            </w:r>
          </w:p>
        </w:tc>
        <w:tc>
          <w:tcPr>
            <w:tcW w:w="1597" w:type="dxa"/>
            <w:tcBorders>
              <w:top w:val="single" w:sz="4" w:space="0" w:color="000000"/>
              <w:left w:val="single" w:sz="13" w:space="0" w:color="D2D2D2"/>
              <w:bottom w:val="single" w:sz="4" w:space="0" w:color="000000"/>
              <w:right w:val="single" w:sz="10" w:space="0" w:color="D2D2D2"/>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pacing w:val="-1"/>
                <w:sz w:val="18"/>
              </w:rPr>
              <w:t>837,627,576.70</w:t>
            </w:r>
          </w:p>
        </w:tc>
        <w:tc>
          <w:tcPr>
            <w:tcW w:w="15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w w:val="95"/>
                <w:sz w:val="18"/>
              </w:rPr>
              <w:t>100%</w:t>
            </w:r>
            <w:r>
              <w:rPr>
                <w:rFonts w:ascii="Times New Roman"/>
                <w:sz w:val="18"/>
              </w:rPr>
            </w:r>
          </w:p>
        </w:tc>
        <w:tc>
          <w:tcPr>
            <w:tcW w:w="1597" w:type="dxa"/>
            <w:tcBorders>
              <w:top w:val="single" w:sz="4" w:space="0" w:color="000000"/>
              <w:left w:val="single" w:sz="13" w:space="0" w:color="D2D2D2"/>
              <w:bottom w:val="single" w:sz="4" w:space="0" w:color="000000"/>
              <w:right w:val="single" w:sz="9" w:space="0" w:color="D2D2D2"/>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pacing w:val="-1"/>
                <w:sz w:val="18"/>
              </w:rPr>
              <w:t>769,619,720.03</w:t>
            </w:r>
          </w:p>
        </w:tc>
        <w:tc>
          <w:tcPr>
            <w:tcW w:w="15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w w:val="95"/>
                <w:sz w:val="18"/>
              </w:rPr>
              <w:t>100%</w:t>
            </w:r>
            <w:r>
              <w:rPr>
                <w:rFonts w:ascii="Times New Roman"/>
                <w:sz w:val="18"/>
              </w:rPr>
            </w:r>
          </w:p>
        </w:tc>
        <w:tc>
          <w:tcPr>
            <w:tcW w:w="159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8.84%</w:t>
            </w:r>
          </w:p>
        </w:tc>
      </w:tr>
      <w:tr>
        <w:trPr>
          <w:trHeight w:val="396" w:hRule="exact"/>
        </w:trPr>
        <w:tc>
          <w:tcPr>
            <w:tcW w:w="9568"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22" w:right="0"/>
              <w:jc w:val="left"/>
              <w:rPr>
                <w:rFonts w:ascii="宋体" w:hAnsi="宋体" w:cs="宋体" w:eastAsia="宋体" w:hint="default"/>
                <w:sz w:val="18"/>
                <w:szCs w:val="18"/>
              </w:rPr>
            </w:pPr>
            <w:r>
              <w:rPr>
                <w:rFonts w:ascii="宋体" w:hAnsi="宋体" w:cs="宋体" w:eastAsia="宋体" w:hint="default"/>
                <w:sz w:val="18"/>
                <w:szCs w:val="18"/>
              </w:rPr>
              <w:t>分行业</w:t>
            </w:r>
          </w:p>
        </w:tc>
      </w:tr>
      <w:tr>
        <w:trPr>
          <w:trHeight w:val="714"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123"/>
              <w:jc w:val="left"/>
              <w:rPr>
                <w:rFonts w:ascii="宋体" w:hAnsi="宋体" w:cs="宋体" w:eastAsia="宋体" w:hint="default"/>
                <w:sz w:val="18"/>
                <w:szCs w:val="18"/>
              </w:rPr>
            </w:pPr>
            <w:r>
              <w:rPr>
                <w:rFonts w:ascii="宋体" w:hAnsi="宋体" w:cs="宋体" w:eastAsia="宋体" w:hint="default"/>
                <w:sz w:val="18"/>
                <w:szCs w:val="18"/>
              </w:rPr>
              <w:t>软件和信息技术服 务业</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833,027,249.80</w:t>
            </w:r>
          </w:p>
        </w:tc>
        <w:tc>
          <w:tcPr>
            <w:tcW w:w="15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99.45%</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765,260,525.85</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99.43%</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8.86%</w:t>
            </w:r>
          </w:p>
        </w:tc>
      </w:tr>
      <w:tr>
        <w:trPr>
          <w:trHeight w:val="403"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pacing w:val="-1"/>
                <w:sz w:val="18"/>
              </w:rPr>
              <w:t>4,600,326.90</w:t>
            </w:r>
          </w:p>
        </w:tc>
        <w:tc>
          <w:tcPr>
            <w:tcW w:w="15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0.55%</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pacing w:val="-1"/>
                <w:sz w:val="18"/>
              </w:rPr>
              <w:t>4,359,194.18</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z w:val="18"/>
              </w:rPr>
              <w:t>0.57%</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5.53%</w:t>
            </w:r>
          </w:p>
        </w:tc>
      </w:tr>
      <w:tr>
        <w:trPr>
          <w:trHeight w:val="401" w:hRule="exact"/>
        </w:trPr>
        <w:tc>
          <w:tcPr>
            <w:tcW w:w="9568"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分产品</w:t>
            </w:r>
          </w:p>
        </w:tc>
      </w:tr>
      <w:tr>
        <w:trPr>
          <w:trHeight w:val="714"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123"/>
              <w:jc w:val="left"/>
              <w:rPr>
                <w:rFonts w:ascii="宋体" w:hAnsi="宋体" w:cs="宋体" w:eastAsia="宋体" w:hint="default"/>
                <w:sz w:val="18"/>
                <w:szCs w:val="18"/>
              </w:rPr>
            </w:pPr>
            <w:r>
              <w:rPr>
                <w:rFonts w:ascii="宋体" w:hAnsi="宋体" w:cs="宋体" w:eastAsia="宋体" w:hint="default"/>
                <w:sz w:val="18"/>
                <w:szCs w:val="18"/>
              </w:rPr>
              <w:t>智慧校园应用解决 方案</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494,042,025.86</w:t>
            </w:r>
          </w:p>
        </w:tc>
        <w:tc>
          <w:tcPr>
            <w:tcW w:w="15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58.98%</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490,822,273.77</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63.77%</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0.66%</w:t>
            </w:r>
          </w:p>
        </w:tc>
      </w:tr>
      <w:tr>
        <w:trPr>
          <w:trHeight w:val="714"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123"/>
              <w:jc w:val="left"/>
              <w:rPr>
                <w:rFonts w:ascii="宋体" w:hAnsi="宋体" w:cs="宋体" w:eastAsia="宋体" w:hint="default"/>
                <w:sz w:val="18"/>
                <w:szCs w:val="18"/>
              </w:rPr>
            </w:pPr>
            <w:r>
              <w:rPr>
                <w:rFonts w:ascii="宋体" w:hAnsi="宋体" w:cs="宋体" w:eastAsia="宋体" w:hint="default"/>
                <w:sz w:val="18"/>
                <w:szCs w:val="18"/>
              </w:rPr>
              <w:t>智慧校园云平台解 决方案</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88,007,780.92</w:t>
            </w:r>
          </w:p>
        </w:tc>
        <w:tc>
          <w:tcPr>
            <w:tcW w:w="15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10.51%</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60,265,711.89</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7.83%</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46.03%</w:t>
            </w:r>
          </w:p>
        </w:tc>
      </w:tr>
      <w:tr>
        <w:trPr>
          <w:trHeight w:val="714"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123"/>
              <w:jc w:val="left"/>
              <w:rPr>
                <w:rFonts w:ascii="宋体" w:hAnsi="宋体" w:cs="宋体" w:eastAsia="宋体" w:hint="default"/>
                <w:sz w:val="18"/>
                <w:szCs w:val="18"/>
              </w:rPr>
            </w:pPr>
            <w:r>
              <w:rPr>
                <w:rFonts w:ascii="宋体" w:hAnsi="宋体" w:cs="宋体" w:eastAsia="宋体" w:hint="default"/>
                <w:sz w:val="18"/>
                <w:szCs w:val="18"/>
              </w:rPr>
              <w:t>智慧政企应用解决 方案</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170,520,824.94</w:t>
            </w:r>
          </w:p>
        </w:tc>
        <w:tc>
          <w:tcPr>
            <w:tcW w:w="15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20.36%</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153,550,616.73</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19.95%</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2"/>
                <w:sz w:val="18"/>
              </w:rPr>
              <w:t>11.05%</w:t>
            </w:r>
          </w:p>
        </w:tc>
      </w:tr>
      <w:tr>
        <w:trPr>
          <w:trHeight w:val="403"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运维服务</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pacing w:val="-1"/>
                <w:sz w:val="18"/>
              </w:rPr>
              <w:t>85,056,944.98</w:t>
            </w:r>
          </w:p>
        </w:tc>
        <w:tc>
          <w:tcPr>
            <w:tcW w:w="15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10.15%</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pacing w:val="-1"/>
                <w:sz w:val="18"/>
              </w:rPr>
              <w:t>64,981,117.64</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z w:val="18"/>
              </w:rPr>
              <w:t>8.44%</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30.89%</w:t>
            </w:r>
          </w:p>
        </w:tc>
      </w:tr>
      <w:tr>
        <w:trPr>
          <w:trHeight w:val="401" w:hRule="exact"/>
        </w:trPr>
        <w:tc>
          <w:tcPr>
            <w:tcW w:w="9568"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分地区</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华中</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pacing w:val="-1"/>
                <w:sz w:val="18"/>
              </w:rPr>
              <w:t>251,750,798.02</w:t>
            </w:r>
          </w:p>
        </w:tc>
        <w:tc>
          <w:tcPr>
            <w:tcW w:w="15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30.06%</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pacing w:val="-1"/>
                <w:sz w:val="18"/>
              </w:rPr>
              <w:t>213,430,050.68</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z w:val="18"/>
              </w:rPr>
              <w:t>27.73%</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17.95%</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华东</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pacing w:val="-1"/>
                <w:sz w:val="18"/>
              </w:rPr>
              <w:t>213,932,167.78</w:t>
            </w:r>
          </w:p>
        </w:tc>
        <w:tc>
          <w:tcPr>
            <w:tcW w:w="15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25.54%</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pacing w:val="-1"/>
                <w:sz w:val="18"/>
              </w:rPr>
              <w:t>179,890,597.79</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z w:val="18"/>
              </w:rPr>
              <w:t>23.37%</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18.92%</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华北</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pacing w:val="-1"/>
                <w:sz w:val="18"/>
              </w:rPr>
              <w:t>146,145,783.09</w:t>
            </w:r>
          </w:p>
        </w:tc>
        <w:tc>
          <w:tcPr>
            <w:tcW w:w="15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17.45%</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4"/>
              <w:jc w:val="right"/>
              <w:rPr>
                <w:rFonts w:ascii="Times New Roman" w:hAnsi="Times New Roman" w:cs="Times New Roman" w:eastAsia="Times New Roman" w:hint="default"/>
                <w:sz w:val="18"/>
                <w:szCs w:val="18"/>
              </w:rPr>
            </w:pPr>
            <w:r>
              <w:rPr>
                <w:rFonts w:ascii="Times New Roman"/>
                <w:spacing w:val="-1"/>
                <w:sz w:val="18"/>
              </w:rPr>
              <w:t>142,381,017.11</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z w:val="18"/>
              </w:rPr>
              <w:t>18.50%</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2.64%</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华南</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pacing w:val="-1"/>
                <w:sz w:val="18"/>
              </w:rPr>
              <w:t>70,052,634.09</w:t>
            </w:r>
          </w:p>
        </w:tc>
        <w:tc>
          <w:tcPr>
            <w:tcW w:w="15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8.36%</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pacing w:val="-1"/>
                <w:sz w:val="18"/>
              </w:rPr>
              <w:t>70,250,787.39</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z w:val="18"/>
              </w:rPr>
              <w:t>9.13%</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-0.28%</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西南</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pacing w:val="-1"/>
                <w:sz w:val="18"/>
              </w:rPr>
              <w:t>70,769,027.64</w:t>
            </w:r>
          </w:p>
        </w:tc>
        <w:tc>
          <w:tcPr>
            <w:tcW w:w="15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8.45%</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pacing w:val="-1"/>
                <w:sz w:val="18"/>
              </w:rPr>
              <w:t>58,809,252.58</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z w:val="18"/>
              </w:rPr>
              <w:t>7.64%</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20.34%</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西北</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pacing w:val="-1"/>
                <w:sz w:val="18"/>
              </w:rPr>
              <w:t>48,320,385.99</w:t>
            </w:r>
          </w:p>
        </w:tc>
        <w:tc>
          <w:tcPr>
            <w:tcW w:w="15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5.77%</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pacing w:val="-1"/>
                <w:sz w:val="18"/>
              </w:rPr>
              <w:t>73,804,162.21</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z w:val="18"/>
              </w:rPr>
              <w:t>9.59%</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-34.53%</w:t>
            </w:r>
          </w:p>
        </w:tc>
      </w:tr>
      <w:tr>
        <w:trPr>
          <w:trHeight w:val="403"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东北</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pacing w:val="-1"/>
                <w:sz w:val="18"/>
              </w:rPr>
              <w:t>36,656,780.09</w:t>
            </w:r>
          </w:p>
        </w:tc>
        <w:tc>
          <w:tcPr>
            <w:tcW w:w="15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4.38%</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pacing w:val="-1"/>
                <w:sz w:val="18"/>
              </w:rPr>
              <w:t>31,053,852.27</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z w:val="18"/>
              </w:rPr>
              <w:t>4.03%</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18.04%</w:t>
            </w:r>
          </w:p>
        </w:tc>
      </w:tr>
    </w:tbl>
    <w:p>
      <w:pPr>
        <w:spacing w:line="240" w:lineRule="auto" w:before="2"/>
        <w:rPr>
          <w:rFonts w:ascii="宋体" w:hAnsi="宋体" w:cs="宋体" w:eastAsia="宋体" w:hint="default"/>
          <w:sz w:val="19"/>
          <w:szCs w:val="19"/>
        </w:rPr>
      </w:pPr>
    </w:p>
    <w:p>
      <w:pPr>
        <w:pStyle w:val="Heading4"/>
        <w:spacing w:line="240" w:lineRule="auto" w:before="35"/>
        <w:ind w:right="1117"/>
        <w:jc w:val="left"/>
        <w:rPr>
          <w:b w:val="0"/>
          <w:bCs w:val="0"/>
        </w:rPr>
      </w:pPr>
      <w:bookmarkStart w:name="（2）占公司营业收入或营业利润10%以上的行业、产品或地区情况" w:id="28"/>
      <w:bookmarkEnd w:id="28"/>
      <w:r>
        <w:rPr>
          <w:b w:val="0"/>
          <w:bCs w:val="0"/>
        </w:rPr>
      </w:r>
      <w:r>
        <w:rPr/>
        <w:t>（</w:t>
      </w:r>
      <w:r>
        <w:rPr>
          <w:rFonts w:ascii="Times New Roman" w:hAnsi="Times New Roman" w:cs="Times New Roman" w:eastAsia="Times New Roman" w:hint="default"/>
        </w:rPr>
        <w:t>2</w:t>
      </w:r>
      <w:r>
        <w:rPr/>
        <w:t>）占公司营业收入或营业利润</w:t>
      </w:r>
      <w:r>
        <w:rPr>
          <w:spacing w:val="-59"/>
        </w:rPr>
        <w:t> </w:t>
      </w:r>
      <w:r>
        <w:rPr>
          <w:rFonts w:ascii="Times New Roman" w:hAnsi="Times New Roman" w:cs="Times New Roman" w:eastAsia="Times New Roman" w:hint="default"/>
        </w:rPr>
        <w:t>10%</w:t>
      </w:r>
      <w:r>
        <w:rPr/>
        <w:t>以上的行业、产品或地区情况</w:t>
      </w:r>
      <w:r>
        <w:rPr>
          <w:b w:val="0"/>
          <w:bCs w:val="0"/>
        </w:rPr>
      </w:r>
    </w:p>
    <w:p>
      <w:pPr>
        <w:spacing w:line="240" w:lineRule="auto" w:before="3"/>
        <w:rPr>
          <w:rFonts w:ascii="宋体" w:hAnsi="宋体" w:cs="宋体" w:eastAsia="宋体" w:hint="default"/>
          <w:b/>
          <w:bCs/>
          <w:sz w:val="23"/>
          <w:szCs w:val="23"/>
        </w:rPr>
      </w:pPr>
    </w:p>
    <w:p>
      <w:pPr>
        <w:spacing w:after="0" w:line="240" w:lineRule="auto"/>
        <w:rPr>
          <w:rFonts w:ascii="宋体" w:hAnsi="宋体" w:cs="宋体" w:eastAsia="宋体" w:hint="default"/>
          <w:sz w:val="23"/>
          <w:szCs w:val="23"/>
        </w:rPr>
        <w:sectPr>
          <w:pgSz w:w="11910" w:h="16840"/>
          <w:pgMar w:header="747" w:footer="979" w:top="1060" w:bottom="1160" w:left="980" w:right="0"/>
        </w:sectPr>
      </w:pPr>
    </w:p>
    <w:p>
      <w:pPr>
        <w:spacing w:line="348" w:lineRule="auto" w:before="44"/>
        <w:ind w:left="154" w:right="-2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公司是否需要遵守特殊行业的披露要求 否</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before="158"/>
        <w:ind w:left="153" w:right="0" w:firstLine="0"/>
        <w:jc w:val="left"/>
        <w:rPr>
          <w:rFonts w:ascii="宋体" w:hAnsi="宋体" w:cs="宋体" w:eastAsia="宋体" w:hint="default"/>
          <w:sz w:val="18"/>
          <w:szCs w:val="18"/>
        </w:rPr>
      </w:pPr>
      <w:r>
        <w:rPr>
          <w:rFonts w:ascii="宋体" w:hAnsi="宋体" w:cs="宋体" w:eastAsia="宋体" w:hint="default"/>
          <w:sz w:val="18"/>
          <w:szCs w:val="18"/>
        </w:rPr>
        <w:t>单位：元</w:t>
      </w:r>
    </w:p>
    <w:p>
      <w:pPr>
        <w:spacing w:after="0"/>
        <w:jc w:val="left"/>
        <w:rPr>
          <w:rFonts w:ascii="宋体" w:hAnsi="宋体" w:cs="宋体" w:eastAsia="宋体" w:hint="default"/>
          <w:sz w:val="18"/>
          <w:szCs w:val="18"/>
        </w:rPr>
        <w:sectPr>
          <w:type w:val="continuous"/>
          <w:pgSz w:w="11910" w:h="16840"/>
          <w:pgMar w:top="1060" w:bottom="1160" w:left="980" w:right="0"/>
          <w:cols w:num="2" w:equalWidth="0">
            <w:col w:w="3215" w:space="5705"/>
            <w:col w:w="2010"/>
          </w:cols>
        </w:sectPr>
      </w:pP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367"/>
        <w:gridCol w:w="1367"/>
        <w:gridCol w:w="1366"/>
        <w:gridCol w:w="1367"/>
        <w:gridCol w:w="1367"/>
        <w:gridCol w:w="1367"/>
        <w:gridCol w:w="1372"/>
      </w:tblGrid>
      <w:tr>
        <w:trPr>
          <w:trHeight w:val="714"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17"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17"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07" w:right="0"/>
              <w:jc w:val="left"/>
              <w:rPr>
                <w:rFonts w:ascii="宋体" w:hAnsi="宋体" w:cs="宋体" w:eastAsia="宋体" w:hint="default"/>
                <w:sz w:val="18"/>
                <w:szCs w:val="18"/>
              </w:rPr>
            </w:pPr>
            <w:r>
              <w:rPr>
                <w:rFonts w:ascii="宋体" w:hAnsi="宋体" w:cs="宋体" w:eastAsia="宋体" w:hint="default"/>
                <w:sz w:val="18"/>
                <w:szCs w:val="18"/>
              </w:rPr>
              <w:t>毛利率</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317" w:right="47" w:hanging="270"/>
              <w:jc w:val="left"/>
              <w:rPr>
                <w:rFonts w:ascii="宋体" w:hAnsi="宋体" w:cs="宋体" w:eastAsia="宋体" w:hint="default"/>
                <w:sz w:val="18"/>
                <w:szCs w:val="18"/>
              </w:rPr>
            </w:pPr>
            <w:r>
              <w:rPr>
                <w:rFonts w:ascii="宋体" w:hAnsi="宋体" w:cs="宋体" w:eastAsia="宋体" w:hint="default"/>
                <w:sz w:val="18"/>
                <w:szCs w:val="18"/>
              </w:rPr>
              <w:t>营业收入比上年 同期增减</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318" w:right="47" w:hanging="271"/>
              <w:jc w:val="left"/>
              <w:rPr>
                <w:rFonts w:ascii="宋体" w:hAnsi="宋体" w:cs="宋体" w:eastAsia="宋体" w:hint="default"/>
                <w:sz w:val="18"/>
                <w:szCs w:val="18"/>
              </w:rPr>
            </w:pPr>
            <w:r>
              <w:rPr>
                <w:rFonts w:ascii="宋体" w:hAnsi="宋体" w:cs="宋体" w:eastAsia="宋体" w:hint="default"/>
                <w:sz w:val="18"/>
                <w:szCs w:val="18"/>
              </w:rPr>
              <w:t>营业成本比上年 同期增减</w:t>
            </w:r>
          </w:p>
        </w:tc>
        <w:tc>
          <w:tcPr>
            <w:tcW w:w="13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411" w:right="48" w:hanging="360"/>
              <w:jc w:val="left"/>
              <w:rPr>
                <w:rFonts w:ascii="宋体" w:hAnsi="宋体" w:cs="宋体" w:eastAsia="宋体" w:hint="default"/>
                <w:sz w:val="18"/>
                <w:szCs w:val="18"/>
              </w:rPr>
            </w:pPr>
            <w:r>
              <w:rPr>
                <w:rFonts w:ascii="宋体" w:hAnsi="宋体" w:cs="宋体" w:eastAsia="宋体" w:hint="default"/>
                <w:sz w:val="18"/>
                <w:szCs w:val="18"/>
              </w:rPr>
              <w:t>毛利率比上年同 期增减</w:t>
            </w:r>
          </w:p>
        </w:tc>
      </w:tr>
      <w:tr>
        <w:trPr>
          <w:trHeight w:val="402" w:hRule="exact"/>
        </w:trPr>
        <w:tc>
          <w:tcPr>
            <w:tcW w:w="9572"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分行业</w:t>
            </w:r>
          </w:p>
        </w:tc>
      </w:tr>
    </w:tbl>
    <w:p>
      <w:pPr>
        <w:spacing w:after="0" w:line="240" w:lineRule="auto"/>
        <w:jc w:val="left"/>
        <w:rPr>
          <w:rFonts w:ascii="宋体" w:hAnsi="宋体" w:cs="宋体" w:eastAsia="宋体" w:hint="default"/>
          <w:sz w:val="18"/>
          <w:szCs w:val="18"/>
        </w:rPr>
        <w:sectPr>
          <w:type w:val="continuous"/>
          <w:pgSz w:w="11910" w:h="16840"/>
          <w:pgMar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367"/>
        <w:gridCol w:w="1367"/>
        <w:gridCol w:w="1366"/>
        <w:gridCol w:w="1367"/>
        <w:gridCol w:w="1367"/>
        <w:gridCol w:w="1367"/>
        <w:gridCol w:w="1372"/>
      </w:tblGrid>
      <w:tr>
        <w:trPr>
          <w:trHeight w:val="714"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软件和信息技术 服务业</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833,027,249.80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374,726,216.81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55.02%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8.86%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9.81%</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-0.39%</w:t>
            </w:r>
          </w:p>
        </w:tc>
      </w:tr>
      <w:tr>
        <w:trPr>
          <w:trHeight w:val="402" w:hRule="exact"/>
        </w:trPr>
        <w:tc>
          <w:tcPr>
            <w:tcW w:w="9572"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分产品</w:t>
            </w:r>
          </w:p>
        </w:tc>
      </w:tr>
      <w:tr>
        <w:trPr>
          <w:trHeight w:val="714"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智慧校园应用解 决方案</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494,042,025.86</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264,021,881.34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46.56%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0.66%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3.58%</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-1.51%</w:t>
            </w:r>
          </w:p>
        </w:tc>
      </w:tr>
      <w:tr>
        <w:trPr>
          <w:trHeight w:val="714"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智慧校园云平台 解决方案</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88,007,780.92</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6,832,470.28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92.24%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46.03%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0.62%</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3.50%</w:t>
            </w:r>
          </w:p>
        </w:tc>
      </w:tr>
      <w:tr>
        <w:trPr>
          <w:trHeight w:val="714"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智慧政企应用解 决方案</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170,520,824.94</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100,329,017.81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41.16%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2"/>
                <w:sz w:val="18"/>
              </w:rPr>
              <w:t>11.05%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28.78%</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-8.10%</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运维服务</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85,056,944.98</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4,809,676.15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94.35%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30.89%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75.73%</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-1.44%</w:t>
            </w:r>
          </w:p>
        </w:tc>
      </w:tr>
      <w:tr>
        <w:trPr>
          <w:trHeight w:val="402" w:hRule="exact"/>
        </w:trPr>
        <w:tc>
          <w:tcPr>
            <w:tcW w:w="9572"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分地区</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华中</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251,750,798.02</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133,677,547.76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46.90%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17.95%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47.47%</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-10.63%</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华东</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213,932,167.78</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76,467,558.83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64.26%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18.92%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6.52%</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4.16%</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华北</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146,145,783.09</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61,661,785.52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57.81%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2.64%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-4.19%</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3.01%</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华南</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70,052,634.09</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25,497,352.97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63.60%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-0.28%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-5.04%</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1.82%</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西南</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70,769,027.64</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31,592,506.04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55.36%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20.34%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8.90%</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4.69%</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西北</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48,320,385.99</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23,113,603.19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52.17%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-34.53%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-46.37%</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10.56%</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东北</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36,656,780.09</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23,982,691.27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34.58%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18.04%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44.75%</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-12.07%</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0"/>
        </w:sectPr>
      </w:pPr>
    </w:p>
    <w:p>
      <w:pPr>
        <w:spacing w:before="51"/>
        <w:ind w:left="154" w:right="-20" w:firstLine="0"/>
        <w:jc w:val="left"/>
        <w:rPr>
          <w:rFonts w:ascii="宋体" w:hAnsi="宋体" w:cs="宋体" w:eastAsia="宋体" w:hint="default"/>
          <w:sz w:val="18"/>
          <w:szCs w:val="18"/>
        </w:rPr>
      </w:pPr>
      <w:r>
        <w:rPr>
          <w:rFonts w:ascii="宋体" w:hAnsi="宋体" w:cs="宋体" w:eastAsia="宋体" w:hint="default"/>
          <w:sz w:val="18"/>
          <w:szCs w:val="18"/>
        </w:rPr>
        <w:t>公司主营业务数据统计口径在报告期发生调整的情况下，公司最近</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年按报告期末口径调整后的主营业务数据</w:t>
      </w:r>
    </w:p>
    <w:p>
      <w:pPr>
        <w:spacing w:before="103"/>
        <w:ind w:left="154" w:right="-2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21"/>
          <w:szCs w:val="21"/>
        </w:rPr>
      </w:pPr>
    </w:p>
    <w:p>
      <w:pPr>
        <w:spacing w:before="0"/>
        <w:ind w:left="153" w:right="0" w:firstLine="0"/>
        <w:jc w:val="left"/>
        <w:rPr>
          <w:rFonts w:ascii="宋体" w:hAnsi="宋体" w:cs="宋体" w:eastAsia="宋体" w:hint="default"/>
          <w:sz w:val="18"/>
          <w:szCs w:val="18"/>
        </w:rPr>
      </w:pPr>
      <w:r>
        <w:rPr>
          <w:rFonts w:ascii="宋体" w:hAnsi="宋体" w:cs="宋体" w:eastAsia="宋体" w:hint="default"/>
          <w:sz w:val="18"/>
          <w:szCs w:val="18"/>
        </w:rPr>
        <w:t>单位：元</w:t>
      </w:r>
    </w:p>
    <w:p>
      <w:pPr>
        <w:spacing w:after="0"/>
        <w:jc w:val="left"/>
        <w:rPr>
          <w:rFonts w:ascii="宋体" w:hAnsi="宋体" w:cs="宋体" w:eastAsia="宋体" w:hint="default"/>
          <w:sz w:val="18"/>
          <w:szCs w:val="18"/>
        </w:rPr>
        <w:sectPr>
          <w:type w:val="continuous"/>
          <w:pgSz w:w="11910" w:h="16840"/>
          <w:pgMar w:top="1060" w:bottom="1160" w:left="980" w:right="0"/>
          <w:cols w:num="2" w:equalWidth="0">
            <w:col w:w="8795" w:space="124"/>
            <w:col w:w="2011"/>
          </w:cols>
        </w:sectPr>
      </w:pP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367"/>
        <w:gridCol w:w="1367"/>
        <w:gridCol w:w="1366"/>
        <w:gridCol w:w="1367"/>
        <w:gridCol w:w="1367"/>
        <w:gridCol w:w="1367"/>
        <w:gridCol w:w="1372"/>
      </w:tblGrid>
      <w:tr>
        <w:trPr>
          <w:trHeight w:val="714"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17"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17"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07" w:right="0"/>
              <w:jc w:val="left"/>
              <w:rPr>
                <w:rFonts w:ascii="宋体" w:hAnsi="宋体" w:cs="宋体" w:eastAsia="宋体" w:hint="default"/>
                <w:sz w:val="18"/>
                <w:szCs w:val="18"/>
              </w:rPr>
            </w:pPr>
            <w:r>
              <w:rPr>
                <w:rFonts w:ascii="宋体" w:hAnsi="宋体" w:cs="宋体" w:eastAsia="宋体" w:hint="default"/>
                <w:sz w:val="18"/>
                <w:szCs w:val="18"/>
              </w:rPr>
              <w:t>毛利率</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317" w:right="47" w:hanging="270"/>
              <w:jc w:val="left"/>
              <w:rPr>
                <w:rFonts w:ascii="宋体" w:hAnsi="宋体" w:cs="宋体" w:eastAsia="宋体" w:hint="default"/>
                <w:sz w:val="18"/>
                <w:szCs w:val="18"/>
              </w:rPr>
            </w:pPr>
            <w:r>
              <w:rPr>
                <w:rFonts w:ascii="宋体" w:hAnsi="宋体" w:cs="宋体" w:eastAsia="宋体" w:hint="default"/>
                <w:sz w:val="18"/>
                <w:szCs w:val="18"/>
              </w:rPr>
              <w:t>营业收入比上年 同期增减</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318" w:right="47" w:hanging="271"/>
              <w:jc w:val="left"/>
              <w:rPr>
                <w:rFonts w:ascii="宋体" w:hAnsi="宋体" w:cs="宋体" w:eastAsia="宋体" w:hint="default"/>
                <w:sz w:val="18"/>
                <w:szCs w:val="18"/>
              </w:rPr>
            </w:pPr>
            <w:r>
              <w:rPr>
                <w:rFonts w:ascii="宋体" w:hAnsi="宋体" w:cs="宋体" w:eastAsia="宋体" w:hint="default"/>
                <w:sz w:val="18"/>
                <w:szCs w:val="18"/>
              </w:rPr>
              <w:t>营业成本比上年 同期增减</w:t>
            </w:r>
          </w:p>
        </w:tc>
        <w:tc>
          <w:tcPr>
            <w:tcW w:w="13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411" w:right="48" w:hanging="360"/>
              <w:jc w:val="left"/>
              <w:rPr>
                <w:rFonts w:ascii="宋体" w:hAnsi="宋体" w:cs="宋体" w:eastAsia="宋体" w:hint="default"/>
                <w:sz w:val="18"/>
                <w:szCs w:val="18"/>
              </w:rPr>
            </w:pPr>
            <w:r>
              <w:rPr>
                <w:rFonts w:ascii="宋体" w:hAnsi="宋体" w:cs="宋体" w:eastAsia="宋体" w:hint="default"/>
                <w:sz w:val="18"/>
                <w:szCs w:val="18"/>
              </w:rPr>
              <w:t>毛利率比上年同 期增减</w:t>
            </w:r>
          </w:p>
        </w:tc>
      </w:tr>
      <w:tr>
        <w:trPr>
          <w:trHeight w:val="402" w:hRule="exact"/>
        </w:trPr>
        <w:tc>
          <w:tcPr>
            <w:tcW w:w="9572"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分行业</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学校</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546,300,907.93</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233,326,056.34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57.30%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9.49%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2.47%</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2.93%</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企事业</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179,381,882.68</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95,297,302.11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46.90%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31.91%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46.07%</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-5.15%</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城市</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26,229,146.22</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9,709,364.24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63.00%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29.43%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164.73%</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-18.92%</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经销商</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85,715,640.65</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37,660,326.70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56.10%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-25.09%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-17.62%</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-3.99%</w:t>
            </w:r>
          </w:p>
        </w:tc>
      </w:tr>
      <w:tr>
        <w:trPr>
          <w:trHeight w:val="402" w:hRule="exact"/>
        </w:trPr>
        <w:tc>
          <w:tcPr>
            <w:tcW w:w="9572"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分产品</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身份识别</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64,645,435.11</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17,977,769.27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72.20%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-6.70%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-15.70%</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2.97%</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小额支付</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2"/>
                <w:sz w:val="18"/>
              </w:rPr>
              <w:t>111,335,653.75</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37,831,957.78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66.00%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-2.47%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-10.37%</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2.99%</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信息集成</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509,015,849.53</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235,786,733.69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53.70%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16.73%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17.29%</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-0.22%</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资源管控</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152,630,639.09</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84,396,584.85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44.70%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1.69%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8.54%</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-3.49%</w:t>
            </w:r>
          </w:p>
        </w:tc>
      </w:tr>
      <w:tr>
        <w:trPr>
          <w:trHeight w:val="402" w:hRule="exact"/>
        </w:trPr>
        <w:tc>
          <w:tcPr>
            <w:tcW w:w="9572"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分地区</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华中</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251,750,798.02</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133,677,547.76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46.90%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17.95%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47.47%</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-10.63%</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华东</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213,932,167.78</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76,467,558.83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64.26%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18.92%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6.52%</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4.16%</w:t>
            </w:r>
          </w:p>
        </w:tc>
      </w:tr>
    </w:tbl>
    <w:p>
      <w:pPr>
        <w:spacing w:after="0" w:line="240" w:lineRule="auto"/>
        <w:jc w:val="right"/>
        <w:rPr>
          <w:rFonts w:ascii="Times New Roman" w:hAnsi="Times New Roman" w:cs="Times New Roman" w:eastAsia="Times New Roman" w:hint="default"/>
          <w:sz w:val="18"/>
          <w:szCs w:val="18"/>
        </w:rPr>
        <w:sectPr>
          <w:type w:val="continuous"/>
          <w:pgSz w:w="11910" w:h="16840"/>
          <w:pgMar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367"/>
        <w:gridCol w:w="1367"/>
        <w:gridCol w:w="1366"/>
        <w:gridCol w:w="1367"/>
        <w:gridCol w:w="1367"/>
        <w:gridCol w:w="1367"/>
        <w:gridCol w:w="1372"/>
      </w:tblGrid>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华北</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146,145,783.09</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61,661,785.52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57.81%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2.64%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-4.19%</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3.01%</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华南</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70,052,634.09</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25,497,352.97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63.60%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-0.28%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-5.04%</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1.82%</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西南</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70,769,027.64</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31,592,506.04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55.36%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20.34%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8.90%</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4.69%</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西北</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48,320,385.99</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23,113,603.19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52.17%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-34.53%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-46.37%</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10.56%</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东北</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36,656,780.09</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23,982,691.27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34.58%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18.04%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44.75%</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-12.07%</w:t>
            </w:r>
          </w:p>
        </w:tc>
      </w:tr>
    </w:tbl>
    <w:p>
      <w:pPr>
        <w:spacing w:before="51"/>
        <w:ind w:left="154" w:right="1117" w:firstLine="0"/>
        <w:jc w:val="left"/>
        <w:rPr>
          <w:rFonts w:ascii="宋体" w:hAnsi="宋体" w:cs="宋体" w:eastAsia="宋体" w:hint="default"/>
          <w:sz w:val="18"/>
          <w:szCs w:val="18"/>
        </w:rPr>
      </w:pPr>
      <w:r>
        <w:rPr>
          <w:rFonts w:ascii="宋体" w:hAnsi="宋体" w:cs="宋体" w:eastAsia="宋体" w:hint="default"/>
          <w:sz w:val="18"/>
          <w:szCs w:val="18"/>
        </w:rPr>
        <w:t>变更口径的理由</w:t>
      </w:r>
    </w:p>
    <w:p>
      <w:pPr>
        <w:spacing w:line="240" w:lineRule="auto" w:before="12"/>
        <w:rPr>
          <w:rFonts w:ascii="宋体" w:hAnsi="宋体" w:cs="宋体" w:eastAsia="宋体" w:hint="default"/>
          <w:sz w:val="12"/>
          <w:szCs w:val="12"/>
        </w:rPr>
      </w:pPr>
    </w:p>
    <w:p>
      <w:pPr>
        <w:pStyle w:val="BodyText"/>
        <w:spacing w:line="386" w:lineRule="auto" w:before="0"/>
        <w:ind w:right="1129" w:firstLine="360"/>
        <w:jc w:val="both"/>
      </w:pPr>
      <w:r>
        <w:rPr>
          <w:spacing w:val="-1"/>
        </w:rPr>
        <w:t>公司目前正在打造基于“教育信息化</w:t>
      </w:r>
      <w:r>
        <w:rPr>
          <w:rFonts w:ascii="Times New Roman" w:hAnsi="Times New Roman" w:cs="Times New Roman" w:eastAsia="Times New Roman" w:hint="default"/>
          <w:spacing w:val="-1"/>
        </w:rPr>
        <w:t>2.0</w:t>
      </w:r>
      <w:r>
        <w:rPr>
          <w:spacing w:val="-1"/>
        </w:rPr>
        <w:t>”的智慧校园平台，构建开放、灵活的校园服务框架，全面拓</w:t>
      </w:r>
      <w:r>
        <w:rPr/>
        <w:t> 展智慧型的人才培养、科学研究、管理决策、生活服务等应用服务，构建新的校园运行模型。</w:t>
      </w:r>
    </w:p>
    <w:p>
      <w:pPr>
        <w:pStyle w:val="BodyText"/>
        <w:spacing w:line="398" w:lineRule="auto" w:before="65"/>
        <w:ind w:right="1131" w:firstLine="360"/>
        <w:jc w:val="both"/>
      </w:pPr>
      <w:r>
        <w:rPr/>
        <w:t>报告期内，公司着力提升整体智慧校园产品和服务能力，以及公司产业互联网平台、</w:t>
      </w:r>
      <w:r>
        <w:rPr>
          <w:rFonts w:ascii="Times New Roman" w:hAnsi="Times New Roman" w:cs="Times New Roman" w:eastAsia="Times New Roman" w:hint="default"/>
        </w:rPr>
        <w:t>SaaS</w:t>
      </w:r>
      <w:r>
        <w:rPr/>
        <w:t>服务及智能 </w:t>
      </w:r>
      <w:r>
        <w:rPr>
          <w:spacing w:val="-1"/>
        </w:rPr>
        <w:t>终端系列产品的创新能力和运营能力。公司未来也将通过智慧校园云平台，赋能线下应用场景终端，增加</w:t>
      </w:r>
      <w:r>
        <w:rPr>
          <w:spacing w:val="-83"/>
        </w:rPr>
        <w:t> </w:t>
      </w:r>
      <w:r>
        <w:rPr>
          <w:spacing w:val="-83"/>
        </w:rPr>
      </w:r>
      <w:r>
        <w:rPr/>
        <w:t>用户粘性，构建产业物联网与消费互联网相结合的生态模型。</w:t>
      </w:r>
    </w:p>
    <w:p>
      <w:pPr>
        <w:pStyle w:val="BodyText"/>
        <w:spacing w:line="408" w:lineRule="auto" w:before="54"/>
        <w:ind w:right="1170" w:firstLine="360"/>
        <w:jc w:val="both"/>
      </w:pPr>
      <w:r>
        <w:rPr/>
        <w:t>随着公司业务的持续创新发展，原收入的行业、产品分类已不能反映公司目前的业务结构，故本报告 期对上述口径进行变更。</w:t>
      </w:r>
    </w:p>
    <w:p>
      <w:pPr>
        <w:spacing w:line="240" w:lineRule="auto" w:before="8"/>
        <w:rPr>
          <w:rFonts w:ascii="宋体" w:hAnsi="宋体" w:cs="宋体" w:eastAsia="宋体" w:hint="default"/>
          <w:sz w:val="20"/>
          <w:szCs w:val="20"/>
        </w:rPr>
      </w:pPr>
    </w:p>
    <w:p>
      <w:pPr>
        <w:pStyle w:val="Heading4"/>
        <w:spacing w:line="240" w:lineRule="auto"/>
        <w:ind w:right="1117"/>
        <w:jc w:val="left"/>
        <w:rPr>
          <w:b w:val="0"/>
          <w:bCs w:val="0"/>
        </w:rPr>
      </w:pPr>
      <w:bookmarkStart w:name="（3）公司实物销售收入是否大于劳务收入" w:id="29"/>
      <w:bookmarkEnd w:id="29"/>
      <w:r>
        <w:rPr>
          <w:b w:val="0"/>
          <w:bCs w:val="0"/>
        </w:rPr>
      </w:r>
      <w:r>
        <w:rPr/>
        <w:t>（</w:t>
      </w:r>
      <w:r>
        <w:rPr>
          <w:rFonts w:ascii="Times New Roman" w:hAnsi="Times New Roman" w:cs="Times New Roman" w:eastAsia="Times New Roman" w:hint="default"/>
        </w:rPr>
        <w:t>3</w:t>
      </w:r>
      <w:r>
        <w:rPr/>
        <w:t>）公司实物销售收入是否大于劳务收入</w:t>
      </w:r>
      <w:r>
        <w:rPr>
          <w:b w:val="0"/>
          <w:bCs w:val="0"/>
        </w:rPr>
      </w:r>
    </w:p>
    <w:p>
      <w:pPr>
        <w:spacing w:line="240" w:lineRule="auto" w:before="8"/>
        <w:rPr>
          <w:rFonts w:ascii="宋体" w:hAnsi="宋体" w:cs="宋体" w:eastAsia="宋体" w:hint="default"/>
          <w:b/>
          <w:bCs/>
          <w:sz w:val="26"/>
          <w:szCs w:val="26"/>
        </w:rPr>
      </w:pPr>
    </w:p>
    <w:p>
      <w:pPr>
        <w:spacing w:before="0"/>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否</w:t>
      </w:r>
    </w:p>
    <w:p>
      <w:pPr>
        <w:spacing w:line="240" w:lineRule="auto" w:before="12"/>
        <w:rPr>
          <w:rFonts w:ascii="宋体" w:hAnsi="宋体" w:cs="宋体" w:eastAsia="宋体" w:hint="default"/>
          <w:sz w:val="6"/>
          <w:szCs w:val="6"/>
        </w:rPr>
      </w:pPr>
    </w:p>
    <w:tbl>
      <w:tblPr>
        <w:tblW w:w="0" w:type="auto"/>
        <w:jc w:val="left"/>
        <w:tblInd w:w="149" w:type="dxa"/>
        <w:tblLayout w:type="fixed"/>
        <w:tblCellMar>
          <w:top w:w="0" w:type="dxa"/>
          <w:left w:w="0" w:type="dxa"/>
          <w:bottom w:w="0" w:type="dxa"/>
          <w:right w:w="0" w:type="dxa"/>
        </w:tblCellMar>
        <w:tblLook w:val="01E0"/>
      </w:tblPr>
      <w:tblGrid>
        <w:gridCol w:w="1608"/>
        <w:gridCol w:w="1571"/>
        <w:gridCol w:w="1607"/>
        <w:gridCol w:w="1594"/>
        <w:gridCol w:w="1594"/>
        <w:gridCol w:w="1595"/>
      </w:tblGrid>
      <w:tr>
        <w:trPr>
          <w:trHeight w:val="402" w:hRule="exact"/>
        </w:trPr>
        <w:tc>
          <w:tcPr>
            <w:tcW w:w="16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32" w:right="0"/>
              <w:jc w:val="left"/>
              <w:rPr>
                <w:rFonts w:ascii="宋体" w:hAnsi="宋体" w:cs="宋体" w:eastAsia="宋体" w:hint="default"/>
                <w:sz w:val="18"/>
                <w:szCs w:val="18"/>
              </w:rPr>
            </w:pPr>
            <w:r>
              <w:rPr>
                <w:rFonts w:ascii="宋体" w:hAnsi="宋体" w:cs="宋体" w:eastAsia="宋体" w:hint="default"/>
                <w:sz w:val="18"/>
                <w:szCs w:val="18"/>
              </w:rPr>
              <w:t>行业分类</w:t>
            </w:r>
          </w:p>
        </w:tc>
        <w:tc>
          <w:tcPr>
            <w:tcW w:w="15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60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2" w:right="0"/>
              <w:jc w:val="center"/>
              <w:rPr>
                <w:rFonts w:ascii="宋体" w:hAnsi="宋体" w:cs="宋体" w:eastAsia="宋体" w:hint="default"/>
                <w:sz w:val="18"/>
                <w:szCs w:val="18"/>
              </w:rPr>
            </w:pPr>
            <w:r>
              <w:rPr>
                <w:rFonts w:ascii="宋体" w:hAnsi="宋体" w:cs="宋体" w:eastAsia="宋体" w:hint="default"/>
                <w:sz w:val="18"/>
                <w:szCs w:val="18"/>
              </w:rPr>
              <w:t>单位</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9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9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33" w:right="0"/>
              <w:jc w:val="left"/>
              <w:rPr>
                <w:rFonts w:ascii="宋体" w:hAnsi="宋体" w:cs="宋体" w:eastAsia="宋体" w:hint="default"/>
                <w:sz w:val="18"/>
                <w:szCs w:val="18"/>
              </w:rPr>
            </w:pPr>
            <w:r>
              <w:rPr>
                <w:rFonts w:ascii="宋体" w:hAnsi="宋体" w:cs="宋体" w:eastAsia="宋体" w:hint="default"/>
                <w:sz w:val="18"/>
                <w:szCs w:val="18"/>
              </w:rPr>
              <w:t>同比增减</w:t>
            </w:r>
          </w:p>
        </w:tc>
      </w:tr>
      <w:tr>
        <w:trPr>
          <w:trHeight w:val="402" w:hRule="exact"/>
        </w:trPr>
        <w:tc>
          <w:tcPr>
            <w:tcW w:w="1608" w:type="dxa"/>
            <w:vMerge w:val="restart"/>
            <w:tcBorders>
              <w:top w:val="single" w:sz="4" w:space="0" w:color="000000"/>
              <w:left w:val="single" w:sz="4" w:space="0" w:color="000000"/>
              <w:right w:val="single" w:sz="13" w:space="0" w:color="D2D2D2"/>
            </w:tcBorders>
          </w:tcPr>
          <w:p>
            <w:pPr>
              <w:pStyle w:val="TableParagraph"/>
              <w:spacing w:line="240" w:lineRule="auto" w:before="11"/>
              <w:ind w:right="0"/>
              <w:jc w:val="left"/>
              <w:rPr>
                <w:rFonts w:ascii="宋体" w:hAnsi="宋体" w:cs="宋体" w:eastAsia="宋体" w:hint="default"/>
                <w:sz w:val="22"/>
                <w:szCs w:val="22"/>
              </w:rPr>
            </w:pPr>
          </w:p>
          <w:p>
            <w:pPr>
              <w:pStyle w:val="TableParagraph"/>
              <w:spacing w:line="316" w:lineRule="auto"/>
              <w:ind w:left="22" w:right="123"/>
              <w:jc w:val="left"/>
              <w:rPr>
                <w:rFonts w:ascii="宋体" w:hAnsi="宋体" w:cs="宋体" w:eastAsia="宋体" w:hint="default"/>
                <w:sz w:val="18"/>
                <w:szCs w:val="18"/>
              </w:rPr>
            </w:pPr>
            <w:r>
              <w:rPr>
                <w:rFonts w:ascii="宋体" w:hAnsi="宋体" w:cs="宋体" w:eastAsia="宋体" w:hint="default"/>
                <w:sz w:val="18"/>
                <w:szCs w:val="18"/>
              </w:rPr>
              <w:t>软件和信息技术服 务业</w:t>
            </w:r>
          </w:p>
        </w:tc>
        <w:tc>
          <w:tcPr>
            <w:tcW w:w="15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销售量</w:t>
            </w:r>
          </w:p>
        </w:tc>
        <w:tc>
          <w:tcPr>
            <w:tcW w:w="160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台套</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1,382,719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1,367,116</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1.14%</w:t>
            </w:r>
          </w:p>
        </w:tc>
      </w:tr>
      <w:tr>
        <w:trPr>
          <w:trHeight w:val="402" w:hRule="exact"/>
        </w:trPr>
        <w:tc>
          <w:tcPr>
            <w:tcW w:w="1608" w:type="dxa"/>
            <w:vMerge/>
            <w:tcBorders>
              <w:left w:val="single" w:sz="4" w:space="0" w:color="000000"/>
              <w:right w:val="single" w:sz="13" w:space="0" w:color="D2D2D2"/>
            </w:tcBorders>
          </w:tcPr>
          <w:p>
            <w:pPr/>
          </w:p>
        </w:tc>
        <w:tc>
          <w:tcPr>
            <w:tcW w:w="15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生产量</w:t>
            </w:r>
          </w:p>
        </w:tc>
        <w:tc>
          <w:tcPr>
            <w:tcW w:w="160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台套</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1,193,272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1,482,606</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-19.52%</w:t>
            </w:r>
          </w:p>
        </w:tc>
      </w:tr>
      <w:tr>
        <w:trPr>
          <w:trHeight w:val="403" w:hRule="exact"/>
        </w:trPr>
        <w:tc>
          <w:tcPr>
            <w:tcW w:w="1608" w:type="dxa"/>
            <w:vMerge/>
            <w:tcBorders>
              <w:left w:val="single" w:sz="4" w:space="0" w:color="000000"/>
              <w:bottom w:val="single" w:sz="4" w:space="0" w:color="000000"/>
              <w:right w:val="single" w:sz="13" w:space="0" w:color="D2D2D2"/>
            </w:tcBorders>
          </w:tcPr>
          <w:p>
            <w:pPr/>
          </w:p>
        </w:tc>
        <w:tc>
          <w:tcPr>
            <w:tcW w:w="15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库存量</w:t>
            </w:r>
          </w:p>
        </w:tc>
        <w:tc>
          <w:tcPr>
            <w:tcW w:w="160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台套</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492,198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681,645</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-27.79%</w:t>
            </w:r>
          </w:p>
        </w:tc>
      </w:tr>
    </w:tbl>
    <w:p>
      <w:pPr>
        <w:spacing w:before="51"/>
        <w:ind w:left="154" w:right="1117" w:firstLine="0"/>
        <w:jc w:val="left"/>
        <w:rPr>
          <w:rFonts w:ascii="宋体" w:hAnsi="宋体" w:cs="宋体" w:eastAsia="宋体" w:hint="default"/>
          <w:sz w:val="18"/>
          <w:szCs w:val="18"/>
        </w:rPr>
      </w:pPr>
      <w:r>
        <w:rPr>
          <w:rFonts w:ascii="宋体" w:hAnsi="宋体" w:cs="宋体" w:eastAsia="宋体" w:hint="default"/>
          <w:sz w:val="18"/>
          <w:szCs w:val="18"/>
        </w:rPr>
        <w:t>相关数据同比发生变动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w:t>
      </w:r>
      <w:r>
        <w:rPr>
          <w:rFonts w:ascii="宋体" w:hAnsi="宋体" w:cs="宋体" w:eastAsia="宋体" w:hint="default"/>
          <w:sz w:val="18"/>
          <w:szCs w:val="18"/>
        </w:rPr>
        <w:t>以上的原因说明</w:t>
      </w:r>
    </w:p>
    <w:p>
      <w:pPr>
        <w:spacing w:before="102"/>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0"/>
        <w:rPr>
          <w:rFonts w:ascii="宋体" w:hAnsi="宋体" w:cs="宋体" w:eastAsia="宋体" w:hint="default"/>
          <w:sz w:val="25"/>
          <w:szCs w:val="25"/>
        </w:rPr>
      </w:pPr>
    </w:p>
    <w:p>
      <w:pPr>
        <w:pStyle w:val="Heading4"/>
        <w:spacing w:line="240" w:lineRule="auto"/>
        <w:ind w:right="1117"/>
        <w:jc w:val="left"/>
        <w:rPr>
          <w:b w:val="0"/>
          <w:bCs w:val="0"/>
        </w:rPr>
      </w:pPr>
      <w:bookmarkStart w:name="（4）公司已签订的重大销售合同截至本报告期的履行情况" w:id="30"/>
      <w:bookmarkEnd w:id="30"/>
      <w:r>
        <w:rPr>
          <w:b w:val="0"/>
          <w:bCs w:val="0"/>
        </w:rPr>
      </w:r>
      <w:r>
        <w:rPr/>
        <w:t>（</w:t>
      </w:r>
      <w:r>
        <w:rPr>
          <w:rFonts w:ascii="Times New Roman" w:hAnsi="Times New Roman" w:cs="Times New Roman" w:eastAsia="Times New Roman" w:hint="default"/>
        </w:rPr>
        <w:t>4</w:t>
      </w:r>
      <w:r>
        <w:rPr/>
        <w:t>）公司已签订的重大销售合同截至本报告期的履行情况</w:t>
      </w:r>
      <w:r>
        <w:rPr>
          <w:b w:val="0"/>
          <w:bCs w:val="0"/>
        </w:rPr>
      </w:r>
    </w:p>
    <w:p>
      <w:pPr>
        <w:spacing w:line="240" w:lineRule="auto" w:before="8"/>
        <w:rPr>
          <w:rFonts w:ascii="宋体" w:hAnsi="宋体" w:cs="宋体" w:eastAsia="宋体" w:hint="default"/>
          <w:b/>
          <w:bCs/>
          <w:sz w:val="26"/>
          <w:szCs w:val="26"/>
        </w:rPr>
      </w:pPr>
    </w:p>
    <w:p>
      <w:pPr>
        <w:spacing w:before="0"/>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0"/>
        <w:rPr>
          <w:rFonts w:ascii="宋体" w:hAnsi="宋体" w:cs="宋体" w:eastAsia="宋体" w:hint="default"/>
          <w:sz w:val="25"/>
          <w:szCs w:val="25"/>
        </w:rPr>
      </w:pPr>
    </w:p>
    <w:p>
      <w:pPr>
        <w:pStyle w:val="Heading4"/>
        <w:spacing w:line="240" w:lineRule="auto"/>
        <w:ind w:right="1117"/>
        <w:jc w:val="left"/>
        <w:rPr>
          <w:b w:val="0"/>
          <w:bCs w:val="0"/>
        </w:rPr>
      </w:pPr>
      <w:bookmarkStart w:name="（5）营业成本构成" w:id="31"/>
      <w:bookmarkEnd w:id="31"/>
      <w:r>
        <w:rPr>
          <w:b w:val="0"/>
          <w:bCs w:val="0"/>
        </w:rPr>
      </w:r>
      <w:r>
        <w:rPr/>
        <w:t>（</w:t>
      </w:r>
      <w:r>
        <w:rPr>
          <w:rFonts w:ascii="Times New Roman" w:hAnsi="Times New Roman" w:cs="Times New Roman" w:eastAsia="Times New Roman" w:hint="default"/>
        </w:rPr>
        <w:t>5</w:t>
      </w:r>
      <w:r>
        <w:rPr/>
        <w:t>）营业成本构成</w:t>
      </w:r>
      <w:r>
        <w:rPr>
          <w:b w:val="0"/>
          <w:bCs w:val="0"/>
        </w:rPr>
      </w:r>
    </w:p>
    <w:p>
      <w:pPr>
        <w:spacing w:line="240" w:lineRule="auto" w:before="3"/>
        <w:rPr>
          <w:rFonts w:ascii="宋体" w:hAnsi="宋体" w:cs="宋体" w:eastAsia="宋体" w:hint="default"/>
          <w:b/>
          <w:bCs/>
          <w:sz w:val="23"/>
          <w:szCs w:val="23"/>
        </w:rPr>
      </w:pPr>
    </w:p>
    <w:p>
      <w:pPr>
        <w:spacing w:after="0" w:line="240" w:lineRule="auto"/>
        <w:rPr>
          <w:rFonts w:ascii="宋体" w:hAnsi="宋体" w:cs="宋体" w:eastAsia="宋体" w:hint="default"/>
          <w:sz w:val="23"/>
          <w:szCs w:val="23"/>
        </w:rPr>
        <w:sectPr>
          <w:pgSz w:w="11910" w:h="16840"/>
          <w:pgMar w:header="747" w:footer="979" w:top="1060" w:bottom="1160" w:left="980" w:right="0"/>
        </w:sectPr>
      </w:pPr>
    </w:p>
    <w:p>
      <w:pPr>
        <w:spacing w:line="360" w:lineRule="auto" w:before="44"/>
        <w:ind w:left="154" w:right="-20" w:firstLine="0"/>
        <w:jc w:val="left"/>
        <w:rPr>
          <w:rFonts w:ascii="宋体" w:hAnsi="宋体" w:cs="宋体" w:eastAsia="宋体" w:hint="default"/>
          <w:sz w:val="18"/>
          <w:szCs w:val="18"/>
        </w:rPr>
      </w:pPr>
      <w:r>
        <w:rPr>
          <w:rFonts w:ascii="宋体" w:hAnsi="宋体" w:cs="宋体" w:eastAsia="宋体" w:hint="default"/>
          <w:sz w:val="18"/>
          <w:szCs w:val="18"/>
        </w:rPr>
        <w:t>产品分类 产品分类</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3"/>
        <w:rPr>
          <w:rFonts w:ascii="宋体" w:hAnsi="宋体" w:cs="宋体" w:eastAsia="宋体" w:hint="default"/>
          <w:sz w:val="21"/>
          <w:szCs w:val="21"/>
        </w:rPr>
      </w:pPr>
    </w:p>
    <w:p>
      <w:pPr>
        <w:spacing w:before="0"/>
        <w:ind w:left="153" w:right="0" w:firstLine="0"/>
        <w:jc w:val="left"/>
        <w:rPr>
          <w:rFonts w:ascii="宋体" w:hAnsi="宋体" w:cs="宋体" w:eastAsia="宋体" w:hint="default"/>
          <w:sz w:val="18"/>
          <w:szCs w:val="18"/>
        </w:rPr>
      </w:pPr>
      <w:r>
        <w:rPr>
          <w:rFonts w:ascii="宋体" w:hAnsi="宋体" w:cs="宋体" w:eastAsia="宋体" w:hint="default"/>
          <w:sz w:val="18"/>
          <w:szCs w:val="18"/>
        </w:rPr>
        <w:t>单位：元</w:t>
      </w:r>
    </w:p>
    <w:p>
      <w:pPr>
        <w:spacing w:after="0"/>
        <w:jc w:val="left"/>
        <w:rPr>
          <w:rFonts w:ascii="宋体" w:hAnsi="宋体" w:cs="宋体" w:eastAsia="宋体" w:hint="default"/>
          <w:sz w:val="18"/>
          <w:szCs w:val="18"/>
        </w:rPr>
        <w:sectPr>
          <w:type w:val="continuous"/>
          <w:pgSz w:w="11910" w:h="16840"/>
          <w:pgMar w:top="1060" w:bottom="1160" w:left="980" w:right="0"/>
          <w:cols w:num="2" w:equalWidth="0">
            <w:col w:w="875" w:space="8045"/>
            <w:col w:w="2010"/>
          </w:cols>
        </w:sectPr>
      </w:pP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370"/>
        <w:gridCol w:w="1367"/>
        <w:gridCol w:w="1367"/>
        <w:gridCol w:w="1367"/>
        <w:gridCol w:w="1368"/>
        <w:gridCol w:w="1367"/>
        <w:gridCol w:w="1367"/>
      </w:tblGrid>
      <w:tr>
        <w:trPr>
          <w:trHeight w:val="402" w:hRule="exact"/>
        </w:trPr>
        <w:tc>
          <w:tcPr>
            <w:tcW w:w="137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319" w:right="0"/>
              <w:jc w:val="left"/>
              <w:rPr>
                <w:rFonts w:ascii="宋体" w:hAnsi="宋体" w:cs="宋体" w:eastAsia="宋体" w:hint="default"/>
                <w:sz w:val="18"/>
                <w:szCs w:val="18"/>
              </w:rPr>
            </w:pPr>
            <w:r>
              <w:rPr>
                <w:rFonts w:ascii="宋体" w:hAnsi="宋体" w:cs="宋体" w:eastAsia="宋体" w:hint="default"/>
                <w:sz w:val="18"/>
                <w:szCs w:val="18"/>
              </w:rPr>
              <w:t>产品分类</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73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317" w:right="0"/>
              <w:jc w:val="left"/>
              <w:rPr>
                <w:rFonts w:ascii="宋体" w:hAnsi="宋体" w:cs="宋体" w:eastAsia="宋体" w:hint="default"/>
                <w:sz w:val="18"/>
                <w:szCs w:val="18"/>
              </w:rPr>
            </w:pPr>
            <w:r>
              <w:rPr>
                <w:rFonts w:ascii="宋体" w:hAnsi="宋体" w:cs="宋体" w:eastAsia="宋体" w:hint="default"/>
                <w:sz w:val="18"/>
                <w:szCs w:val="18"/>
              </w:rPr>
              <w:t>同比增减</w:t>
            </w:r>
          </w:p>
        </w:tc>
      </w:tr>
      <w:tr>
        <w:trPr>
          <w:trHeight w:val="401" w:hRule="exact"/>
        </w:trPr>
        <w:tc>
          <w:tcPr>
            <w:tcW w:w="1370"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47"/>
              <w:jc w:val="right"/>
              <w:rPr>
                <w:rFonts w:ascii="宋体" w:hAnsi="宋体" w:cs="宋体" w:eastAsia="宋体" w:hint="default"/>
                <w:sz w:val="18"/>
                <w:szCs w:val="18"/>
              </w:rPr>
            </w:pPr>
            <w:r>
              <w:rPr>
                <w:rFonts w:ascii="宋体" w:hAnsi="宋体" w:cs="宋体" w:eastAsia="宋体" w:hint="default"/>
                <w:sz w:val="18"/>
                <w:szCs w:val="18"/>
              </w:rPr>
              <w:t>占营业成本比重</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47"/>
              <w:jc w:val="right"/>
              <w:rPr>
                <w:rFonts w:ascii="宋体" w:hAnsi="宋体" w:cs="宋体" w:eastAsia="宋体" w:hint="default"/>
                <w:sz w:val="18"/>
                <w:szCs w:val="18"/>
              </w:rPr>
            </w:pPr>
            <w:r>
              <w:rPr>
                <w:rFonts w:ascii="宋体" w:hAnsi="宋体" w:cs="宋体" w:eastAsia="宋体" w:hint="default"/>
                <w:sz w:val="18"/>
                <w:szCs w:val="18"/>
              </w:rPr>
              <w:t>占营业成本比重</w:t>
            </w:r>
          </w:p>
        </w:tc>
        <w:tc>
          <w:tcPr>
            <w:tcW w:w="1367" w:type="dxa"/>
            <w:vMerge/>
            <w:tcBorders>
              <w:left w:val="single" w:sz="4" w:space="0" w:color="000000"/>
              <w:bottom w:val="single" w:sz="4" w:space="0" w:color="000000"/>
              <w:right w:val="single" w:sz="4" w:space="0" w:color="000000"/>
            </w:tcBorders>
            <w:shd w:val="clear" w:color="auto" w:fill="D2D2D2"/>
          </w:tcPr>
          <w:p>
            <w:pPr/>
          </w:p>
        </w:tc>
      </w:tr>
      <w:tr>
        <w:trPr>
          <w:trHeight w:val="403"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22" w:right="0"/>
              <w:jc w:val="left"/>
              <w:rPr>
                <w:rFonts w:ascii="宋体" w:hAnsi="宋体" w:cs="宋体" w:eastAsia="宋体" w:hint="default"/>
                <w:sz w:val="18"/>
                <w:szCs w:val="18"/>
              </w:rPr>
            </w:pPr>
            <w:r>
              <w:rPr>
                <w:rFonts w:ascii="宋体" w:hAnsi="宋体" w:cs="宋体" w:eastAsia="宋体" w:hint="default"/>
                <w:sz w:val="18"/>
                <w:szCs w:val="18"/>
              </w:rPr>
              <w:t>智慧政企应用解</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直接材料</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300" w:right="0"/>
              <w:jc w:val="left"/>
              <w:rPr>
                <w:rFonts w:ascii="Times New Roman" w:hAnsi="Times New Roman" w:cs="Times New Roman" w:eastAsia="Times New Roman" w:hint="default"/>
                <w:sz w:val="18"/>
                <w:szCs w:val="18"/>
              </w:rPr>
            </w:pPr>
            <w:r>
              <w:rPr>
                <w:rFonts w:ascii="Times New Roman"/>
                <w:sz w:val="18"/>
              </w:rPr>
              <w:t>95,407,891.76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95.10%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301" w:right="0"/>
              <w:jc w:val="left"/>
              <w:rPr>
                <w:rFonts w:ascii="Times New Roman" w:hAnsi="Times New Roman" w:cs="Times New Roman" w:eastAsia="Times New Roman" w:hint="default"/>
                <w:sz w:val="18"/>
                <w:szCs w:val="18"/>
              </w:rPr>
            </w:pPr>
            <w:r>
              <w:rPr>
                <w:rFonts w:ascii="Times New Roman"/>
                <w:sz w:val="18"/>
              </w:rPr>
              <w:t>73,418,504.93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94.24%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779" w:right="0"/>
              <w:jc w:val="left"/>
              <w:rPr>
                <w:rFonts w:ascii="Times New Roman" w:hAnsi="Times New Roman" w:cs="Times New Roman" w:eastAsia="Times New Roman" w:hint="default"/>
                <w:sz w:val="18"/>
                <w:szCs w:val="18"/>
              </w:rPr>
            </w:pPr>
            <w:r>
              <w:rPr>
                <w:rFonts w:ascii="Times New Roman"/>
                <w:sz w:val="18"/>
              </w:rPr>
              <w:t>29.95%</w:t>
            </w:r>
          </w:p>
        </w:tc>
      </w:tr>
    </w:tbl>
    <w:p>
      <w:pPr>
        <w:spacing w:after="0" w:line="240" w:lineRule="auto"/>
        <w:jc w:val="left"/>
        <w:rPr>
          <w:rFonts w:ascii="Times New Roman" w:hAnsi="Times New Roman" w:cs="Times New Roman" w:eastAsia="Times New Roman" w:hint="default"/>
          <w:sz w:val="18"/>
          <w:szCs w:val="18"/>
        </w:rPr>
        <w:sectPr>
          <w:type w:val="continuous"/>
          <w:pgSz w:w="11910" w:h="16840"/>
          <w:pgMar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370"/>
        <w:gridCol w:w="1367"/>
        <w:gridCol w:w="1367"/>
        <w:gridCol w:w="1367"/>
        <w:gridCol w:w="1368"/>
        <w:gridCol w:w="1367"/>
        <w:gridCol w:w="1367"/>
      </w:tblGrid>
      <w:tr>
        <w:trPr>
          <w:trHeight w:val="36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决方案</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5"/>
              <w:jc w:val="left"/>
              <w:rPr>
                <w:rFonts w:ascii="宋体" w:hAnsi="宋体" w:cs="宋体" w:eastAsia="宋体" w:hint="default"/>
                <w:sz w:val="18"/>
                <w:szCs w:val="18"/>
              </w:rPr>
            </w:pPr>
            <w:r>
              <w:rPr>
                <w:rFonts w:ascii="宋体" w:hAnsi="宋体" w:cs="宋体" w:eastAsia="宋体" w:hint="default"/>
                <w:sz w:val="18"/>
                <w:szCs w:val="18"/>
              </w:rPr>
              <w:t>智慧政企应用解 决方案</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直接人工</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1,846,009.82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1.84%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1,368,891.86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1.76%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34.85%</w:t>
            </w:r>
          </w:p>
        </w:tc>
      </w:tr>
      <w:tr>
        <w:trPr>
          <w:trHeight w:val="714"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5"/>
              <w:jc w:val="left"/>
              <w:rPr>
                <w:rFonts w:ascii="宋体" w:hAnsi="宋体" w:cs="宋体" w:eastAsia="宋体" w:hint="default"/>
                <w:sz w:val="18"/>
                <w:szCs w:val="18"/>
              </w:rPr>
            </w:pPr>
            <w:r>
              <w:rPr>
                <w:rFonts w:ascii="宋体" w:hAnsi="宋体" w:cs="宋体" w:eastAsia="宋体" w:hint="default"/>
                <w:sz w:val="18"/>
                <w:szCs w:val="18"/>
              </w:rPr>
              <w:t>智慧政企应用解 决方案</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制造费用</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3,075,116.22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3.07%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3,118,475.64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4.00%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-1.39%</w:t>
            </w:r>
          </w:p>
        </w:tc>
      </w:tr>
      <w:tr>
        <w:trPr>
          <w:trHeight w:val="714"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5"/>
              <w:jc w:val="left"/>
              <w:rPr>
                <w:rFonts w:ascii="宋体" w:hAnsi="宋体" w:cs="宋体" w:eastAsia="宋体" w:hint="default"/>
                <w:sz w:val="18"/>
                <w:szCs w:val="18"/>
              </w:rPr>
            </w:pPr>
            <w:r>
              <w:rPr>
                <w:rFonts w:ascii="宋体" w:hAnsi="宋体" w:cs="宋体" w:eastAsia="宋体" w:hint="default"/>
                <w:sz w:val="18"/>
                <w:szCs w:val="18"/>
              </w:rPr>
              <w:t>智慧校园应用解 决方案</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直接材料</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251,071,640.37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95.10%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240,203,298.27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94.24%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4.52%</w:t>
            </w:r>
          </w:p>
        </w:tc>
      </w:tr>
      <w:tr>
        <w:trPr>
          <w:trHeight w:val="714"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5"/>
              <w:jc w:val="left"/>
              <w:rPr>
                <w:rFonts w:ascii="宋体" w:hAnsi="宋体" w:cs="宋体" w:eastAsia="宋体" w:hint="default"/>
                <w:sz w:val="18"/>
                <w:szCs w:val="18"/>
              </w:rPr>
            </w:pPr>
            <w:r>
              <w:rPr>
                <w:rFonts w:ascii="宋体" w:hAnsi="宋体" w:cs="宋体" w:eastAsia="宋体" w:hint="default"/>
                <w:sz w:val="18"/>
                <w:szCs w:val="18"/>
              </w:rPr>
              <w:t>智慧校园应用解 决方案</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直接人工</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4,857,886.56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1.84%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4,478,603.03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1.76%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8.47%</w:t>
            </w:r>
          </w:p>
        </w:tc>
      </w:tr>
      <w:tr>
        <w:trPr>
          <w:trHeight w:val="714"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5"/>
              <w:jc w:val="left"/>
              <w:rPr>
                <w:rFonts w:ascii="宋体" w:hAnsi="宋体" w:cs="宋体" w:eastAsia="宋体" w:hint="default"/>
                <w:sz w:val="18"/>
                <w:szCs w:val="18"/>
              </w:rPr>
            </w:pPr>
            <w:r>
              <w:rPr>
                <w:rFonts w:ascii="宋体" w:hAnsi="宋体" w:cs="宋体" w:eastAsia="宋体" w:hint="default"/>
                <w:sz w:val="18"/>
                <w:szCs w:val="18"/>
              </w:rPr>
              <w:t>智慧校园应用解 决方案</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制造费用</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8,092,354.41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3.07%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10,202,715.70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4.00%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-20.68%</w:t>
            </w:r>
          </w:p>
        </w:tc>
      </w:tr>
      <w:tr>
        <w:trPr>
          <w:trHeight w:val="714"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5"/>
              <w:jc w:val="left"/>
              <w:rPr>
                <w:rFonts w:ascii="宋体" w:hAnsi="宋体" w:cs="宋体" w:eastAsia="宋体" w:hint="default"/>
                <w:sz w:val="18"/>
                <w:szCs w:val="18"/>
              </w:rPr>
            </w:pPr>
            <w:r>
              <w:rPr>
                <w:rFonts w:ascii="宋体" w:hAnsi="宋体" w:cs="宋体" w:eastAsia="宋体" w:hint="default"/>
                <w:sz w:val="18"/>
                <w:szCs w:val="18"/>
              </w:rPr>
              <w:t>智慧校园云平台 解决方案</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直接人工</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6,832,470.28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6,790,465.40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0.62%</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运维服务</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直接材料</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4,809,676.15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2,736,979.76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100.00%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75.73%</w:t>
            </w:r>
          </w:p>
        </w:tc>
      </w:tr>
    </w:tbl>
    <w:p>
      <w:pPr>
        <w:spacing w:before="51"/>
        <w:ind w:left="154" w:right="1117" w:firstLine="0"/>
        <w:jc w:val="left"/>
        <w:rPr>
          <w:rFonts w:ascii="宋体" w:hAnsi="宋体" w:cs="宋体" w:eastAsia="宋体" w:hint="default"/>
          <w:sz w:val="18"/>
          <w:szCs w:val="18"/>
        </w:rPr>
      </w:pPr>
      <w:r>
        <w:rPr>
          <w:rFonts w:ascii="宋体" w:hAnsi="宋体" w:cs="宋体" w:eastAsia="宋体" w:hint="default"/>
          <w:sz w:val="18"/>
          <w:szCs w:val="18"/>
        </w:rPr>
        <w:t>说明</w:t>
      </w:r>
    </w:p>
    <w:p>
      <w:pPr>
        <w:spacing w:line="240" w:lineRule="auto" w:before="11"/>
        <w:rPr>
          <w:rFonts w:ascii="宋体" w:hAnsi="宋体" w:cs="宋体" w:eastAsia="宋体" w:hint="default"/>
          <w:sz w:val="26"/>
          <w:szCs w:val="26"/>
        </w:rPr>
      </w:pPr>
    </w:p>
    <w:p>
      <w:pPr>
        <w:pStyle w:val="Heading4"/>
        <w:spacing w:line="240" w:lineRule="auto"/>
        <w:ind w:right="1117"/>
        <w:jc w:val="left"/>
        <w:rPr>
          <w:b w:val="0"/>
          <w:bCs w:val="0"/>
        </w:rPr>
      </w:pPr>
      <w:bookmarkStart w:name="（6）报告期内合并范围是否发生变动" w:id="32"/>
      <w:bookmarkEnd w:id="32"/>
      <w:r>
        <w:rPr>
          <w:b w:val="0"/>
          <w:bCs w:val="0"/>
        </w:rPr>
      </w:r>
      <w:r>
        <w:rPr/>
        <w:t>（</w:t>
      </w:r>
      <w:r>
        <w:rPr>
          <w:rFonts w:ascii="Times New Roman" w:hAnsi="Times New Roman" w:cs="Times New Roman" w:eastAsia="Times New Roman" w:hint="default"/>
        </w:rPr>
        <w:t>6</w:t>
      </w:r>
      <w:r>
        <w:rPr/>
        <w:t>）报告期内合并范围是否发生变动</w:t>
      </w:r>
      <w:r>
        <w:rPr>
          <w:b w:val="0"/>
          <w:bCs w:val="0"/>
        </w:rPr>
      </w:r>
    </w:p>
    <w:p>
      <w:pPr>
        <w:spacing w:line="240" w:lineRule="auto" w:before="8"/>
        <w:rPr>
          <w:rFonts w:ascii="宋体" w:hAnsi="宋体" w:cs="宋体" w:eastAsia="宋体" w:hint="default"/>
          <w:b/>
          <w:bCs/>
          <w:sz w:val="26"/>
          <w:szCs w:val="26"/>
        </w:rPr>
      </w:pPr>
    </w:p>
    <w:p>
      <w:pPr>
        <w:spacing w:before="0"/>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否</w:t>
      </w:r>
    </w:p>
    <w:p>
      <w:pPr>
        <w:pStyle w:val="BodyText"/>
        <w:spacing w:line="386" w:lineRule="auto" w:before="155"/>
        <w:ind w:right="1194" w:firstLine="423"/>
        <w:jc w:val="left"/>
      </w:pPr>
      <w:r>
        <w:rPr>
          <w:rFonts w:ascii="Times New Roman" w:hAnsi="Times New Roman" w:cs="Times New Roman" w:eastAsia="Times New Roman" w:hint="default"/>
        </w:rPr>
        <w:t>1</w:t>
      </w:r>
      <w:r>
        <w:rPr/>
        <w:t>、本年度公司新设子公司完美数联（北京）科技有限公司、北京开普力维科技有限公司，将其纳入 报表合并范围内；</w:t>
      </w:r>
    </w:p>
    <w:p>
      <w:pPr>
        <w:pStyle w:val="BodyText"/>
        <w:spacing w:line="386" w:lineRule="auto" w:before="65"/>
        <w:ind w:right="1194" w:firstLine="423"/>
        <w:jc w:val="left"/>
      </w:pPr>
      <w:r>
        <w:rPr>
          <w:rFonts w:ascii="Times New Roman" w:hAnsi="Times New Roman" w:cs="Times New Roman" w:eastAsia="Times New Roman" w:hint="default"/>
        </w:rPr>
        <w:t>2</w:t>
      </w:r>
      <w:r>
        <w:rPr/>
        <w:t>、本年度新设郑州惠品优购商贸有限公司并于本年度注销，自成立日至处置日的收入、费用、利润 纳入合并利润表；自成立日至处置日的现金流量纳入合并现金流量表；</w:t>
      </w:r>
    </w:p>
    <w:p>
      <w:pPr>
        <w:pStyle w:val="BodyText"/>
        <w:spacing w:line="386" w:lineRule="auto" w:before="65"/>
        <w:ind w:right="1194" w:firstLine="423"/>
        <w:jc w:val="left"/>
      </w:pPr>
      <w:r>
        <w:rPr>
          <w:rFonts w:ascii="Times New Roman" w:hAnsi="Times New Roman" w:cs="Times New Roman" w:eastAsia="Times New Roman" w:hint="default"/>
        </w:rPr>
        <w:t>3</w:t>
      </w:r>
      <w:r>
        <w:rPr/>
        <w:t>、本年度注销子公司山西新开普信息科技有限公司，期初至处置日的收入、费用、利润纳入合并利 润表；期初至处置日的现金流量纳入合并现金流量表。</w:t>
      </w:r>
    </w:p>
    <w:p>
      <w:pPr>
        <w:spacing w:line="240" w:lineRule="auto" w:before="0"/>
        <w:rPr>
          <w:rFonts w:ascii="宋体" w:hAnsi="宋体" w:cs="宋体" w:eastAsia="宋体" w:hint="default"/>
          <w:sz w:val="22"/>
          <w:szCs w:val="22"/>
        </w:rPr>
      </w:pPr>
    </w:p>
    <w:p>
      <w:pPr>
        <w:pStyle w:val="Heading4"/>
        <w:spacing w:line="240" w:lineRule="auto"/>
        <w:ind w:right="1117"/>
        <w:jc w:val="left"/>
        <w:rPr>
          <w:b w:val="0"/>
          <w:bCs w:val="0"/>
        </w:rPr>
      </w:pPr>
      <w:bookmarkStart w:name="（7）公司报告期内业务、产品或服务发生重大变化或调整有关情况" w:id="33"/>
      <w:bookmarkEnd w:id="33"/>
      <w:r>
        <w:rPr>
          <w:b w:val="0"/>
          <w:bCs w:val="0"/>
        </w:rPr>
      </w:r>
      <w:r>
        <w:rPr/>
        <w:t>（</w:t>
      </w:r>
      <w:r>
        <w:rPr>
          <w:rFonts w:ascii="Times New Roman" w:hAnsi="Times New Roman" w:cs="Times New Roman" w:eastAsia="Times New Roman" w:hint="default"/>
        </w:rPr>
        <w:t>7</w:t>
      </w:r>
      <w:r>
        <w:rPr/>
        <w:t>）公司报告期内业务、产品或服务发生重大变化或调整有关情况</w:t>
      </w:r>
      <w:r>
        <w:rPr>
          <w:b w:val="0"/>
          <w:bCs w:val="0"/>
        </w:rPr>
      </w:r>
    </w:p>
    <w:p>
      <w:pPr>
        <w:spacing w:line="240" w:lineRule="auto" w:before="8"/>
        <w:rPr>
          <w:rFonts w:ascii="宋体" w:hAnsi="宋体" w:cs="宋体" w:eastAsia="宋体" w:hint="default"/>
          <w:b/>
          <w:bCs/>
          <w:sz w:val="26"/>
          <w:szCs w:val="26"/>
        </w:rPr>
      </w:pPr>
    </w:p>
    <w:p>
      <w:pPr>
        <w:spacing w:before="0"/>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9"/>
        <w:rPr>
          <w:rFonts w:ascii="宋体" w:hAnsi="宋体" w:cs="宋体" w:eastAsia="宋体" w:hint="default"/>
          <w:sz w:val="25"/>
          <w:szCs w:val="25"/>
        </w:rPr>
      </w:pPr>
    </w:p>
    <w:p>
      <w:pPr>
        <w:pStyle w:val="Heading4"/>
        <w:spacing w:line="240" w:lineRule="auto"/>
        <w:ind w:right="1117"/>
        <w:jc w:val="left"/>
        <w:rPr>
          <w:b w:val="0"/>
          <w:bCs w:val="0"/>
        </w:rPr>
      </w:pPr>
      <w:bookmarkStart w:name="（8）主要销售客户和主要供应商情况" w:id="34"/>
      <w:bookmarkEnd w:id="34"/>
      <w:r>
        <w:rPr>
          <w:b w:val="0"/>
          <w:bCs w:val="0"/>
        </w:rPr>
      </w:r>
      <w:r>
        <w:rPr/>
        <w:t>（</w:t>
      </w:r>
      <w:r>
        <w:rPr>
          <w:rFonts w:ascii="Times New Roman" w:hAnsi="Times New Roman" w:cs="Times New Roman" w:eastAsia="Times New Roman" w:hint="default"/>
        </w:rPr>
        <w:t>8</w:t>
      </w:r>
      <w:r>
        <w:rPr/>
        <w:t>）主要销售客户和主要供应商情况</w:t>
      </w:r>
      <w:r>
        <w:rPr>
          <w:b w:val="0"/>
          <w:bCs w:val="0"/>
        </w:rPr>
      </w:r>
    </w:p>
    <w:p>
      <w:pPr>
        <w:spacing w:line="240" w:lineRule="auto" w:before="9"/>
        <w:rPr>
          <w:rFonts w:ascii="宋体" w:hAnsi="宋体" w:cs="宋体" w:eastAsia="宋体" w:hint="default"/>
          <w:b/>
          <w:bCs/>
          <w:sz w:val="26"/>
          <w:szCs w:val="26"/>
        </w:rPr>
      </w:pPr>
    </w:p>
    <w:p>
      <w:pPr>
        <w:spacing w:before="0"/>
        <w:ind w:left="154" w:right="1117" w:firstLine="0"/>
        <w:jc w:val="left"/>
        <w:rPr>
          <w:rFonts w:ascii="宋体" w:hAnsi="宋体" w:cs="宋体" w:eastAsia="宋体" w:hint="default"/>
          <w:sz w:val="18"/>
          <w:szCs w:val="18"/>
        </w:rPr>
      </w:pPr>
      <w:r>
        <w:rPr>
          <w:rFonts w:ascii="宋体" w:hAnsi="宋体" w:cs="宋体" w:eastAsia="宋体" w:hint="default"/>
          <w:sz w:val="18"/>
          <w:szCs w:val="18"/>
        </w:rPr>
        <w:t>公司主要销售客户情况</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4258"/>
        <w:gridCol w:w="5311"/>
      </w:tblGrid>
      <w:tr>
        <w:trPr>
          <w:trHeight w:val="402" w:hRule="exact"/>
        </w:trPr>
        <w:tc>
          <w:tcPr>
            <w:tcW w:w="42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前五名客户合计销售金额（元）</w:t>
            </w:r>
          </w:p>
        </w:tc>
        <w:tc>
          <w:tcPr>
            <w:tcW w:w="53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69,668,481.10</w:t>
            </w:r>
          </w:p>
        </w:tc>
      </w:tr>
      <w:tr>
        <w:trPr>
          <w:trHeight w:val="402" w:hRule="exact"/>
        </w:trPr>
        <w:tc>
          <w:tcPr>
            <w:tcW w:w="42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前五名客户合计销售金额占年度销售总额比例</w:t>
            </w:r>
          </w:p>
        </w:tc>
        <w:tc>
          <w:tcPr>
            <w:tcW w:w="53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8.32%</w:t>
            </w:r>
          </w:p>
        </w:tc>
      </w:tr>
      <w:tr>
        <w:trPr>
          <w:trHeight w:val="714" w:hRule="exact"/>
        </w:trPr>
        <w:tc>
          <w:tcPr>
            <w:tcW w:w="42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83"/>
              <w:jc w:val="left"/>
              <w:rPr>
                <w:rFonts w:ascii="宋体" w:hAnsi="宋体" w:cs="宋体" w:eastAsia="宋体" w:hint="default"/>
                <w:sz w:val="18"/>
                <w:szCs w:val="18"/>
              </w:rPr>
            </w:pPr>
            <w:r>
              <w:rPr>
                <w:rFonts w:ascii="宋体" w:hAnsi="宋体" w:cs="宋体" w:eastAsia="宋体" w:hint="default"/>
                <w:sz w:val="18"/>
                <w:szCs w:val="18"/>
              </w:rPr>
              <w:t>前五名客户销售额中关联方销售额占年度销售总额比 例</w:t>
            </w:r>
          </w:p>
        </w:tc>
        <w:tc>
          <w:tcPr>
            <w:tcW w:w="53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0.00%</w:t>
            </w:r>
          </w:p>
        </w:tc>
      </w:tr>
    </w:tbl>
    <w:p>
      <w:pPr>
        <w:spacing w:before="51"/>
        <w:ind w:left="154" w:right="1117" w:firstLine="0"/>
        <w:jc w:val="left"/>
        <w:rPr>
          <w:rFonts w:ascii="宋体" w:hAnsi="宋体" w:cs="宋体" w:eastAsia="宋体" w:hint="default"/>
          <w:sz w:val="18"/>
          <w:szCs w:val="18"/>
        </w:rPr>
      </w:pPr>
      <w:r>
        <w:rPr>
          <w:rFonts w:ascii="宋体" w:hAnsi="宋体" w:cs="宋体" w:eastAsia="宋体" w:hint="default"/>
          <w:sz w:val="18"/>
          <w:szCs w:val="18"/>
        </w:rPr>
        <w:t>公司前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大客户资料</w:t>
      </w:r>
    </w:p>
    <w:p>
      <w:pPr>
        <w:spacing w:after="0"/>
        <w:jc w:val="left"/>
        <w:rPr>
          <w:rFonts w:ascii="宋体" w:hAnsi="宋体" w:cs="宋体" w:eastAsia="宋体" w:hint="default"/>
          <w:sz w:val="18"/>
          <w:szCs w:val="18"/>
        </w:rPr>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791"/>
        <w:gridCol w:w="3313"/>
        <w:gridCol w:w="2322"/>
        <w:gridCol w:w="3143"/>
      </w:tblGrid>
      <w:tr>
        <w:trPr>
          <w:trHeight w:val="402" w:hRule="exact"/>
        </w:trPr>
        <w:tc>
          <w:tcPr>
            <w:tcW w:w="7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15" w:right="0"/>
              <w:jc w:val="left"/>
              <w:rPr>
                <w:rFonts w:ascii="宋体" w:hAnsi="宋体" w:cs="宋体" w:eastAsia="宋体" w:hint="default"/>
                <w:sz w:val="18"/>
                <w:szCs w:val="18"/>
              </w:rPr>
            </w:pPr>
            <w:r>
              <w:rPr>
                <w:rFonts w:ascii="宋体" w:hAnsi="宋体" w:cs="宋体" w:eastAsia="宋体" w:hint="default"/>
                <w:sz w:val="18"/>
                <w:szCs w:val="18"/>
              </w:rPr>
              <w:t>序号</w:t>
            </w:r>
          </w:p>
        </w:tc>
        <w:tc>
          <w:tcPr>
            <w:tcW w:w="33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center"/>
              <w:rPr>
                <w:rFonts w:ascii="宋体" w:hAnsi="宋体" w:cs="宋体" w:eastAsia="宋体" w:hint="default"/>
                <w:sz w:val="18"/>
                <w:szCs w:val="18"/>
              </w:rPr>
            </w:pPr>
            <w:r>
              <w:rPr>
                <w:rFonts w:ascii="宋体" w:hAnsi="宋体" w:cs="宋体" w:eastAsia="宋体" w:hint="default"/>
                <w:sz w:val="18"/>
                <w:szCs w:val="18"/>
              </w:rPr>
              <w:t>客户名称</w:t>
            </w:r>
          </w:p>
        </w:tc>
        <w:tc>
          <w:tcPr>
            <w:tcW w:w="23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15" w:right="0"/>
              <w:jc w:val="left"/>
              <w:rPr>
                <w:rFonts w:ascii="宋体" w:hAnsi="宋体" w:cs="宋体" w:eastAsia="宋体" w:hint="default"/>
                <w:sz w:val="18"/>
                <w:szCs w:val="18"/>
              </w:rPr>
            </w:pPr>
            <w:r>
              <w:rPr>
                <w:rFonts w:ascii="宋体" w:hAnsi="宋体" w:cs="宋体" w:eastAsia="宋体" w:hint="default"/>
                <w:sz w:val="18"/>
                <w:szCs w:val="18"/>
              </w:rPr>
              <w:t>销售额（元）</w:t>
            </w:r>
          </w:p>
        </w:tc>
        <w:tc>
          <w:tcPr>
            <w:tcW w:w="31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56" w:right="0"/>
              <w:jc w:val="left"/>
              <w:rPr>
                <w:rFonts w:ascii="宋体" w:hAnsi="宋体" w:cs="宋体" w:eastAsia="宋体" w:hint="default"/>
                <w:sz w:val="18"/>
                <w:szCs w:val="18"/>
              </w:rPr>
            </w:pPr>
            <w:r>
              <w:rPr>
                <w:rFonts w:ascii="宋体" w:hAnsi="宋体" w:cs="宋体" w:eastAsia="宋体" w:hint="default"/>
                <w:sz w:val="18"/>
                <w:szCs w:val="18"/>
              </w:rPr>
              <w:t>占年度销售总额比例</w:t>
            </w:r>
          </w:p>
        </w:tc>
      </w:tr>
      <w:tr>
        <w:trPr>
          <w:trHeight w:val="402" w:hRule="exact"/>
        </w:trPr>
        <w:tc>
          <w:tcPr>
            <w:tcW w:w="7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1</w:t>
            </w:r>
          </w:p>
        </w:tc>
        <w:tc>
          <w:tcPr>
            <w:tcW w:w="331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河南优中贸易有限公司</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18,864,683.33</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2.25%</w:t>
            </w:r>
          </w:p>
        </w:tc>
      </w:tr>
      <w:tr>
        <w:trPr>
          <w:trHeight w:val="402" w:hRule="exact"/>
        </w:trPr>
        <w:tc>
          <w:tcPr>
            <w:tcW w:w="7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2</w:t>
            </w:r>
          </w:p>
        </w:tc>
        <w:tc>
          <w:tcPr>
            <w:tcW w:w="331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鹤壁市卓铭能源技术有限公司</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18,457,913.79</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2.20%</w:t>
            </w:r>
          </w:p>
        </w:tc>
      </w:tr>
      <w:tr>
        <w:trPr>
          <w:trHeight w:val="161" w:hRule="exact"/>
        </w:trPr>
        <w:tc>
          <w:tcPr>
            <w:tcW w:w="791" w:type="dxa"/>
            <w:tcBorders>
              <w:top w:val="single" w:sz="4" w:space="0" w:color="000000"/>
              <w:left w:val="single" w:sz="4" w:space="0" w:color="000000"/>
              <w:bottom w:val="nil" w:sz="6" w:space="0" w:color="auto"/>
              <w:right w:val="single" w:sz="4" w:space="0" w:color="000000"/>
            </w:tcBorders>
            <w:shd w:val="clear" w:color="auto" w:fill="D2D2D2"/>
          </w:tcPr>
          <w:p>
            <w:pPr/>
          </w:p>
        </w:tc>
        <w:tc>
          <w:tcPr>
            <w:tcW w:w="3313" w:type="dxa"/>
            <w:vMerge w:val="restart"/>
            <w:tcBorders>
              <w:top w:val="single" w:sz="4" w:space="0" w:color="000000"/>
              <w:left w:val="single" w:sz="9" w:space="0" w:color="D2D2D2"/>
              <w:right w:val="single" w:sz="4" w:space="0" w:color="000000"/>
            </w:tcBorders>
          </w:tcPr>
          <w:p>
            <w:pPr>
              <w:pStyle w:val="TableParagraph"/>
              <w:spacing w:line="319" w:lineRule="auto" w:before="51"/>
              <w:ind w:left="28" w:right="27"/>
              <w:jc w:val="left"/>
              <w:rPr>
                <w:rFonts w:ascii="宋体" w:hAnsi="宋体" w:cs="宋体" w:eastAsia="宋体" w:hint="default"/>
                <w:sz w:val="18"/>
                <w:szCs w:val="18"/>
              </w:rPr>
            </w:pPr>
            <w:r>
              <w:rPr>
                <w:rFonts w:ascii="宋体" w:hAnsi="宋体" w:cs="宋体" w:eastAsia="宋体" w:hint="default"/>
                <w:sz w:val="18"/>
                <w:szCs w:val="18"/>
              </w:rPr>
              <w:t>中国建设银行股份有限公司南昌市洪都支 行</w:t>
            </w:r>
          </w:p>
        </w:tc>
        <w:tc>
          <w:tcPr>
            <w:tcW w:w="232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259" w:right="0"/>
              <w:jc w:val="left"/>
              <w:rPr>
                <w:rFonts w:ascii="Times New Roman" w:hAnsi="Times New Roman" w:cs="Times New Roman" w:eastAsia="Times New Roman" w:hint="default"/>
                <w:sz w:val="18"/>
                <w:szCs w:val="18"/>
              </w:rPr>
            </w:pPr>
            <w:r>
              <w:rPr>
                <w:rFonts w:ascii="Times New Roman"/>
                <w:sz w:val="18"/>
              </w:rPr>
              <w:t>12,117,807.99</w:t>
            </w:r>
          </w:p>
        </w:tc>
        <w:tc>
          <w:tcPr>
            <w:tcW w:w="3143"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1.45%</w:t>
            </w:r>
          </w:p>
        </w:tc>
      </w:tr>
      <w:tr>
        <w:trPr>
          <w:trHeight w:val="392" w:hRule="exact"/>
        </w:trPr>
        <w:tc>
          <w:tcPr>
            <w:tcW w:w="79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3</w:t>
            </w:r>
          </w:p>
        </w:tc>
        <w:tc>
          <w:tcPr>
            <w:tcW w:w="3313" w:type="dxa"/>
            <w:vMerge/>
            <w:tcBorders>
              <w:left w:val="single" w:sz="9" w:space="0" w:color="D2D2D2"/>
              <w:right w:val="single" w:sz="4" w:space="0" w:color="000000"/>
            </w:tcBorders>
          </w:tcPr>
          <w:p>
            <w:pPr/>
          </w:p>
        </w:tc>
        <w:tc>
          <w:tcPr>
            <w:tcW w:w="2322" w:type="dxa"/>
            <w:vMerge/>
            <w:tcBorders>
              <w:left w:val="single" w:sz="4" w:space="0" w:color="000000"/>
              <w:right w:val="single" w:sz="4" w:space="0" w:color="000000"/>
            </w:tcBorders>
          </w:tcPr>
          <w:p>
            <w:pPr/>
          </w:p>
        </w:tc>
        <w:tc>
          <w:tcPr>
            <w:tcW w:w="3143" w:type="dxa"/>
            <w:vMerge/>
            <w:tcBorders>
              <w:left w:val="single" w:sz="4" w:space="0" w:color="000000"/>
              <w:right w:val="single" w:sz="4" w:space="0" w:color="000000"/>
            </w:tcBorders>
          </w:tcPr>
          <w:p>
            <w:pPr/>
          </w:p>
        </w:tc>
      </w:tr>
      <w:tr>
        <w:trPr>
          <w:trHeight w:val="161" w:hRule="exact"/>
        </w:trPr>
        <w:tc>
          <w:tcPr>
            <w:tcW w:w="791" w:type="dxa"/>
            <w:tcBorders>
              <w:top w:val="nil" w:sz="6" w:space="0" w:color="auto"/>
              <w:left w:val="single" w:sz="4" w:space="0" w:color="000000"/>
              <w:bottom w:val="single" w:sz="4" w:space="0" w:color="000000"/>
              <w:right w:val="single" w:sz="4" w:space="0" w:color="000000"/>
            </w:tcBorders>
            <w:shd w:val="clear" w:color="auto" w:fill="D2D2D2"/>
          </w:tcPr>
          <w:p>
            <w:pPr/>
          </w:p>
        </w:tc>
        <w:tc>
          <w:tcPr>
            <w:tcW w:w="3313" w:type="dxa"/>
            <w:vMerge/>
            <w:tcBorders>
              <w:left w:val="single" w:sz="9" w:space="0" w:color="D2D2D2"/>
              <w:bottom w:val="single" w:sz="4" w:space="0" w:color="000000"/>
              <w:right w:val="single" w:sz="4" w:space="0" w:color="000000"/>
            </w:tcBorders>
          </w:tcPr>
          <w:p>
            <w:pPr/>
          </w:p>
        </w:tc>
        <w:tc>
          <w:tcPr>
            <w:tcW w:w="2322" w:type="dxa"/>
            <w:vMerge/>
            <w:tcBorders>
              <w:left w:val="single" w:sz="4" w:space="0" w:color="000000"/>
              <w:bottom w:val="single" w:sz="4" w:space="0" w:color="000000"/>
              <w:right w:val="single" w:sz="4" w:space="0" w:color="000000"/>
            </w:tcBorders>
          </w:tcPr>
          <w:p>
            <w:pPr/>
          </w:p>
        </w:tc>
        <w:tc>
          <w:tcPr>
            <w:tcW w:w="3143" w:type="dxa"/>
            <w:vMerge/>
            <w:tcBorders>
              <w:left w:val="single" w:sz="4" w:space="0" w:color="000000"/>
              <w:bottom w:val="single" w:sz="4" w:space="0" w:color="000000"/>
              <w:right w:val="single" w:sz="4" w:space="0" w:color="000000"/>
            </w:tcBorders>
          </w:tcPr>
          <w:p>
            <w:pPr/>
          </w:p>
        </w:tc>
      </w:tr>
      <w:tr>
        <w:trPr>
          <w:trHeight w:val="402" w:hRule="exact"/>
        </w:trPr>
        <w:tc>
          <w:tcPr>
            <w:tcW w:w="7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4</w:t>
            </w:r>
          </w:p>
        </w:tc>
        <w:tc>
          <w:tcPr>
            <w:tcW w:w="331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中国农业银行股份有限公司上海市分行</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11,577,644.99</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1.38%</w:t>
            </w:r>
          </w:p>
        </w:tc>
      </w:tr>
      <w:tr>
        <w:trPr>
          <w:trHeight w:val="402" w:hRule="exact"/>
        </w:trPr>
        <w:tc>
          <w:tcPr>
            <w:tcW w:w="7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5</w:t>
            </w:r>
          </w:p>
        </w:tc>
        <w:tc>
          <w:tcPr>
            <w:tcW w:w="331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中国工商银行重庆市分行</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8,650,431.00</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1.03%</w:t>
            </w:r>
          </w:p>
        </w:tc>
      </w:tr>
      <w:tr>
        <w:trPr>
          <w:trHeight w:val="402" w:hRule="exact"/>
        </w:trPr>
        <w:tc>
          <w:tcPr>
            <w:tcW w:w="7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3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2" w:right="0"/>
              <w:jc w:val="center"/>
              <w:rPr>
                <w:rFonts w:ascii="Times New Roman" w:hAnsi="Times New Roman" w:cs="Times New Roman" w:eastAsia="Times New Roman" w:hint="default"/>
                <w:sz w:val="18"/>
                <w:szCs w:val="18"/>
              </w:rPr>
            </w:pPr>
            <w:r>
              <w:rPr>
                <w:rFonts w:ascii="Times New Roman"/>
                <w:sz w:val="18"/>
              </w:rPr>
              <w:t>--</w:t>
            </w:r>
          </w:p>
        </w:tc>
        <w:tc>
          <w:tcPr>
            <w:tcW w:w="232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69,668,481.10</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8.32%</w:t>
            </w:r>
          </w:p>
        </w:tc>
      </w:tr>
    </w:tbl>
    <w:p>
      <w:pPr>
        <w:spacing w:before="51"/>
        <w:ind w:left="154" w:right="1117" w:firstLine="0"/>
        <w:jc w:val="left"/>
        <w:rPr>
          <w:rFonts w:ascii="宋体" w:hAnsi="宋体" w:cs="宋体" w:eastAsia="宋体" w:hint="default"/>
          <w:sz w:val="18"/>
          <w:szCs w:val="18"/>
        </w:rPr>
      </w:pPr>
      <w:r>
        <w:rPr>
          <w:rFonts w:ascii="宋体" w:hAnsi="宋体" w:cs="宋体" w:eastAsia="宋体" w:hint="default"/>
          <w:sz w:val="18"/>
          <w:szCs w:val="18"/>
        </w:rPr>
        <w:t>主要客户其他情况说明</w:t>
      </w:r>
    </w:p>
    <w:p>
      <w:pPr>
        <w:spacing w:line="338" w:lineRule="auto" w:before="117"/>
        <w:ind w:left="154" w:right="913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公司主要供应商情况</w:t>
      </w:r>
    </w:p>
    <w:p>
      <w:pPr>
        <w:spacing w:line="240" w:lineRule="auto" w:before="6"/>
        <w:rPr>
          <w:rFonts w:ascii="宋体" w:hAnsi="宋体" w:cs="宋体" w:eastAsia="宋体" w:hint="default"/>
          <w:sz w:val="2"/>
          <w:szCs w:val="2"/>
        </w:rPr>
      </w:pPr>
    </w:p>
    <w:tbl>
      <w:tblPr>
        <w:tblW w:w="0" w:type="auto"/>
        <w:jc w:val="left"/>
        <w:tblInd w:w="149" w:type="dxa"/>
        <w:tblLayout w:type="fixed"/>
        <w:tblCellMar>
          <w:top w:w="0" w:type="dxa"/>
          <w:left w:w="0" w:type="dxa"/>
          <w:bottom w:w="0" w:type="dxa"/>
          <w:right w:w="0" w:type="dxa"/>
        </w:tblCellMar>
        <w:tblLook w:val="01E0"/>
      </w:tblPr>
      <w:tblGrid>
        <w:gridCol w:w="4258"/>
        <w:gridCol w:w="5311"/>
      </w:tblGrid>
      <w:tr>
        <w:trPr>
          <w:trHeight w:val="402" w:hRule="exact"/>
        </w:trPr>
        <w:tc>
          <w:tcPr>
            <w:tcW w:w="42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前五名供应商合计采购金额（元）</w:t>
            </w:r>
          </w:p>
        </w:tc>
        <w:tc>
          <w:tcPr>
            <w:tcW w:w="53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43,339,409.81</w:t>
            </w:r>
          </w:p>
        </w:tc>
      </w:tr>
      <w:tr>
        <w:trPr>
          <w:trHeight w:val="402" w:hRule="exact"/>
        </w:trPr>
        <w:tc>
          <w:tcPr>
            <w:tcW w:w="42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前五名供应商合计采购金额占年度采购总额比例</w:t>
            </w:r>
          </w:p>
        </w:tc>
        <w:tc>
          <w:tcPr>
            <w:tcW w:w="53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12.72%</w:t>
            </w:r>
          </w:p>
        </w:tc>
      </w:tr>
      <w:tr>
        <w:trPr>
          <w:trHeight w:val="714" w:hRule="exact"/>
        </w:trPr>
        <w:tc>
          <w:tcPr>
            <w:tcW w:w="42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83"/>
              <w:jc w:val="left"/>
              <w:rPr>
                <w:rFonts w:ascii="宋体" w:hAnsi="宋体" w:cs="宋体" w:eastAsia="宋体" w:hint="default"/>
                <w:sz w:val="18"/>
                <w:szCs w:val="18"/>
              </w:rPr>
            </w:pPr>
            <w:r>
              <w:rPr>
                <w:rFonts w:ascii="宋体" w:hAnsi="宋体" w:cs="宋体" w:eastAsia="宋体" w:hint="default"/>
                <w:sz w:val="18"/>
                <w:szCs w:val="18"/>
              </w:rPr>
              <w:t>前五名供应商采购额中关联方采购额占年度采购总额 比例</w:t>
            </w:r>
          </w:p>
        </w:tc>
        <w:tc>
          <w:tcPr>
            <w:tcW w:w="53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0.00%</w:t>
            </w:r>
          </w:p>
        </w:tc>
      </w:tr>
    </w:tbl>
    <w:p>
      <w:pPr>
        <w:spacing w:before="51"/>
        <w:ind w:left="154" w:right="1117" w:firstLine="0"/>
        <w:jc w:val="left"/>
        <w:rPr>
          <w:rFonts w:ascii="宋体" w:hAnsi="宋体" w:cs="宋体" w:eastAsia="宋体" w:hint="default"/>
          <w:sz w:val="18"/>
          <w:szCs w:val="18"/>
        </w:rPr>
      </w:pPr>
      <w:r>
        <w:rPr>
          <w:rFonts w:ascii="宋体" w:hAnsi="宋体" w:cs="宋体" w:eastAsia="宋体" w:hint="default"/>
          <w:sz w:val="18"/>
          <w:szCs w:val="18"/>
        </w:rPr>
        <w:t>公司前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名供应商资料</w:t>
      </w:r>
    </w:p>
    <w:p>
      <w:pPr>
        <w:spacing w:line="240" w:lineRule="auto" w:before="0"/>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912"/>
        <w:gridCol w:w="3180"/>
        <w:gridCol w:w="2322"/>
        <w:gridCol w:w="3143"/>
      </w:tblGrid>
      <w:tr>
        <w:trPr>
          <w:trHeight w:val="402" w:hRule="exact"/>
        </w:trPr>
        <w:tc>
          <w:tcPr>
            <w:tcW w:w="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70" w:right="0"/>
              <w:jc w:val="left"/>
              <w:rPr>
                <w:rFonts w:ascii="宋体" w:hAnsi="宋体" w:cs="宋体" w:eastAsia="宋体" w:hint="default"/>
                <w:sz w:val="18"/>
                <w:szCs w:val="18"/>
              </w:rPr>
            </w:pPr>
            <w:r>
              <w:rPr>
                <w:rFonts w:ascii="宋体" w:hAnsi="宋体" w:cs="宋体" w:eastAsia="宋体" w:hint="default"/>
                <w:sz w:val="18"/>
                <w:szCs w:val="18"/>
              </w:rPr>
              <w:t>序号</w:t>
            </w:r>
          </w:p>
        </w:tc>
        <w:tc>
          <w:tcPr>
            <w:tcW w:w="31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 w:right="0"/>
              <w:jc w:val="center"/>
              <w:rPr>
                <w:rFonts w:ascii="宋体" w:hAnsi="宋体" w:cs="宋体" w:eastAsia="宋体" w:hint="default"/>
                <w:sz w:val="18"/>
                <w:szCs w:val="18"/>
              </w:rPr>
            </w:pPr>
            <w:r>
              <w:rPr>
                <w:rFonts w:ascii="宋体" w:hAnsi="宋体" w:cs="宋体" w:eastAsia="宋体" w:hint="default"/>
                <w:sz w:val="18"/>
                <w:szCs w:val="18"/>
              </w:rPr>
              <w:t>供应商名称</w:t>
            </w:r>
          </w:p>
        </w:tc>
        <w:tc>
          <w:tcPr>
            <w:tcW w:w="23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15" w:right="0"/>
              <w:jc w:val="left"/>
              <w:rPr>
                <w:rFonts w:ascii="宋体" w:hAnsi="宋体" w:cs="宋体" w:eastAsia="宋体" w:hint="default"/>
                <w:sz w:val="18"/>
                <w:szCs w:val="18"/>
              </w:rPr>
            </w:pPr>
            <w:r>
              <w:rPr>
                <w:rFonts w:ascii="宋体" w:hAnsi="宋体" w:cs="宋体" w:eastAsia="宋体" w:hint="default"/>
                <w:sz w:val="18"/>
                <w:szCs w:val="18"/>
              </w:rPr>
              <w:t>采购额（元）</w:t>
            </w:r>
          </w:p>
        </w:tc>
        <w:tc>
          <w:tcPr>
            <w:tcW w:w="31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56" w:right="0"/>
              <w:jc w:val="left"/>
              <w:rPr>
                <w:rFonts w:ascii="宋体" w:hAnsi="宋体" w:cs="宋体" w:eastAsia="宋体" w:hint="default"/>
                <w:sz w:val="18"/>
                <w:szCs w:val="18"/>
              </w:rPr>
            </w:pPr>
            <w:r>
              <w:rPr>
                <w:rFonts w:ascii="宋体" w:hAnsi="宋体" w:cs="宋体" w:eastAsia="宋体" w:hint="default"/>
                <w:sz w:val="18"/>
                <w:szCs w:val="18"/>
              </w:rPr>
              <w:t>占年度采购总额比例</w:t>
            </w:r>
          </w:p>
        </w:tc>
      </w:tr>
      <w:tr>
        <w:trPr>
          <w:trHeight w:val="402" w:hRule="exact"/>
        </w:trPr>
        <w:tc>
          <w:tcPr>
            <w:tcW w:w="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1" w:right="0"/>
              <w:jc w:val="left"/>
              <w:rPr>
                <w:rFonts w:ascii="Times New Roman" w:hAnsi="Times New Roman" w:cs="Times New Roman" w:eastAsia="Times New Roman" w:hint="default"/>
                <w:sz w:val="18"/>
                <w:szCs w:val="18"/>
              </w:rPr>
            </w:pPr>
            <w:r>
              <w:rPr>
                <w:rFonts w:ascii="Times New Roman"/>
                <w:sz w:val="18"/>
              </w:rPr>
              <w:t>1</w:t>
            </w:r>
          </w:p>
        </w:tc>
        <w:tc>
          <w:tcPr>
            <w:tcW w:w="31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荣成市宇翔实业有限公司</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11,787,940.71</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3.46%</w:t>
            </w:r>
          </w:p>
        </w:tc>
      </w:tr>
      <w:tr>
        <w:trPr>
          <w:trHeight w:val="402" w:hRule="exact"/>
        </w:trPr>
        <w:tc>
          <w:tcPr>
            <w:tcW w:w="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1" w:right="0"/>
              <w:jc w:val="left"/>
              <w:rPr>
                <w:rFonts w:ascii="Times New Roman" w:hAnsi="Times New Roman" w:cs="Times New Roman" w:eastAsia="Times New Roman" w:hint="default"/>
                <w:sz w:val="18"/>
                <w:szCs w:val="18"/>
              </w:rPr>
            </w:pPr>
            <w:r>
              <w:rPr>
                <w:rFonts w:ascii="Times New Roman"/>
                <w:sz w:val="18"/>
              </w:rPr>
              <w:t>2</w:t>
            </w:r>
          </w:p>
        </w:tc>
        <w:tc>
          <w:tcPr>
            <w:tcW w:w="31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北京智芯微电子科技有限公司</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10,710,929.33</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3.14%</w:t>
            </w:r>
          </w:p>
        </w:tc>
      </w:tr>
      <w:tr>
        <w:trPr>
          <w:trHeight w:val="402" w:hRule="exact"/>
        </w:trPr>
        <w:tc>
          <w:tcPr>
            <w:tcW w:w="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1" w:right="0"/>
              <w:jc w:val="left"/>
              <w:rPr>
                <w:rFonts w:ascii="Times New Roman" w:hAnsi="Times New Roman" w:cs="Times New Roman" w:eastAsia="Times New Roman" w:hint="default"/>
                <w:sz w:val="18"/>
                <w:szCs w:val="18"/>
              </w:rPr>
            </w:pPr>
            <w:r>
              <w:rPr>
                <w:rFonts w:ascii="Times New Roman"/>
                <w:sz w:val="18"/>
              </w:rPr>
              <w:t>3</w:t>
            </w:r>
          </w:p>
        </w:tc>
        <w:tc>
          <w:tcPr>
            <w:tcW w:w="31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丹东热工仪表有限公司</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8,203,495.18</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2.41%</w:t>
            </w:r>
          </w:p>
        </w:tc>
      </w:tr>
      <w:tr>
        <w:trPr>
          <w:trHeight w:val="402" w:hRule="exact"/>
        </w:trPr>
        <w:tc>
          <w:tcPr>
            <w:tcW w:w="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1" w:right="0"/>
              <w:jc w:val="left"/>
              <w:rPr>
                <w:rFonts w:ascii="Times New Roman" w:hAnsi="Times New Roman" w:cs="Times New Roman" w:eastAsia="Times New Roman" w:hint="default"/>
                <w:sz w:val="18"/>
                <w:szCs w:val="18"/>
              </w:rPr>
            </w:pPr>
            <w:r>
              <w:rPr>
                <w:rFonts w:ascii="Times New Roman"/>
                <w:sz w:val="18"/>
              </w:rPr>
              <w:t>4</w:t>
            </w:r>
          </w:p>
        </w:tc>
        <w:tc>
          <w:tcPr>
            <w:tcW w:w="31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北京宏通万达智能科技有限公司</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7,515,472.52</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2.21%</w:t>
            </w:r>
          </w:p>
        </w:tc>
      </w:tr>
      <w:tr>
        <w:trPr>
          <w:trHeight w:val="402" w:hRule="exact"/>
        </w:trPr>
        <w:tc>
          <w:tcPr>
            <w:tcW w:w="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1" w:right="0"/>
              <w:jc w:val="left"/>
              <w:rPr>
                <w:rFonts w:ascii="Times New Roman" w:hAnsi="Times New Roman" w:cs="Times New Roman" w:eastAsia="Times New Roman" w:hint="default"/>
                <w:sz w:val="18"/>
                <w:szCs w:val="18"/>
              </w:rPr>
            </w:pPr>
            <w:r>
              <w:rPr>
                <w:rFonts w:ascii="Times New Roman"/>
                <w:sz w:val="18"/>
              </w:rPr>
              <w:t>5</w:t>
            </w:r>
          </w:p>
        </w:tc>
        <w:tc>
          <w:tcPr>
            <w:tcW w:w="31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沧州通达隆昌电子机箱有限公司</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5,121,572.07</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1.50%</w:t>
            </w:r>
          </w:p>
        </w:tc>
      </w:tr>
      <w:tr>
        <w:trPr>
          <w:trHeight w:val="402" w:hRule="exact"/>
        </w:trPr>
        <w:tc>
          <w:tcPr>
            <w:tcW w:w="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8" w:right="0"/>
              <w:jc w:val="center"/>
              <w:rPr>
                <w:rFonts w:ascii="Times New Roman" w:hAnsi="Times New Roman" w:cs="Times New Roman" w:eastAsia="Times New Roman" w:hint="default"/>
                <w:sz w:val="18"/>
                <w:szCs w:val="18"/>
              </w:rPr>
            </w:pPr>
            <w:r>
              <w:rPr>
                <w:rFonts w:ascii="Times New Roman"/>
                <w:sz w:val="18"/>
              </w:rPr>
              <w:t>--</w:t>
            </w:r>
          </w:p>
        </w:tc>
        <w:tc>
          <w:tcPr>
            <w:tcW w:w="232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43,339,409.81</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12.72%</w:t>
            </w:r>
          </w:p>
        </w:tc>
      </w:tr>
    </w:tbl>
    <w:p>
      <w:pPr>
        <w:spacing w:before="51"/>
        <w:ind w:left="154" w:right="1117" w:firstLine="0"/>
        <w:jc w:val="left"/>
        <w:rPr>
          <w:rFonts w:ascii="宋体" w:hAnsi="宋体" w:cs="宋体" w:eastAsia="宋体" w:hint="default"/>
          <w:sz w:val="18"/>
          <w:szCs w:val="18"/>
        </w:rPr>
      </w:pPr>
      <w:r>
        <w:rPr>
          <w:rFonts w:ascii="宋体" w:hAnsi="宋体" w:cs="宋体" w:eastAsia="宋体" w:hint="default"/>
          <w:sz w:val="18"/>
          <w:szCs w:val="18"/>
        </w:rPr>
        <w:t>主要供应商其他情况说明</w:t>
      </w:r>
    </w:p>
    <w:p>
      <w:pPr>
        <w:spacing w:before="117"/>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9"/>
        <w:rPr>
          <w:rFonts w:ascii="宋体" w:hAnsi="宋体" w:cs="宋体" w:eastAsia="宋体" w:hint="default"/>
          <w:sz w:val="25"/>
          <w:szCs w:val="25"/>
        </w:rPr>
      </w:pPr>
    </w:p>
    <w:p>
      <w:pPr>
        <w:pStyle w:val="Heading4"/>
        <w:spacing w:line="240" w:lineRule="auto"/>
        <w:ind w:right="1117"/>
        <w:jc w:val="left"/>
        <w:rPr>
          <w:b w:val="0"/>
          <w:bCs w:val="0"/>
        </w:rPr>
      </w:pPr>
      <w:bookmarkStart w:name="3、费用" w:id="35"/>
      <w:bookmarkEnd w:id="35"/>
      <w:r>
        <w:rPr>
          <w:b w:val="0"/>
          <w:bCs w:val="0"/>
        </w:rPr>
      </w:r>
      <w:r>
        <w:rPr>
          <w:rFonts w:ascii="Times New Roman" w:hAnsi="Times New Roman" w:cs="Times New Roman" w:eastAsia="Times New Roman" w:hint="default"/>
        </w:rPr>
        <w:t>3</w:t>
      </w:r>
      <w:r>
        <w:rPr/>
        <w:t>、费用</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1904"/>
        <w:gridCol w:w="1637"/>
        <w:gridCol w:w="1637"/>
        <w:gridCol w:w="1462"/>
        <w:gridCol w:w="2918"/>
      </w:tblGrid>
      <w:tr>
        <w:trPr>
          <w:trHeight w:val="402" w:hRule="exact"/>
        </w:trPr>
        <w:tc>
          <w:tcPr>
            <w:tcW w:w="190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6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2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6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2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4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64" w:right="0"/>
              <w:jc w:val="left"/>
              <w:rPr>
                <w:rFonts w:ascii="宋体" w:hAnsi="宋体" w:cs="宋体" w:eastAsia="宋体" w:hint="default"/>
                <w:sz w:val="18"/>
                <w:szCs w:val="18"/>
              </w:rPr>
            </w:pPr>
            <w:r>
              <w:rPr>
                <w:rFonts w:ascii="宋体" w:hAnsi="宋体" w:cs="宋体" w:eastAsia="宋体" w:hint="default"/>
                <w:sz w:val="18"/>
                <w:szCs w:val="18"/>
              </w:rPr>
              <w:t>同比增减</w:t>
            </w:r>
          </w:p>
        </w:tc>
        <w:tc>
          <w:tcPr>
            <w:tcW w:w="29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3" w:right="0"/>
              <w:jc w:val="left"/>
              <w:rPr>
                <w:rFonts w:ascii="宋体" w:hAnsi="宋体" w:cs="宋体" w:eastAsia="宋体" w:hint="default"/>
                <w:sz w:val="18"/>
                <w:szCs w:val="18"/>
              </w:rPr>
            </w:pPr>
            <w:r>
              <w:rPr>
                <w:rFonts w:ascii="宋体" w:hAnsi="宋体" w:cs="宋体" w:eastAsia="宋体" w:hint="default"/>
                <w:sz w:val="18"/>
                <w:szCs w:val="18"/>
              </w:rPr>
              <w:t>重大变动说明</w:t>
            </w:r>
          </w:p>
        </w:tc>
      </w:tr>
      <w:tr>
        <w:trPr>
          <w:trHeight w:val="317" w:hRule="exact"/>
        </w:trPr>
        <w:tc>
          <w:tcPr>
            <w:tcW w:w="1904" w:type="dxa"/>
            <w:tcBorders>
              <w:top w:val="single" w:sz="4" w:space="0" w:color="000000"/>
              <w:left w:val="single" w:sz="4" w:space="0" w:color="000000"/>
              <w:bottom w:val="nil" w:sz="6" w:space="0" w:color="auto"/>
              <w:right w:val="single" w:sz="4" w:space="0" w:color="000000"/>
            </w:tcBorders>
            <w:shd w:val="clear" w:color="auto" w:fill="D2D2D2"/>
          </w:tcPr>
          <w:p>
            <w:pPr/>
          </w:p>
        </w:tc>
        <w:tc>
          <w:tcPr>
            <w:tcW w:w="1637" w:type="dxa"/>
            <w:vMerge w:val="restart"/>
            <w:tcBorders>
              <w:top w:val="single" w:sz="4" w:space="0" w:color="000000"/>
              <w:left w:val="single" w:sz="10" w:space="0" w:color="D2D2D2"/>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472" w:right="0"/>
              <w:jc w:val="left"/>
              <w:rPr>
                <w:rFonts w:ascii="Times New Roman" w:hAnsi="Times New Roman" w:cs="Times New Roman" w:eastAsia="Times New Roman" w:hint="default"/>
                <w:sz w:val="18"/>
                <w:szCs w:val="18"/>
              </w:rPr>
            </w:pPr>
            <w:r>
              <w:rPr>
                <w:rFonts w:ascii="Times New Roman"/>
                <w:sz w:val="18"/>
              </w:rPr>
              <w:t>209,201,909.55</w:t>
            </w:r>
          </w:p>
        </w:tc>
        <w:tc>
          <w:tcPr>
            <w:tcW w:w="1637"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480" w:right="0"/>
              <w:jc w:val="left"/>
              <w:rPr>
                <w:rFonts w:ascii="Times New Roman" w:hAnsi="Times New Roman" w:cs="Times New Roman" w:eastAsia="Times New Roman" w:hint="default"/>
                <w:sz w:val="18"/>
                <w:szCs w:val="18"/>
              </w:rPr>
            </w:pPr>
            <w:r>
              <w:rPr>
                <w:rFonts w:ascii="Times New Roman"/>
                <w:sz w:val="18"/>
              </w:rPr>
              <w:t>179,838,096.56</w:t>
            </w:r>
          </w:p>
        </w:tc>
        <w:tc>
          <w:tcPr>
            <w:tcW w:w="146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873" w:right="0"/>
              <w:jc w:val="left"/>
              <w:rPr>
                <w:rFonts w:ascii="Times New Roman" w:hAnsi="Times New Roman" w:cs="Times New Roman" w:eastAsia="Times New Roman" w:hint="default"/>
                <w:sz w:val="18"/>
                <w:szCs w:val="18"/>
              </w:rPr>
            </w:pPr>
            <w:r>
              <w:rPr>
                <w:rFonts w:ascii="Times New Roman"/>
                <w:sz w:val="18"/>
              </w:rPr>
              <w:t>16.33%</w:t>
            </w:r>
          </w:p>
        </w:tc>
        <w:tc>
          <w:tcPr>
            <w:tcW w:w="2918" w:type="dxa"/>
            <w:vMerge w:val="restart"/>
            <w:tcBorders>
              <w:top w:val="single" w:sz="4" w:space="0" w:color="000000"/>
              <w:left w:val="single" w:sz="4" w:space="0" w:color="000000"/>
              <w:right w:val="single" w:sz="4" w:space="0" w:color="000000"/>
            </w:tcBorders>
          </w:tcPr>
          <w:p>
            <w:pPr>
              <w:pStyle w:val="TableParagraph"/>
              <w:spacing w:line="319" w:lineRule="auto" w:before="51"/>
              <w:ind w:left="22" w:right="21"/>
              <w:jc w:val="left"/>
              <w:rPr>
                <w:rFonts w:ascii="宋体" w:hAnsi="宋体" w:cs="宋体" w:eastAsia="宋体" w:hint="default"/>
                <w:sz w:val="18"/>
                <w:szCs w:val="18"/>
              </w:rPr>
            </w:pPr>
            <w:r>
              <w:rPr>
                <w:rFonts w:ascii="宋体" w:hAnsi="宋体" w:cs="宋体" w:eastAsia="宋体" w:hint="default"/>
                <w:sz w:val="18"/>
                <w:szCs w:val="18"/>
              </w:rPr>
              <w:t>主要原因系随公司业务增长而相应 </w:t>
            </w:r>
            <w:r>
              <w:rPr>
                <w:rFonts w:ascii="宋体" w:hAnsi="宋体" w:cs="宋体" w:eastAsia="宋体" w:hint="default"/>
                <w:spacing w:val="-2"/>
                <w:sz w:val="18"/>
                <w:szCs w:val="18"/>
              </w:rPr>
              <w:t>增加的职工薪酬、劳务、办公、交通</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及业务招待等费用。</w:t>
            </w:r>
          </w:p>
        </w:tc>
      </w:tr>
      <w:tr>
        <w:trPr>
          <w:trHeight w:val="392" w:hRule="exact"/>
        </w:trPr>
        <w:tc>
          <w:tcPr>
            <w:tcW w:w="190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1637" w:type="dxa"/>
            <w:vMerge/>
            <w:tcBorders>
              <w:left w:val="single" w:sz="10" w:space="0" w:color="D2D2D2"/>
              <w:right w:val="single" w:sz="4" w:space="0" w:color="000000"/>
            </w:tcBorders>
          </w:tcPr>
          <w:p>
            <w:pPr/>
          </w:p>
        </w:tc>
        <w:tc>
          <w:tcPr>
            <w:tcW w:w="1637" w:type="dxa"/>
            <w:vMerge/>
            <w:tcBorders>
              <w:left w:val="single" w:sz="4" w:space="0" w:color="000000"/>
              <w:right w:val="single" w:sz="4" w:space="0" w:color="000000"/>
            </w:tcBorders>
          </w:tcPr>
          <w:p>
            <w:pPr/>
          </w:p>
        </w:tc>
        <w:tc>
          <w:tcPr>
            <w:tcW w:w="1462" w:type="dxa"/>
            <w:vMerge/>
            <w:tcBorders>
              <w:left w:val="single" w:sz="4" w:space="0" w:color="000000"/>
              <w:right w:val="single" w:sz="4" w:space="0" w:color="000000"/>
            </w:tcBorders>
          </w:tcPr>
          <w:p>
            <w:pPr/>
          </w:p>
        </w:tc>
        <w:tc>
          <w:tcPr>
            <w:tcW w:w="2918" w:type="dxa"/>
            <w:vMerge/>
            <w:tcBorders>
              <w:left w:val="single" w:sz="4" w:space="0" w:color="000000"/>
              <w:right w:val="single" w:sz="4" w:space="0" w:color="000000"/>
            </w:tcBorders>
          </w:tcPr>
          <w:p>
            <w:pPr/>
          </w:p>
        </w:tc>
      </w:tr>
      <w:tr>
        <w:trPr>
          <w:trHeight w:val="317" w:hRule="exact"/>
        </w:trPr>
        <w:tc>
          <w:tcPr>
            <w:tcW w:w="1904" w:type="dxa"/>
            <w:tcBorders>
              <w:top w:val="nil" w:sz="6" w:space="0" w:color="auto"/>
              <w:left w:val="single" w:sz="4" w:space="0" w:color="000000"/>
              <w:bottom w:val="single" w:sz="4" w:space="0" w:color="000000"/>
              <w:right w:val="single" w:sz="4" w:space="0" w:color="000000"/>
            </w:tcBorders>
            <w:shd w:val="clear" w:color="auto" w:fill="D2D2D2"/>
          </w:tcPr>
          <w:p>
            <w:pPr/>
          </w:p>
        </w:tc>
        <w:tc>
          <w:tcPr>
            <w:tcW w:w="1637" w:type="dxa"/>
            <w:vMerge/>
            <w:tcBorders>
              <w:left w:val="single" w:sz="10" w:space="0" w:color="D2D2D2"/>
              <w:bottom w:val="single" w:sz="4" w:space="0" w:color="000000"/>
              <w:right w:val="single" w:sz="4" w:space="0" w:color="000000"/>
            </w:tcBorders>
          </w:tcPr>
          <w:p>
            <w:pPr/>
          </w:p>
        </w:tc>
        <w:tc>
          <w:tcPr>
            <w:tcW w:w="1637" w:type="dxa"/>
            <w:vMerge/>
            <w:tcBorders>
              <w:left w:val="single" w:sz="4" w:space="0" w:color="000000"/>
              <w:bottom w:val="single" w:sz="4" w:space="0" w:color="000000"/>
              <w:right w:val="single" w:sz="4" w:space="0" w:color="000000"/>
            </w:tcBorders>
          </w:tcPr>
          <w:p>
            <w:pPr/>
          </w:p>
        </w:tc>
        <w:tc>
          <w:tcPr>
            <w:tcW w:w="1462" w:type="dxa"/>
            <w:vMerge/>
            <w:tcBorders>
              <w:left w:val="single" w:sz="4" w:space="0" w:color="000000"/>
              <w:bottom w:val="single" w:sz="4" w:space="0" w:color="000000"/>
              <w:right w:val="single" w:sz="4" w:space="0" w:color="000000"/>
            </w:tcBorders>
          </w:tcPr>
          <w:p>
            <w:pPr/>
          </w:p>
        </w:tc>
        <w:tc>
          <w:tcPr>
            <w:tcW w:w="2918" w:type="dxa"/>
            <w:vMerge/>
            <w:tcBorders>
              <w:left w:val="single" w:sz="4" w:space="0" w:color="000000"/>
              <w:bottom w:val="single" w:sz="4" w:space="0" w:color="000000"/>
              <w:right w:val="single" w:sz="4" w:space="0" w:color="000000"/>
            </w:tcBorders>
          </w:tcPr>
          <w:p>
            <w:pPr/>
          </w:p>
        </w:tc>
      </w:tr>
      <w:tr>
        <w:trPr>
          <w:trHeight w:val="161" w:hRule="exact"/>
        </w:trPr>
        <w:tc>
          <w:tcPr>
            <w:tcW w:w="1904" w:type="dxa"/>
            <w:tcBorders>
              <w:top w:val="single" w:sz="4" w:space="0" w:color="000000"/>
              <w:left w:val="single" w:sz="4" w:space="0" w:color="000000"/>
              <w:bottom w:val="nil" w:sz="6" w:space="0" w:color="auto"/>
              <w:right w:val="single" w:sz="4" w:space="0" w:color="000000"/>
            </w:tcBorders>
            <w:shd w:val="clear" w:color="auto" w:fill="D2D2D2"/>
          </w:tcPr>
          <w:p>
            <w:pPr/>
          </w:p>
        </w:tc>
        <w:tc>
          <w:tcPr>
            <w:tcW w:w="1637" w:type="dxa"/>
            <w:vMerge w:val="restart"/>
            <w:tcBorders>
              <w:top w:val="single" w:sz="4" w:space="0" w:color="000000"/>
              <w:left w:val="single" w:sz="10" w:space="0" w:color="D2D2D2"/>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62" w:right="0"/>
              <w:jc w:val="left"/>
              <w:rPr>
                <w:rFonts w:ascii="Times New Roman" w:hAnsi="Times New Roman" w:cs="Times New Roman" w:eastAsia="Times New Roman" w:hint="default"/>
                <w:sz w:val="18"/>
                <w:szCs w:val="18"/>
              </w:rPr>
            </w:pPr>
            <w:r>
              <w:rPr>
                <w:rFonts w:ascii="Times New Roman"/>
                <w:sz w:val="18"/>
              </w:rPr>
              <w:t>63,684,221.57</w:t>
            </w:r>
          </w:p>
        </w:tc>
        <w:tc>
          <w:tcPr>
            <w:tcW w:w="1637"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70" w:right="0"/>
              <w:jc w:val="left"/>
              <w:rPr>
                <w:rFonts w:ascii="Times New Roman" w:hAnsi="Times New Roman" w:cs="Times New Roman" w:eastAsia="Times New Roman" w:hint="default"/>
                <w:sz w:val="18"/>
                <w:szCs w:val="18"/>
              </w:rPr>
            </w:pPr>
            <w:r>
              <w:rPr>
                <w:rFonts w:ascii="Times New Roman"/>
                <w:sz w:val="18"/>
              </w:rPr>
              <w:t>66,580,902.49</w:t>
            </w:r>
          </w:p>
        </w:tc>
        <w:tc>
          <w:tcPr>
            <w:tcW w:w="146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03" w:right="0"/>
              <w:jc w:val="left"/>
              <w:rPr>
                <w:rFonts w:ascii="Times New Roman" w:hAnsi="Times New Roman" w:cs="Times New Roman" w:eastAsia="Times New Roman" w:hint="default"/>
                <w:sz w:val="18"/>
                <w:szCs w:val="18"/>
              </w:rPr>
            </w:pPr>
            <w:r>
              <w:rPr>
                <w:rFonts w:ascii="Times New Roman"/>
                <w:sz w:val="18"/>
              </w:rPr>
              <w:t>-4.35%</w:t>
            </w:r>
          </w:p>
        </w:tc>
        <w:tc>
          <w:tcPr>
            <w:tcW w:w="2918" w:type="dxa"/>
            <w:vMerge w:val="restart"/>
            <w:tcBorders>
              <w:top w:val="single" w:sz="4" w:space="0" w:color="000000"/>
              <w:left w:val="single" w:sz="4" w:space="0" w:color="000000"/>
              <w:right w:val="single" w:sz="4" w:space="0" w:color="000000"/>
            </w:tcBorders>
          </w:tcPr>
          <w:p>
            <w:pPr>
              <w:pStyle w:val="TableParagraph"/>
              <w:spacing w:line="319" w:lineRule="auto" w:before="51"/>
              <w:ind w:left="22" w:right="3"/>
              <w:jc w:val="left"/>
              <w:rPr>
                <w:rFonts w:ascii="宋体" w:hAnsi="宋体" w:cs="宋体" w:eastAsia="宋体" w:hint="default"/>
                <w:sz w:val="18"/>
                <w:szCs w:val="18"/>
              </w:rPr>
            </w:pPr>
            <w:r>
              <w:rPr>
                <w:rFonts w:ascii="宋体" w:hAnsi="宋体" w:cs="宋体" w:eastAsia="宋体" w:hint="default"/>
                <w:sz w:val="18"/>
                <w:szCs w:val="18"/>
              </w:rPr>
              <w:t>主要原因系本年度公司限制性股票 费用较上年同期计入金额减少所致。</w:t>
            </w:r>
          </w:p>
        </w:tc>
      </w:tr>
      <w:tr>
        <w:trPr>
          <w:trHeight w:val="393" w:hRule="exact"/>
        </w:trPr>
        <w:tc>
          <w:tcPr>
            <w:tcW w:w="190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1637" w:type="dxa"/>
            <w:vMerge/>
            <w:tcBorders>
              <w:left w:val="single" w:sz="10" w:space="0" w:color="D2D2D2"/>
              <w:right w:val="single" w:sz="4" w:space="0" w:color="000000"/>
            </w:tcBorders>
          </w:tcPr>
          <w:p>
            <w:pPr/>
          </w:p>
        </w:tc>
        <w:tc>
          <w:tcPr>
            <w:tcW w:w="1637" w:type="dxa"/>
            <w:vMerge/>
            <w:tcBorders>
              <w:left w:val="single" w:sz="4" w:space="0" w:color="000000"/>
              <w:right w:val="single" w:sz="4" w:space="0" w:color="000000"/>
            </w:tcBorders>
          </w:tcPr>
          <w:p>
            <w:pPr/>
          </w:p>
        </w:tc>
        <w:tc>
          <w:tcPr>
            <w:tcW w:w="1462" w:type="dxa"/>
            <w:vMerge/>
            <w:tcBorders>
              <w:left w:val="single" w:sz="4" w:space="0" w:color="000000"/>
              <w:right w:val="single" w:sz="4" w:space="0" w:color="000000"/>
            </w:tcBorders>
          </w:tcPr>
          <w:p>
            <w:pPr/>
          </w:p>
        </w:tc>
        <w:tc>
          <w:tcPr>
            <w:tcW w:w="2918" w:type="dxa"/>
            <w:vMerge/>
            <w:tcBorders>
              <w:left w:val="single" w:sz="4" w:space="0" w:color="000000"/>
              <w:right w:val="single" w:sz="4" w:space="0" w:color="000000"/>
            </w:tcBorders>
          </w:tcPr>
          <w:p>
            <w:pPr/>
          </w:p>
        </w:tc>
      </w:tr>
      <w:tr>
        <w:trPr>
          <w:trHeight w:val="161" w:hRule="exact"/>
        </w:trPr>
        <w:tc>
          <w:tcPr>
            <w:tcW w:w="1904" w:type="dxa"/>
            <w:tcBorders>
              <w:top w:val="nil" w:sz="6" w:space="0" w:color="auto"/>
              <w:left w:val="single" w:sz="4" w:space="0" w:color="000000"/>
              <w:bottom w:val="single" w:sz="4" w:space="0" w:color="000000"/>
              <w:right w:val="single" w:sz="4" w:space="0" w:color="000000"/>
            </w:tcBorders>
            <w:shd w:val="clear" w:color="auto" w:fill="D2D2D2"/>
          </w:tcPr>
          <w:p>
            <w:pPr/>
          </w:p>
        </w:tc>
        <w:tc>
          <w:tcPr>
            <w:tcW w:w="1637" w:type="dxa"/>
            <w:vMerge/>
            <w:tcBorders>
              <w:left w:val="single" w:sz="10" w:space="0" w:color="D2D2D2"/>
              <w:bottom w:val="single" w:sz="4" w:space="0" w:color="000000"/>
              <w:right w:val="single" w:sz="4" w:space="0" w:color="000000"/>
            </w:tcBorders>
          </w:tcPr>
          <w:p>
            <w:pPr/>
          </w:p>
        </w:tc>
        <w:tc>
          <w:tcPr>
            <w:tcW w:w="1637" w:type="dxa"/>
            <w:vMerge/>
            <w:tcBorders>
              <w:left w:val="single" w:sz="4" w:space="0" w:color="000000"/>
              <w:bottom w:val="single" w:sz="4" w:space="0" w:color="000000"/>
              <w:right w:val="single" w:sz="4" w:space="0" w:color="000000"/>
            </w:tcBorders>
          </w:tcPr>
          <w:p>
            <w:pPr/>
          </w:p>
        </w:tc>
        <w:tc>
          <w:tcPr>
            <w:tcW w:w="1462" w:type="dxa"/>
            <w:vMerge/>
            <w:tcBorders>
              <w:left w:val="single" w:sz="4" w:space="0" w:color="000000"/>
              <w:bottom w:val="single" w:sz="4" w:space="0" w:color="000000"/>
              <w:right w:val="single" w:sz="4" w:space="0" w:color="000000"/>
            </w:tcBorders>
          </w:tcPr>
          <w:p>
            <w:pPr/>
          </w:p>
        </w:tc>
        <w:tc>
          <w:tcPr>
            <w:tcW w:w="2918" w:type="dxa"/>
            <w:vMerge/>
            <w:tcBorders>
              <w:left w:val="single" w:sz="4" w:space="0" w:color="000000"/>
              <w:bottom w:val="single" w:sz="4" w:space="0" w:color="000000"/>
              <w:right w:val="single" w:sz="4" w:space="0" w:color="000000"/>
            </w:tcBorders>
          </w:tcPr>
          <w:p>
            <w:pPr/>
          </w:p>
        </w:tc>
      </w:tr>
      <w:tr>
        <w:trPr>
          <w:trHeight w:val="142" w:hRule="exact"/>
        </w:trPr>
        <w:tc>
          <w:tcPr>
            <w:tcW w:w="1904" w:type="dxa"/>
            <w:tcBorders>
              <w:top w:val="single" w:sz="4" w:space="0" w:color="000000"/>
              <w:left w:val="single" w:sz="4" w:space="0" w:color="000000"/>
              <w:bottom w:val="nil" w:sz="6" w:space="0" w:color="auto"/>
              <w:right w:val="single" w:sz="4" w:space="0" w:color="000000"/>
            </w:tcBorders>
            <w:shd w:val="clear" w:color="auto" w:fill="D2D2D2"/>
          </w:tcPr>
          <w:p>
            <w:pPr/>
          </w:p>
        </w:tc>
        <w:tc>
          <w:tcPr>
            <w:tcW w:w="1637" w:type="dxa"/>
            <w:vMerge w:val="restart"/>
            <w:tcBorders>
              <w:top w:val="single" w:sz="4" w:space="0" w:color="000000"/>
              <w:left w:val="single" w:sz="13" w:space="0" w:color="D2D2D2"/>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563" w:right="0"/>
              <w:jc w:val="left"/>
              <w:rPr>
                <w:rFonts w:ascii="Times New Roman" w:hAnsi="Times New Roman" w:cs="Times New Roman" w:eastAsia="Times New Roman" w:hint="default"/>
                <w:sz w:val="18"/>
                <w:szCs w:val="18"/>
              </w:rPr>
            </w:pPr>
            <w:r>
              <w:rPr>
                <w:rFonts w:ascii="Times New Roman"/>
                <w:sz w:val="18"/>
              </w:rPr>
              <w:t>11,981,072.25</w:t>
            </w:r>
          </w:p>
        </w:tc>
        <w:tc>
          <w:tcPr>
            <w:tcW w:w="1637" w:type="dxa"/>
            <w:vMerge w:val="restart"/>
            <w:tcBorders>
              <w:top w:val="single" w:sz="4" w:space="0" w:color="000000"/>
              <w:left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660" w:right="0"/>
              <w:jc w:val="left"/>
              <w:rPr>
                <w:rFonts w:ascii="Times New Roman" w:hAnsi="Times New Roman" w:cs="Times New Roman" w:eastAsia="Times New Roman" w:hint="default"/>
                <w:sz w:val="18"/>
                <w:szCs w:val="18"/>
              </w:rPr>
            </w:pPr>
            <w:r>
              <w:rPr>
                <w:rFonts w:ascii="Times New Roman"/>
                <w:sz w:val="18"/>
              </w:rPr>
              <w:t>5,509,721.97</w:t>
            </w:r>
          </w:p>
        </w:tc>
        <w:tc>
          <w:tcPr>
            <w:tcW w:w="1462" w:type="dxa"/>
            <w:vMerge w:val="restart"/>
            <w:tcBorders>
              <w:top w:val="single" w:sz="4" w:space="0" w:color="000000"/>
              <w:left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789" w:right="0"/>
              <w:jc w:val="left"/>
              <w:rPr>
                <w:rFonts w:ascii="Times New Roman" w:hAnsi="Times New Roman" w:cs="Times New Roman" w:eastAsia="Times New Roman" w:hint="default"/>
                <w:sz w:val="18"/>
                <w:szCs w:val="18"/>
              </w:rPr>
            </w:pPr>
            <w:r>
              <w:rPr>
                <w:rFonts w:ascii="Times New Roman"/>
                <w:sz w:val="18"/>
              </w:rPr>
              <w:t>117.45%</w:t>
            </w:r>
          </w:p>
        </w:tc>
        <w:tc>
          <w:tcPr>
            <w:tcW w:w="2918" w:type="dxa"/>
            <w:vMerge w:val="restart"/>
            <w:tcBorders>
              <w:top w:val="single" w:sz="4" w:space="0" w:color="000000"/>
              <w:left w:val="single" w:sz="4" w:space="0" w:color="000000"/>
              <w:right w:val="single" w:sz="4" w:space="0" w:color="000000"/>
            </w:tcBorders>
          </w:tcPr>
          <w:p>
            <w:pPr>
              <w:pStyle w:val="TableParagraph"/>
              <w:spacing w:line="316" w:lineRule="auto" w:before="51"/>
              <w:ind w:left="22" w:right="183"/>
              <w:jc w:val="left"/>
              <w:rPr>
                <w:rFonts w:ascii="宋体" w:hAnsi="宋体" w:cs="宋体" w:eastAsia="宋体" w:hint="default"/>
                <w:sz w:val="18"/>
                <w:szCs w:val="18"/>
              </w:rPr>
            </w:pPr>
            <w:r>
              <w:rPr>
                <w:rFonts w:ascii="宋体" w:hAnsi="宋体" w:cs="宋体" w:eastAsia="宋体" w:hint="default"/>
                <w:sz w:val="18"/>
                <w:szCs w:val="18"/>
              </w:rPr>
              <w:t>主要系支付限制性股票回购款的同 期银行利息及银行借款利息支出增</w:t>
            </w:r>
          </w:p>
        </w:tc>
      </w:tr>
      <w:tr>
        <w:trPr>
          <w:trHeight w:val="391" w:hRule="exact"/>
        </w:trPr>
        <w:tc>
          <w:tcPr>
            <w:tcW w:w="190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1637" w:type="dxa"/>
            <w:vMerge/>
            <w:tcBorders>
              <w:left w:val="single" w:sz="13" w:space="0" w:color="D2D2D2"/>
              <w:right w:val="single" w:sz="4" w:space="0" w:color="000000"/>
            </w:tcBorders>
          </w:tcPr>
          <w:p>
            <w:pPr/>
          </w:p>
        </w:tc>
        <w:tc>
          <w:tcPr>
            <w:tcW w:w="1637" w:type="dxa"/>
            <w:vMerge/>
            <w:tcBorders>
              <w:left w:val="single" w:sz="4" w:space="0" w:color="000000"/>
              <w:right w:val="single" w:sz="4" w:space="0" w:color="000000"/>
            </w:tcBorders>
          </w:tcPr>
          <w:p>
            <w:pPr/>
          </w:p>
        </w:tc>
        <w:tc>
          <w:tcPr>
            <w:tcW w:w="1462" w:type="dxa"/>
            <w:vMerge/>
            <w:tcBorders>
              <w:left w:val="single" w:sz="4" w:space="0" w:color="000000"/>
              <w:right w:val="single" w:sz="4" w:space="0" w:color="000000"/>
            </w:tcBorders>
          </w:tcPr>
          <w:p>
            <w:pPr/>
          </w:p>
        </w:tc>
        <w:tc>
          <w:tcPr>
            <w:tcW w:w="2918" w:type="dxa"/>
            <w:vMerge/>
            <w:tcBorders>
              <w:left w:val="single" w:sz="4" w:space="0" w:color="000000"/>
              <w:right w:val="single" w:sz="4" w:space="0" w:color="000000"/>
            </w:tcBorders>
          </w:tcPr>
          <w:p>
            <w:pPr/>
          </w:p>
        </w:tc>
      </w:tr>
      <w:tr>
        <w:trPr>
          <w:trHeight w:val="142" w:hRule="exact"/>
        </w:trPr>
        <w:tc>
          <w:tcPr>
            <w:tcW w:w="1904" w:type="dxa"/>
            <w:tcBorders>
              <w:top w:val="nil" w:sz="6" w:space="0" w:color="auto"/>
              <w:left w:val="single" w:sz="4" w:space="0" w:color="000000"/>
              <w:bottom w:val="single" w:sz="4" w:space="0" w:color="000000"/>
              <w:right w:val="single" w:sz="4" w:space="0" w:color="000000"/>
            </w:tcBorders>
            <w:shd w:val="clear" w:color="auto" w:fill="D2D2D2"/>
          </w:tcPr>
          <w:p>
            <w:pPr/>
          </w:p>
        </w:tc>
        <w:tc>
          <w:tcPr>
            <w:tcW w:w="1637" w:type="dxa"/>
            <w:vMerge/>
            <w:tcBorders>
              <w:left w:val="single" w:sz="13" w:space="0" w:color="D2D2D2"/>
              <w:bottom w:val="single" w:sz="4" w:space="0" w:color="000000"/>
              <w:right w:val="single" w:sz="4" w:space="0" w:color="000000"/>
            </w:tcBorders>
          </w:tcPr>
          <w:p>
            <w:pPr/>
          </w:p>
        </w:tc>
        <w:tc>
          <w:tcPr>
            <w:tcW w:w="1637" w:type="dxa"/>
            <w:vMerge/>
            <w:tcBorders>
              <w:left w:val="single" w:sz="4" w:space="0" w:color="000000"/>
              <w:bottom w:val="single" w:sz="4" w:space="0" w:color="000000"/>
              <w:right w:val="single" w:sz="4" w:space="0" w:color="000000"/>
            </w:tcBorders>
          </w:tcPr>
          <w:p>
            <w:pPr/>
          </w:p>
        </w:tc>
        <w:tc>
          <w:tcPr>
            <w:tcW w:w="1462" w:type="dxa"/>
            <w:vMerge/>
            <w:tcBorders>
              <w:left w:val="single" w:sz="4" w:space="0" w:color="000000"/>
              <w:bottom w:val="single" w:sz="4" w:space="0" w:color="000000"/>
              <w:right w:val="single" w:sz="4" w:space="0" w:color="000000"/>
            </w:tcBorders>
          </w:tcPr>
          <w:p>
            <w:pPr/>
          </w:p>
        </w:tc>
        <w:tc>
          <w:tcPr>
            <w:tcW w:w="2918" w:type="dxa"/>
            <w:vMerge/>
            <w:tcBorders>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916"/>
        <w:gridCol w:w="1637"/>
        <w:gridCol w:w="1637"/>
        <w:gridCol w:w="1462"/>
        <w:gridCol w:w="2918"/>
      </w:tblGrid>
      <w:tr>
        <w:trPr>
          <w:trHeight w:val="362"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637" w:type="dxa"/>
            <w:tcBorders>
              <w:top w:val="single" w:sz="4" w:space="0" w:color="000000"/>
              <w:left w:val="single" w:sz="4" w:space="0" w:color="000000"/>
              <w:bottom w:val="single" w:sz="4" w:space="0" w:color="000000"/>
              <w:right w:val="single" w:sz="4" w:space="0" w:color="000000"/>
            </w:tcBorders>
          </w:tcPr>
          <w:p>
            <w:pPr/>
          </w:p>
        </w:tc>
        <w:tc>
          <w:tcPr>
            <w:tcW w:w="1637" w:type="dxa"/>
            <w:tcBorders>
              <w:top w:val="single" w:sz="4" w:space="0" w:color="000000"/>
              <w:left w:val="single" w:sz="4" w:space="0" w:color="000000"/>
              <w:bottom w:val="single" w:sz="4" w:space="0" w:color="000000"/>
              <w:right w:val="single" w:sz="4" w:space="0" w:color="000000"/>
            </w:tcBorders>
          </w:tcPr>
          <w:p>
            <w:pPr/>
          </w:p>
        </w:tc>
        <w:tc>
          <w:tcPr>
            <w:tcW w:w="1462" w:type="dxa"/>
            <w:tcBorders>
              <w:top w:val="single" w:sz="4" w:space="0" w:color="000000"/>
              <w:left w:val="single" w:sz="4" w:space="0" w:color="000000"/>
              <w:bottom w:val="single" w:sz="4" w:space="0" w:color="000000"/>
              <w:right w:val="single" w:sz="4" w:space="0" w:color="000000"/>
            </w:tcBorders>
          </w:tcPr>
          <w:p>
            <w:pP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加。</w:t>
            </w:r>
          </w:p>
        </w:tc>
      </w:tr>
      <w:tr>
        <w:trPr>
          <w:trHeight w:val="714"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研发费用</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569" w:right="0"/>
              <w:jc w:val="left"/>
              <w:rPr>
                <w:rFonts w:ascii="Times New Roman" w:hAnsi="Times New Roman" w:cs="Times New Roman" w:eastAsia="Times New Roman" w:hint="default"/>
                <w:sz w:val="18"/>
                <w:szCs w:val="18"/>
              </w:rPr>
            </w:pPr>
            <w:r>
              <w:rPr>
                <w:rFonts w:ascii="Times New Roman"/>
                <w:sz w:val="18"/>
              </w:rPr>
              <w:t>87,499,160.98</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570" w:right="0"/>
              <w:jc w:val="left"/>
              <w:rPr>
                <w:rFonts w:ascii="Times New Roman" w:hAnsi="Times New Roman" w:cs="Times New Roman" w:eastAsia="Times New Roman" w:hint="default"/>
                <w:sz w:val="18"/>
                <w:szCs w:val="18"/>
              </w:rPr>
            </w:pPr>
            <w:r>
              <w:rPr>
                <w:rFonts w:ascii="Times New Roman"/>
                <w:sz w:val="18"/>
              </w:rPr>
              <w:t>77,542,170.48</w:t>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832" w:right="0"/>
              <w:jc w:val="left"/>
              <w:rPr>
                <w:rFonts w:ascii="Times New Roman" w:hAnsi="Times New Roman" w:cs="Times New Roman" w:eastAsia="Times New Roman" w:hint="default"/>
                <w:sz w:val="18"/>
                <w:szCs w:val="18"/>
              </w:rPr>
            </w:pPr>
            <w:r>
              <w:rPr>
                <w:rFonts w:ascii="Times New Roman"/>
                <w:sz w:val="18"/>
              </w:rPr>
              <w:t>12.84%</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83"/>
              <w:jc w:val="left"/>
              <w:rPr>
                <w:rFonts w:ascii="宋体" w:hAnsi="宋体" w:cs="宋体" w:eastAsia="宋体" w:hint="default"/>
                <w:sz w:val="18"/>
                <w:szCs w:val="18"/>
              </w:rPr>
            </w:pPr>
            <w:r>
              <w:rPr>
                <w:rFonts w:ascii="宋体" w:hAnsi="宋体" w:cs="宋体" w:eastAsia="宋体" w:hint="default"/>
                <w:sz w:val="18"/>
                <w:szCs w:val="18"/>
              </w:rPr>
              <w:t>主要原因系研发人员的人工成本及 差旅费用增加。</w:t>
            </w:r>
          </w:p>
        </w:tc>
      </w:tr>
    </w:tbl>
    <w:p>
      <w:pPr>
        <w:spacing w:after="0" w:line="316" w:lineRule="auto"/>
        <w:jc w:val="left"/>
        <w:rPr>
          <w:rFonts w:ascii="宋体" w:hAnsi="宋体" w:cs="宋体" w:eastAsia="宋体" w:hint="default"/>
          <w:sz w:val="18"/>
          <w:szCs w:val="18"/>
        </w:rPr>
        <w:sectPr>
          <w:pgSz w:w="11910" w:h="16840"/>
          <w:pgMar w:header="747" w:footer="979" w:top="1060" w:bottom="1160" w:left="980" w:right="0"/>
        </w:sectPr>
      </w:pPr>
    </w:p>
    <w:p>
      <w:pPr>
        <w:spacing w:line="240" w:lineRule="auto" w:before="4"/>
        <w:rPr>
          <w:rFonts w:ascii="Times New Roman" w:hAnsi="Times New Roman" w:cs="Times New Roman" w:eastAsia="Times New Roman" w:hint="default"/>
          <w:sz w:val="3"/>
          <w:szCs w:val="3"/>
        </w:rPr>
      </w:pPr>
    </w:p>
    <w:p>
      <w:pPr>
        <w:spacing w:line="20" w:lineRule="exact"/>
        <w:ind w:left="482"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701.7pt;height:.75pt;mso-position-horizontal-relative:char;mso-position-vertical-relative:line" coordorigin="0,0" coordsize="14034,15">
            <v:group style="position:absolute;left:7;top:7;width:14020;height:2" coordorigin="7,7" coordsize="14020,2">
              <v:shape style="position:absolute;left:7;top:7;width:14020;height:2" coordorigin="7,7" coordsize="14020,0" path="m7,7l14027,7e" filled="false" stroked="true" strokeweight=".72pt" strokecolor="#000000">
                <v:path arrowok="t"/>
              </v:shape>
            </v:group>
          </v:group>
        </w:pict>
      </w:r>
      <w:r>
        <w:rPr>
          <w:rFonts w:ascii="Times New Roman" w:hAnsi="Times New Roman" w:cs="Times New Roman" w:eastAsia="Times New Roman" w:hint="default"/>
          <w:sz w:val="2"/>
          <w:szCs w:val="2"/>
        </w:rPr>
      </w:r>
    </w:p>
    <w:p>
      <w:pPr>
        <w:pStyle w:val="Heading4"/>
        <w:spacing w:line="240" w:lineRule="auto"/>
        <w:ind w:left="520" w:right="638"/>
        <w:jc w:val="left"/>
        <w:rPr>
          <w:b w:val="0"/>
          <w:bCs w:val="0"/>
        </w:rPr>
      </w:pPr>
      <w:bookmarkStart w:name="4、研发投入" w:id="36"/>
      <w:bookmarkEnd w:id="36"/>
      <w:r>
        <w:rPr>
          <w:b w:val="0"/>
          <w:bCs w:val="0"/>
        </w:rPr>
      </w:r>
      <w:r>
        <w:rPr>
          <w:rFonts w:ascii="Times New Roman" w:hAnsi="Times New Roman" w:cs="Times New Roman" w:eastAsia="Times New Roman" w:hint="default"/>
        </w:rPr>
        <w:t>4</w:t>
      </w:r>
      <w:r>
        <w:rPr/>
        <w:t>、研发投入</w:t>
      </w:r>
      <w:r>
        <w:rPr>
          <w:b w:val="0"/>
          <w:bCs w:val="0"/>
        </w:rPr>
      </w:r>
    </w:p>
    <w:p>
      <w:pPr>
        <w:spacing w:line="240" w:lineRule="auto" w:before="8"/>
        <w:rPr>
          <w:rFonts w:ascii="宋体" w:hAnsi="宋体" w:cs="宋体" w:eastAsia="宋体" w:hint="default"/>
          <w:b/>
          <w:bCs/>
          <w:sz w:val="26"/>
          <w:szCs w:val="26"/>
        </w:rPr>
      </w:pPr>
    </w:p>
    <w:p>
      <w:pPr>
        <w:spacing w:before="0"/>
        <w:ind w:left="520" w:right="63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pStyle w:val="BodyText"/>
        <w:spacing w:line="408" w:lineRule="auto" w:before="153"/>
        <w:ind w:left="520" w:right="638" w:firstLine="420"/>
        <w:jc w:val="left"/>
      </w:pPr>
      <w:r>
        <w:rPr/>
        <w:t>公司是国家重点支持的高新技术企业、火炬计划重点高新技术企业，持续的研发与创新是公司保持核心竞争力的重要保证，长期以来公司一直非常 重视研发投入，报告期内，公司仍保持了较大的技术开发与研究投入力度，研发投入金额占营业收入比例为</w:t>
      </w:r>
      <w:r>
        <w:rPr>
          <w:rFonts w:ascii="Times New Roman" w:hAnsi="Times New Roman" w:cs="Times New Roman" w:eastAsia="Times New Roman" w:hint="default"/>
        </w:rPr>
        <w:t>15.30%</w:t>
      </w:r>
      <w:r>
        <w:rPr/>
        <w:t>。</w:t>
      </w:r>
    </w:p>
    <w:p>
      <w:pPr>
        <w:pStyle w:val="BodyText"/>
        <w:spacing w:line="240" w:lineRule="auto" w:before="14"/>
        <w:ind w:left="940" w:right="638"/>
        <w:jc w:val="left"/>
      </w:pPr>
      <w:r>
        <w:rPr/>
        <w:t>报告期内，公司进行的研发项目进展情况如下：</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6"/>
          <w:szCs w:val="26"/>
        </w:rPr>
      </w:pPr>
    </w:p>
    <w:p>
      <w:pPr>
        <w:spacing w:before="53"/>
        <w:ind w:left="0" w:right="101" w:firstLine="0"/>
        <w:jc w:val="right"/>
        <w:rPr>
          <w:rFonts w:ascii="宋体" w:hAnsi="宋体" w:cs="宋体" w:eastAsia="宋体" w:hint="default"/>
          <w:sz w:val="15"/>
          <w:szCs w:val="15"/>
        </w:rPr>
      </w:pPr>
      <w:r>
        <w:rPr/>
        <w:pict>
          <v:shape style="position:absolute;margin-left:51.959999pt;margin-top:-253.440231pt;width:738.3pt;height:349.25pt;mso-position-horizontal-relative:page;mso-position-vertical-relative:paragraph;z-index:116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710"/>
                    <w:gridCol w:w="1844"/>
                    <w:gridCol w:w="1134"/>
                    <w:gridCol w:w="1842"/>
                    <w:gridCol w:w="1276"/>
                    <w:gridCol w:w="7939"/>
                  </w:tblGrid>
                  <w:tr>
                    <w:trPr>
                      <w:trHeight w:val="659" w:hRule="exact"/>
                    </w:trPr>
                    <w:tc>
                      <w:tcPr>
                        <w:tcW w:w="710" w:type="dxa"/>
                        <w:tcBorders>
                          <w:top w:val="single" w:sz="6" w:space="0" w:color="000000"/>
                          <w:left w:val="single" w:sz="6" w:space="0" w:color="000000"/>
                          <w:bottom w:val="single" w:sz="6" w:space="0" w:color="000000"/>
                          <w:right w:val="single" w:sz="6" w:space="0" w:color="000000"/>
                        </w:tcBorders>
                        <w:shd w:val="clear" w:color="auto" w:fill="BEBEBE"/>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b/>
                            <w:bCs/>
                            <w:sz w:val="18"/>
                            <w:szCs w:val="18"/>
                          </w:rPr>
                          <w:t>序号</w:t>
                        </w:r>
                        <w:r>
                          <w:rPr>
                            <w:rFonts w:ascii="宋体" w:hAnsi="宋体" w:cs="宋体" w:eastAsia="宋体" w:hint="default"/>
                            <w:sz w:val="18"/>
                            <w:szCs w:val="18"/>
                          </w:rPr>
                        </w:r>
                      </w:p>
                    </w:tc>
                    <w:tc>
                      <w:tcPr>
                        <w:tcW w:w="1844" w:type="dxa"/>
                        <w:tcBorders>
                          <w:top w:val="single" w:sz="6" w:space="0" w:color="000000"/>
                          <w:left w:val="single" w:sz="6" w:space="0" w:color="000000"/>
                          <w:bottom w:val="single" w:sz="6" w:space="0" w:color="000000"/>
                          <w:right w:val="single" w:sz="6" w:space="0" w:color="000000"/>
                        </w:tcBorders>
                        <w:shd w:val="clear" w:color="auto" w:fill="BEBEBE"/>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left="553" w:right="0"/>
                          <w:jc w:val="left"/>
                          <w:rPr>
                            <w:rFonts w:ascii="宋体" w:hAnsi="宋体" w:cs="宋体" w:eastAsia="宋体" w:hint="default"/>
                            <w:sz w:val="18"/>
                            <w:szCs w:val="18"/>
                          </w:rPr>
                        </w:pPr>
                        <w:r>
                          <w:rPr>
                            <w:rFonts w:ascii="宋体" w:hAnsi="宋体" w:cs="宋体" w:eastAsia="宋体" w:hint="default"/>
                            <w:b/>
                            <w:bCs/>
                            <w:sz w:val="18"/>
                            <w:szCs w:val="18"/>
                          </w:rPr>
                          <w:t>项目名称</w:t>
                        </w:r>
                        <w:r>
                          <w:rPr>
                            <w:rFonts w:ascii="宋体" w:hAnsi="宋体" w:cs="宋体" w:eastAsia="宋体" w:hint="default"/>
                            <w:sz w:val="18"/>
                            <w:szCs w:val="18"/>
                          </w:rPr>
                        </w:r>
                      </w:p>
                    </w:tc>
                    <w:tc>
                      <w:tcPr>
                        <w:tcW w:w="1134" w:type="dxa"/>
                        <w:tcBorders>
                          <w:top w:val="single" w:sz="6" w:space="0" w:color="000000"/>
                          <w:left w:val="single" w:sz="6" w:space="0" w:color="000000"/>
                          <w:bottom w:val="single" w:sz="6" w:space="0" w:color="000000"/>
                          <w:right w:val="single" w:sz="6" w:space="0" w:color="000000"/>
                        </w:tcBorders>
                        <w:shd w:val="clear" w:color="auto" w:fill="BEBEBE"/>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left="198" w:right="0"/>
                          <w:jc w:val="left"/>
                          <w:rPr>
                            <w:rFonts w:ascii="宋体" w:hAnsi="宋体" w:cs="宋体" w:eastAsia="宋体" w:hint="default"/>
                            <w:sz w:val="18"/>
                            <w:szCs w:val="18"/>
                          </w:rPr>
                        </w:pPr>
                        <w:r>
                          <w:rPr>
                            <w:rFonts w:ascii="宋体" w:hAnsi="宋体" w:cs="宋体" w:eastAsia="宋体" w:hint="default"/>
                            <w:b/>
                            <w:bCs/>
                            <w:sz w:val="18"/>
                            <w:szCs w:val="18"/>
                          </w:rPr>
                          <w:t>对应功能</w:t>
                        </w:r>
                        <w:r>
                          <w:rPr>
                            <w:rFonts w:ascii="宋体" w:hAnsi="宋体" w:cs="宋体" w:eastAsia="宋体" w:hint="default"/>
                            <w:sz w:val="18"/>
                            <w:szCs w:val="18"/>
                          </w:rPr>
                        </w:r>
                      </w:p>
                    </w:tc>
                    <w:tc>
                      <w:tcPr>
                        <w:tcW w:w="1842" w:type="dxa"/>
                        <w:tcBorders>
                          <w:top w:val="single" w:sz="6" w:space="0" w:color="000000"/>
                          <w:left w:val="single" w:sz="6" w:space="0" w:color="000000"/>
                          <w:bottom w:val="single" w:sz="6" w:space="0" w:color="000000"/>
                          <w:right w:val="single" w:sz="6" w:space="0" w:color="000000"/>
                        </w:tcBorders>
                        <w:shd w:val="clear" w:color="auto" w:fill="BEBEBE"/>
                      </w:tcPr>
                      <w:p>
                        <w:pPr>
                          <w:pStyle w:val="TableParagraph"/>
                          <w:spacing w:line="240" w:lineRule="auto" w:before="20"/>
                          <w:ind w:right="1"/>
                          <w:jc w:val="center"/>
                          <w:rPr>
                            <w:rFonts w:ascii="宋体" w:hAnsi="宋体" w:cs="宋体" w:eastAsia="宋体" w:hint="default"/>
                            <w:sz w:val="18"/>
                            <w:szCs w:val="18"/>
                          </w:rPr>
                        </w:pPr>
                        <w:r>
                          <w:rPr>
                            <w:rFonts w:ascii="宋体" w:hAnsi="宋体" w:cs="宋体" w:eastAsia="宋体" w:hint="default"/>
                            <w:b/>
                            <w:bCs/>
                            <w:sz w:val="18"/>
                            <w:szCs w:val="18"/>
                          </w:rPr>
                          <w:t>所处阶段</w:t>
                        </w:r>
                        <w:r>
                          <w:rPr>
                            <w:rFonts w:ascii="宋体" w:hAnsi="宋体" w:cs="宋体" w:eastAsia="宋体" w:hint="default"/>
                            <w:sz w:val="18"/>
                            <w:szCs w:val="18"/>
                          </w:rPr>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b/>
                            <w:bCs/>
                            <w:sz w:val="18"/>
                            <w:szCs w:val="18"/>
                          </w:rPr>
                          <w:t>（截止到</w:t>
                        </w:r>
                        <w:r>
                          <w:rPr>
                            <w:rFonts w:ascii="Times New Roman" w:hAnsi="Times New Roman" w:cs="Times New Roman" w:eastAsia="Times New Roman" w:hint="default"/>
                            <w:b/>
                            <w:bCs/>
                            <w:sz w:val="18"/>
                            <w:szCs w:val="18"/>
                          </w:rPr>
                          <w:t>12</w:t>
                        </w:r>
                        <w:r>
                          <w:rPr>
                            <w:rFonts w:ascii="宋体" w:hAnsi="宋体" w:cs="宋体" w:eastAsia="宋体" w:hint="default"/>
                            <w:b/>
                            <w:bCs/>
                            <w:sz w:val="18"/>
                            <w:szCs w:val="18"/>
                          </w:rPr>
                          <w:t>月</w:t>
                        </w:r>
                        <w:r>
                          <w:rPr>
                            <w:rFonts w:ascii="Times New Roman" w:hAnsi="Times New Roman" w:cs="Times New Roman" w:eastAsia="Times New Roman" w:hint="default"/>
                            <w:b/>
                            <w:bCs/>
                            <w:sz w:val="18"/>
                            <w:szCs w:val="18"/>
                          </w:rPr>
                          <w:t>31</w:t>
                        </w:r>
                        <w:r>
                          <w:rPr>
                            <w:rFonts w:ascii="宋体" w:hAnsi="宋体" w:cs="宋体" w:eastAsia="宋体" w:hint="default"/>
                            <w:b/>
                            <w:bCs/>
                            <w:sz w:val="18"/>
                            <w:szCs w:val="18"/>
                          </w:rPr>
                          <w:t>日）</w:t>
                        </w:r>
                        <w:r>
                          <w:rPr>
                            <w:rFonts w:ascii="宋体" w:hAnsi="宋体" w:cs="宋体" w:eastAsia="宋体" w:hint="default"/>
                            <w:sz w:val="18"/>
                            <w:szCs w:val="18"/>
                          </w:rPr>
                        </w:r>
                      </w:p>
                    </w:tc>
                    <w:tc>
                      <w:tcPr>
                        <w:tcW w:w="1276" w:type="dxa"/>
                        <w:tcBorders>
                          <w:top w:val="single" w:sz="6" w:space="0" w:color="000000"/>
                          <w:left w:val="single" w:sz="6" w:space="0" w:color="000000"/>
                          <w:bottom w:val="single" w:sz="6" w:space="0" w:color="000000"/>
                          <w:right w:val="single" w:sz="6" w:space="0" w:color="000000"/>
                        </w:tcBorders>
                        <w:shd w:val="clear" w:color="auto" w:fill="BEBEBE"/>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left="88" w:right="0"/>
                          <w:jc w:val="left"/>
                          <w:rPr>
                            <w:rFonts w:ascii="宋体" w:hAnsi="宋体" w:cs="宋体" w:eastAsia="宋体" w:hint="default"/>
                            <w:sz w:val="18"/>
                            <w:szCs w:val="18"/>
                          </w:rPr>
                        </w:pPr>
                        <w:r>
                          <w:rPr>
                            <w:rFonts w:ascii="宋体" w:hAnsi="宋体" w:cs="宋体" w:eastAsia="宋体" w:hint="default"/>
                            <w:b/>
                            <w:bCs/>
                            <w:sz w:val="18"/>
                            <w:szCs w:val="18"/>
                          </w:rPr>
                          <w:t>计划起止时间</w:t>
                        </w:r>
                        <w:r>
                          <w:rPr>
                            <w:rFonts w:ascii="宋体" w:hAnsi="宋体" w:cs="宋体" w:eastAsia="宋体" w:hint="default"/>
                            <w:sz w:val="18"/>
                            <w:szCs w:val="18"/>
                          </w:rPr>
                        </w:r>
                      </w:p>
                    </w:tc>
                    <w:tc>
                      <w:tcPr>
                        <w:tcW w:w="7939" w:type="dxa"/>
                        <w:tcBorders>
                          <w:top w:val="single" w:sz="6" w:space="0" w:color="000000"/>
                          <w:left w:val="single" w:sz="6" w:space="0" w:color="000000"/>
                          <w:bottom w:val="single" w:sz="6" w:space="0" w:color="000000"/>
                          <w:right w:val="single" w:sz="6" w:space="0" w:color="000000"/>
                        </w:tcBorders>
                        <w:shd w:val="clear" w:color="auto" w:fill="BEBEBE"/>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b/>
                            <w:bCs/>
                            <w:sz w:val="18"/>
                            <w:szCs w:val="18"/>
                          </w:rPr>
                          <w:t>开发功能及技术创新</w:t>
                        </w:r>
                        <w:r>
                          <w:rPr>
                            <w:rFonts w:ascii="宋体" w:hAnsi="宋体" w:cs="宋体" w:eastAsia="宋体" w:hint="default"/>
                            <w:sz w:val="18"/>
                            <w:szCs w:val="18"/>
                          </w:rPr>
                        </w:r>
                      </w:p>
                    </w:tc>
                  </w:tr>
                  <w:tr>
                    <w:trPr>
                      <w:trHeight w:val="2220" w:hRule="exact"/>
                    </w:trPr>
                    <w:tc>
                      <w:tcPr>
                        <w:tcW w:w="7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8"/>
                          <w:ind w:right="0"/>
                          <w:jc w:val="center"/>
                          <w:rPr>
                            <w:rFonts w:ascii="Times New Roman" w:hAnsi="Times New Roman" w:cs="Times New Roman" w:eastAsia="Times New Roman" w:hint="default"/>
                            <w:sz w:val="15"/>
                            <w:szCs w:val="15"/>
                          </w:rPr>
                        </w:pPr>
                        <w:r>
                          <w:rPr>
                            <w:rFonts w:ascii="Times New Roman"/>
                            <w:sz w:val="15"/>
                          </w:rPr>
                          <w:t>1</w:t>
                        </w:r>
                      </w:p>
                    </w:tc>
                    <w:tc>
                      <w:tcPr>
                        <w:tcW w:w="18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3"/>
                          <w:ind w:right="0"/>
                          <w:jc w:val="left"/>
                          <w:rPr>
                            <w:rFonts w:ascii="宋体" w:hAnsi="宋体" w:cs="宋体" w:eastAsia="宋体" w:hint="default"/>
                            <w:sz w:val="20"/>
                            <w:szCs w:val="20"/>
                          </w:rPr>
                        </w:pPr>
                      </w:p>
                      <w:p>
                        <w:pPr>
                          <w:pStyle w:val="TableParagraph"/>
                          <w:spacing w:line="360" w:lineRule="auto"/>
                          <w:ind w:left="3" w:right="0"/>
                          <w:jc w:val="left"/>
                          <w:rPr>
                            <w:rFonts w:ascii="宋体" w:hAnsi="宋体" w:cs="宋体" w:eastAsia="宋体" w:hint="default"/>
                            <w:sz w:val="15"/>
                            <w:szCs w:val="15"/>
                          </w:rPr>
                        </w:pPr>
                        <w:r>
                          <w:rPr>
                            <w:rFonts w:ascii="宋体" w:hAnsi="宋体" w:cs="宋体" w:eastAsia="宋体" w:hint="default"/>
                            <w:sz w:val="15"/>
                            <w:szCs w:val="15"/>
                          </w:rPr>
                          <w:t>基于</w:t>
                        </w:r>
                        <w:r>
                          <w:rPr>
                            <w:rFonts w:ascii="Times New Roman" w:hAnsi="Times New Roman" w:cs="Times New Roman" w:eastAsia="Times New Roman" w:hint="default"/>
                            <w:sz w:val="15"/>
                            <w:szCs w:val="15"/>
                          </w:rPr>
                          <w:t>ITSS</w:t>
                        </w:r>
                        <w:r>
                          <w:rPr>
                            <w:rFonts w:ascii="宋体" w:hAnsi="宋体" w:cs="宋体" w:eastAsia="宋体" w:hint="default"/>
                            <w:sz w:val="15"/>
                            <w:szCs w:val="15"/>
                          </w:rPr>
                          <w:t>标准的一卡通运维</w:t>
                        </w:r>
                        <w:r>
                          <w:rPr>
                            <w:rFonts w:ascii="宋体" w:hAnsi="宋体" w:cs="宋体" w:eastAsia="宋体" w:hint="default"/>
                            <w:spacing w:val="-65"/>
                            <w:sz w:val="15"/>
                            <w:szCs w:val="15"/>
                          </w:rPr>
                          <w:t> </w:t>
                        </w:r>
                        <w:r>
                          <w:rPr>
                            <w:rFonts w:ascii="宋体" w:hAnsi="宋体" w:cs="宋体" w:eastAsia="宋体" w:hint="default"/>
                            <w:sz w:val="15"/>
                            <w:szCs w:val="15"/>
                          </w:rPr>
                          <w:t>管理平台</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 w:right="0"/>
                          <w:jc w:val="left"/>
                          <w:rPr>
                            <w:rFonts w:ascii="宋体" w:hAnsi="宋体" w:cs="宋体" w:eastAsia="宋体" w:hint="default"/>
                            <w:sz w:val="15"/>
                            <w:szCs w:val="15"/>
                          </w:rPr>
                        </w:pPr>
                        <w:r>
                          <w:rPr>
                            <w:rFonts w:ascii="宋体" w:hAnsi="宋体" w:cs="宋体" w:eastAsia="宋体" w:hint="default"/>
                            <w:sz w:val="15"/>
                            <w:szCs w:val="15"/>
                          </w:rPr>
                          <w:t>智慧校园</w:t>
                        </w:r>
                      </w:p>
                    </w:tc>
                    <w:tc>
                      <w:tcPr>
                        <w:tcW w:w="18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 w:right="0"/>
                          <w:jc w:val="left"/>
                          <w:rPr>
                            <w:rFonts w:ascii="宋体" w:hAnsi="宋体" w:cs="宋体" w:eastAsia="宋体" w:hint="default"/>
                            <w:sz w:val="15"/>
                            <w:szCs w:val="15"/>
                          </w:rPr>
                        </w:pPr>
                        <w:r>
                          <w:rPr>
                            <w:rFonts w:ascii="宋体" w:hAnsi="宋体" w:cs="宋体" w:eastAsia="宋体" w:hint="default"/>
                            <w:sz w:val="15"/>
                            <w:szCs w:val="15"/>
                          </w:rPr>
                          <w:t>结项，已经开始销售</w:t>
                        </w:r>
                      </w:p>
                    </w:tc>
                    <w:tc>
                      <w:tcPr>
                        <w:tcW w:w="12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8"/>
                          <w:ind w:left="2" w:right="0"/>
                          <w:jc w:val="left"/>
                          <w:rPr>
                            <w:rFonts w:ascii="宋体" w:hAnsi="宋体" w:cs="宋体" w:eastAsia="宋体" w:hint="default"/>
                            <w:sz w:val="15"/>
                            <w:szCs w:val="15"/>
                          </w:rPr>
                        </w:pPr>
                        <w:r>
                          <w:rPr>
                            <w:rFonts w:ascii="宋体" w:hAnsi="宋体" w:cs="宋体" w:eastAsia="宋体" w:hint="default"/>
                            <w:sz w:val="15"/>
                            <w:szCs w:val="15"/>
                          </w:rPr>
                          <w:t>计划起止日期：</w:t>
                        </w:r>
                      </w:p>
                      <w:p>
                        <w:pPr>
                          <w:pStyle w:val="TableParagraph"/>
                          <w:spacing w:line="240" w:lineRule="auto" w:before="6"/>
                          <w:ind w:right="0"/>
                          <w:jc w:val="left"/>
                          <w:rPr>
                            <w:rFonts w:ascii="宋体" w:hAnsi="宋体" w:cs="宋体" w:eastAsia="宋体" w:hint="default"/>
                            <w:sz w:val="11"/>
                            <w:szCs w:val="11"/>
                          </w:rPr>
                        </w:pPr>
                      </w:p>
                      <w:p>
                        <w:pPr>
                          <w:pStyle w:val="TableParagraph"/>
                          <w:spacing w:line="240" w:lineRule="auto"/>
                          <w:ind w:left="2" w:right="0"/>
                          <w:jc w:val="left"/>
                          <w:rPr>
                            <w:rFonts w:ascii="Times New Roman" w:hAnsi="Times New Roman" w:cs="Times New Roman" w:eastAsia="Times New Roman" w:hint="default"/>
                            <w:sz w:val="15"/>
                            <w:szCs w:val="15"/>
                          </w:rPr>
                        </w:pPr>
                        <w:r>
                          <w:rPr>
                            <w:rFonts w:ascii="Times New Roman"/>
                            <w:sz w:val="15"/>
                          </w:rPr>
                          <w:t>2016/7/1</w:t>
                        </w: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left="2" w:right="0"/>
                          <w:jc w:val="left"/>
                          <w:rPr>
                            <w:rFonts w:ascii="Times New Roman" w:hAnsi="Times New Roman" w:cs="Times New Roman" w:eastAsia="Times New Roman" w:hint="default"/>
                            <w:sz w:val="15"/>
                            <w:szCs w:val="15"/>
                          </w:rPr>
                        </w:pPr>
                        <w:r>
                          <w:rPr>
                            <w:rFonts w:ascii="Times New Roman"/>
                            <w:sz w:val="15"/>
                          </w:rPr>
                          <w:t>2018/5/31</w:t>
                        </w:r>
                      </w:p>
                    </w:tc>
                    <w:tc>
                      <w:tcPr>
                        <w:tcW w:w="79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行业内首个基于</w:t>
                        </w:r>
                        <w:r>
                          <w:rPr>
                            <w:rFonts w:ascii="Times New Roman" w:hAnsi="Times New Roman" w:cs="Times New Roman" w:eastAsia="Times New Roman" w:hint="default"/>
                            <w:sz w:val="15"/>
                            <w:szCs w:val="15"/>
                          </w:rPr>
                          <w:t>ITSS</w:t>
                        </w:r>
                        <w:r>
                          <w:rPr>
                            <w:rFonts w:ascii="宋体" w:hAnsi="宋体" w:cs="宋体" w:eastAsia="宋体" w:hint="default"/>
                            <w:sz w:val="15"/>
                            <w:szCs w:val="15"/>
                          </w:rPr>
                          <w:t>标准的一卡通运维管理平台，实现</w:t>
                        </w:r>
                        <w:r>
                          <w:rPr>
                            <w:rFonts w:ascii="Times New Roman" w:hAnsi="Times New Roman" w:cs="Times New Roman" w:eastAsia="Times New Roman" w:hint="default"/>
                            <w:sz w:val="15"/>
                            <w:szCs w:val="15"/>
                          </w:rPr>
                          <w:t>“</w:t>
                        </w:r>
                        <w:r>
                          <w:rPr>
                            <w:rFonts w:ascii="宋体" w:hAnsi="宋体" w:cs="宋体" w:eastAsia="宋体" w:hint="default"/>
                            <w:sz w:val="15"/>
                            <w:szCs w:val="15"/>
                          </w:rPr>
                          <w:t>集中监控、集中管理、集中运维</w:t>
                        </w:r>
                        <w:r>
                          <w:rPr>
                            <w:rFonts w:ascii="Times New Roman" w:hAnsi="Times New Roman" w:cs="Times New Roman" w:eastAsia="Times New Roman" w:hint="default"/>
                            <w:sz w:val="15"/>
                            <w:szCs w:val="15"/>
                          </w:rPr>
                          <w:t>”</w:t>
                        </w:r>
                        <w:r>
                          <w:rPr>
                            <w:rFonts w:ascii="宋体" w:hAnsi="宋体" w:cs="宋体" w:eastAsia="宋体" w:hint="default"/>
                            <w:sz w:val="15"/>
                            <w:szCs w:val="15"/>
                          </w:rPr>
                          <w:t>，业务全程自动化、智能化；</w:t>
                        </w:r>
                      </w:p>
                      <w:p>
                        <w:pPr>
                          <w:pStyle w:val="TableParagraph"/>
                          <w:spacing w:line="240" w:lineRule="auto" w:before="104"/>
                          <w:ind w:left="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与一卡通系统无缝集成，服务器、设备自动发现与部署，快速纳入管理；</w:t>
                        </w:r>
                      </w:p>
                      <w:p>
                        <w:pPr>
                          <w:pStyle w:val="TableParagraph"/>
                          <w:spacing w:line="240" w:lineRule="auto" w:before="104"/>
                          <w:ind w:left="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独有的</w:t>
                        </w:r>
                        <w:r>
                          <w:rPr>
                            <w:rFonts w:ascii="Times New Roman" w:hAnsi="Times New Roman" w:cs="Times New Roman" w:eastAsia="Times New Roman" w:hint="default"/>
                            <w:sz w:val="15"/>
                            <w:szCs w:val="15"/>
                          </w:rPr>
                          <w:t>“</w:t>
                        </w:r>
                        <w:r>
                          <w:rPr>
                            <w:rFonts w:ascii="宋体" w:hAnsi="宋体" w:cs="宋体" w:eastAsia="宋体" w:hint="default"/>
                            <w:sz w:val="15"/>
                            <w:szCs w:val="15"/>
                          </w:rPr>
                          <w:t>一键系统体检</w:t>
                        </w:r>
                        <w:r>
                          <w:rPr>
                            <w:rFonts w:ascii="Times New Roman" w:hAnsi="Times New Roman" w:cs="Times New Roman" w:eastAsia="Times New Roman" w:hint="default"/>
                            <w:sz w:val="15"/>
                            <w:szCs w:val="15"/>
                          </w:rPr>
                          <w:t>”</w:t>
                        </w:r>
                        <w:r>
                          <w:rPr>
                            <w:rFonts w:ascii="宋体" w:hAnsi="宋体" w:cs="宋体" w:eastAsia="宋体" w:hint="default"/>
                            <w:sz w:val="15"/>
                            <w:szCs w:val="15"/>
                          </w:rPr>
                          <w:t>设计，对一卡通系统整体状况进行体验，对设备、业务、安全、性能四个层面完成检查；</w:t>
                        </w:r>
                      </w:p>
                      <w:p>
                        <w:pPr>
                          <w:pStyle w:val="TableParagraph"/>
                          <w:spacing w:line="372" w:lineRule="auto" w:before="104"/>
                          <w:ind w:left="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4.</w:t>
                        </w:r>
                        <w:r>
                          <w:rPr>
                            <w:rFonts w:ascii="宋体" w:hAnsi="宋体" w:cs="宋体" w:eastAsia="宋体" w:hint="default"/>
                            <w:sz w:val="15"/>
                            <w:szCs w:val="15"/>
                          </w:rPr>
                          <w:t>采用灵活的图形化的工作流程定制工具，可视化的拖拽操作，可根据用户需求灵活自定义和调整，支持多种统计报表量</w:t>
                        </w:r>
                        <w:r>
                          <w:rPr>
                            <w:rFonts w:ascii="宋体" w:hAnsi="宋体" w:cs="宋体" w:eastAsia="宋体" w:hint="default"/>
                            <w:spacing w:val="-71"/>
                            <w:sz w:val="15"/>
                            <w:szCs w:val="15"/>
                          </w:rPr>
                          <w:t> </w:t>
                        </w:r>
                        <w:r>
                          <w:rPr>
                            <w:rFonts w:ascii="宋体" w:hAnsi="宋体" w:cs="宋体" w:eastAsia="宋体" w:hint="default"/>
                            <w:spacing w:val="-71"/>
                            <w:sz w:val="15"/>
                            <w:szCs w:val="15"/>
                          </w:rPr>
                        </w:r>
                        <w:r>
                          <w:rPr>
                            <w:rFonts w:ascii="宋体" w:hAnsi="宋体" w:cs="宋体" w:eastAsia="宋体" w:hint="default"/>
                            <w:sz w:val="15"/>
                            <w:szCs w:val="15"/>
                          </w:rPr>
                          <w:t>化考核指标，实现运行工作数据为决策提供依据； </w:t>
                        </w:r>
                        <w:r>
                          <w:rPr>
                            <w:rFonts w:ascii="Times New Roman" w:hAnsi="Times New Roman" w:cs="Times New Roman" w:eastAsia="Times New Roman" w:hint="default"/>
                            <w:sz w:val="15"/>
                            <w:szCs w:val="15"/>
                          </w:rPr>
                          <w:t>5.</w:t>
                        </w:r>
                        <w:r>
                          <w:rPr>
                            <w:rFonts w:ascii="宋体" w:hAnsi="宋体" w:cs="宋体" w:eastAsia="宋体" w:hint="default"/>
                            <w:sz w:val="15"/>
                            <w:szCs w:val="15"/>
                          </w:rPr>
                          <w:t>采用</w:t>
                        </w:r>
                        <w:r>
                          <w:rPr>
                            <w:rFonts w:ascii="Times New Roman" w:hAnsi="Times New Roman" w:cs="Times New Roman" w:eastAsia="Times New Roman" w:hint="default"/>
                            <w:sz w:val="15"/>
                            <w:szCs w:val="15"/>
                          </w:rPr>
                          <w:t>AOP</w:t>
                        </w:r>
                        <w:r>
                          <w:rPr>
                            <w:rFonts w:ascii="宋体" w:hAnsi="宋体" w:cs="宋体" w:eastAsia="宋体" w:hint="default"/>
                            <w:sz w:val="15"/>
                            <w:szCs w:val="15"/>
                          </w:rPr>
                          <w:t>、</w:t>
                        </w:r>
                        <w:r>
                          <w:rPr>
                            <w:rFonts w:ascii="Times New Roman" w:hAnsi="Times New Roman" w:cs="Times New Roman" w:eastAsia="Times New Roman" w:hint="default"/>
                            <w:sz w:val="15"/>
                            <w:szCs w:val="15"/>
                          </w:rPr>
                          <w:t>EF</w:t>
                        </w:r>
                        <w:r>
                          <w:rPr>
                            <w:rFonts w:ascii="宋体" w:hAnsi="宋体" w:cs="宋体" w:eastAsia="宋体" w:hint="default"/>
                            <w:sz w:val="15"/>
                            <w:szCs w:val="15"/>
                          </w:rPr>
                          <w:t>、</w:t>
                        </w:r>
                        <w:r>
                          <w:rPr>
                            <w:rFonts w:ascii="Times New Roman" w:hAnsi="Times New Roman" w:cs="Times New Roman" w:eastAsia="Times New Roman" w:hint="default"/>
                            <w:sz w:val="15"/>
                            <w:szCs w:val="15"/>
                          </w:rPr>
                          <w:t>SOA</w:t>
                        </w:r>
                        <w:r>
                          <w:rPr>
                            <w:rFonts w:ascii="宋体" w:hAnsi="宋体" w:cs="宋体" w:eastAsia="宋体" w:hint="default"/>
                            <w:sz w:val="15"/>
                            <w:szCs w:val="15"/>
                          </w:rPr>
                          <w:t>、</w:t>
                        </w:r>
                        <w:r>
                          <w:rPr>
                            <w:rFonts w:ascii="Times New Roman" w:hAnsi="Times New Roman" w:cs="Times New Roman" w:eastAsia="Times New Roman" w:hint="default"/>
                            <w:sz w:val="15"/>
                            <w:szCs w:val="15"/>
                          </w:rPr>
                          <w:t>MVC</w:t>
                        </w:r>
                        <w:r>
                          <w:rPr>
                            <w:rFonts w:ascii="宋体" w:hAnsi="宋体" w:cs="宋体" w:eastAsia="宋体" w:hint="default"/>
                            <w:sz w:val="15"/>
                            <w:szCs w:val="15"/>
                          </w:rPr>
                          <w:t>开放技术架构，提升系统的易用性、扩展性、开放性；</w:t>
                        </w:r>
                      </w:p>
                      <w:p>
                        <w:pPr>
                          <w:pStyle w:val="TableParagraph"/>
                          <w:spacing w:line="240" w:lineRule="auto" w:before="13"/>
                          <w:ind w:left="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6.</w:t>
                        </w:r>
                        <w:r>
                          <w:rPr>
                            <w:rFonts w:ascii="宋体" w:hAnsi="宋体" w:cs="宋体" w:eastAsia="宋体" w:hint="default"/>
                            <w:sz w:val="15"/>
                            <w:szCs w:val="15"/>
                          </w:rPr>
                          <w:t>提供电子邮件、短信、手机</w:t>
                        </w:r>
                        <w:r>
                          <w:rPr>
                            <w:rFonts w:ascii="Times New Roman" w:hAnsi="Times New Roman" w:cs="Times New Roman" w:eastAsia="Times New Roman" w:hint="default"/>
                            <w:sz w:val="15"/>
                            <w:szCs w:val="15"/>
                          </w:rPr>
                          <w:t>App</w:t>
                        </w:r>
                        <w:r>
                          <w:rPr>
                            <w:rFonts w:ascii="宋体" w:hAnsi="宋体" w:cs="宋体" w:eastAsia="宋体" w:hint="default"/>
                            <w:sz w:val="15"/>
                            <w:szCs w:val="15"/>
                          </w:rPr>
                          <w:t>集成功能，让信息部门的</w:t>
                        </w:r>
                        <w:r>
                          <w:rPr>
                            <w:rFonts w:ascii="Times New Roman" w:hAnsi="Times New Roman" w:cs="Times New Roman" w:eastAsia="Times New Roman" w:hint="default"/>
                            <w:sz w:val="15"/>
                            <w:szCs w:val="15"/>
                          </w:rPr>
                          <w:t>IT</w:t>
                        </w:r>
                        <w:r>
                          <w:rPr>
                            <w:rFonts w:ascii="宋体" w:hAnsi="宋体" w:cs="宋体" w:eastAsia="宋体" w:hint="default"/>
                            <w:sz w:val="15"/>
                            <w:szCs w:val="15"/>
                          </w:rPr>
                          <w:t>服务管理更加主动、严谨、高效。</w:t>
                        </w:r>
                      </w:p>
                    </w:tc>
                  </w:tr>
                  <w:tr>
                    <w:trPr>
                      <w:trHeight w:val="4091" w:hRule="exact"/>
                    </w:trPr>
                    <w:tc>
                      <w:tcPr>
                        <w:tcW w:w="7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8"/>
                          <w:ind w:right="0"/>
                          <w:jc w:val="center"/>
                          <w:rPr>
                            <w:rFonts w:ascii="Times New Roman" w:hAnsi="Times New Roman" w:cs="Times New Roman" w:eastAsia="Times New Roman" w:hint="default"/>
                            <w:sz w:val="15"/>
                            <w:szCs w:val="15"/>
                          </w:rPr>
                        </w:pPr>
                        <w:r>
                          <w:rPr>
                            <w:rFonts w:ascii="Times New Roman"/>
                            <w:sz w:val="15"/>
                          </w:rPr>
                          <w:t>2</w:t>
                        </w:r>
                      </w:p>
                    </w:tc>
                    <w:tc>
                      <w:tcPr>
                        <w:tcW w:w="18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381" w:lineRule="auto" w:before="112"/>
                          <w:ind w:left="3" w:right="1"/>
                          <w:jc w:val="left"/>
                          <w:rPr>
                            <w:rFonts w:ascii="宋体" w:hAnsi="宋体" w:cs="宋体" w:eastAsia="宋体" w:hint="default"/>
                            <w:sz w:val="15"/>
                            <w:szCs w:val="15"/>
                          </w:rPr>
                        </w:pPr>
                        <w:r>
                          <w:rPr>
                            <w:rFonts w:ascii="宋体" w:hAnsi="宋体" w:cs="宋体" w:eastAsia="宋体" w:hint="default"/>
                            <w:sz w:val="15"/>
                            <w:szCs w:val="15"/>
                          </w:rPr>
                          <w:t>基于智慧校园的大数据分析</w:t>
                        </w:r>
                        <w:r>
                          <w:rPr>
                            <w:rFonts w:ascii="宋体" w:hAnsi="宋体" w:cs="宋体" w:eastAsia="宋体" w:hint="default"/>
                            <w:spacing w:val="-56"/>
                            <w:sz w:val="15"/>
                            <w:szCs w:val="15"/>
                          </w:rPr>
                          <w:t> </w:t>
                        </w:r>
                        <w:r>
                          <w:rPr>
                            <w:rFonts w:ascii="宋体" w:hAnsi="宋体" w:cs="宋体" w:eastAsia="宋体" w:hint="default"/>
                            <w:spacing w:val="-56"/>
                            <w:sz w:val="15"/>
                            <w:szCs w:val="15"/>
                          </w:rPr>
                        </w:r>
                        <w:r>
                          <w:rPr>
                            <w:rFonts w:ascii="宋体" w:hAnsi="宋体" w:cs="宋体" w:eastAsia="宋体" w:hint="default"/>
                            <w:sz w:val="15"/>
                            <w:szCs w:val="15"/>
                          </w:rPr>
                          <w:t>与决策平台</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left="2" w:right="0"/>
                          <w:jc w:val="left"/>
                          <w:rPr>
                            <w:rFonts w:ascii="宋体" w:hAnsi="宋体" w:cs="宋体" w:eastAsia="宋体" w:hint="default"/>
                            <w:sz w:val="15"/>
                            <w:szCs w:val="15"/>
                          </w:rPr>
                        </w:pPr>
                        <w:r>
                          <w:rPr>
                            <w:rFonts w:ascii="宋体" w:hAnsi="宋体" w:cs="宋体" w:eastAsia="宋体" w:hint="default"/>
                            <w:sz w:val="15"/>
                            <w:szCs w:val="15"/>
                          </w:rPr>
                          <w:t>智慧校园</w:t>
                        </w:r>
                      </w:p>
                    </w:tc>
                    <w:tc>
                      <w:tcPr>
                        <w:tcW w:w="18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left="2" w:right="0"/>
                          <w:jc w:val="left"/>
                          <w:rPr>
                            <w:rFonts w:ascii="宋体" w:hAnsi="宋体" w:cs="宋体" w:eastAsia="宋体" w:hint="default"/>
                            <w:sz w:val="15"/>
                            <w:szCs w:val="15"/>
                          </w:rPr>
                        </w:pPr>
                        <w:r>
                          <w:rPr>
                            <w:rFonts w:ascii="宋体" w:hAnsi="宋体" w:cs="宋体" w:eastAsia="宋体" w:hint="default"/>
                            <w:sz w:val="15"/>
                            <w:szCs w:val="15"/>
                          </w:rPr>
                          <w:t>结项，已经开始销售</w:t>
                        </w:r>
                      </w:p>
                    </w:tc>
                    <w:tc>
                      <w:tcPr>
                        <w:tcW w:w="12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2"/>
                          <w:ind w:left="2" w:right="0"/>
                          <w:jc w:val="left"/>
                          <w:rPr>
                            <w:rFonts w:ascii="宋体" w:hAnsi="宋体" w:cs="宋体" w:eastAsia="宋体" w:hint="default"/>
                            <w:sz w:val="15"/>
                            <w:szCs w:val="15"/>
                          </w:rPr>
                        </w:pPr>
                        <w:r>
                          <w:rPr>
                            <w:rFonts w:ascii="宋体" w:hAnsi="宋体" w:cs="宋体" w:eastAsia="宋体" w:hint="default"/>
                            <w:sz w:val="15"/>
                            <w:szCs w:val="15"/>
                          </w:rPr>
                          <w:t>计划起止日期：</w:t>
                        </w:r>
                      </w:p>
                      <w:p>
                        <w:pPr>
                          <w:pStyle w:val="TableParagraph"/>
                          <w:spacing w:line="240" w:lineRule="auto" w:before="6"/>
                          <w:ind w:right="0"/>
                          <w:jc w:val="left"/>
                          <w:rPr>
                            <w:rFonts w:ascii="宋体" w:hAnsi="宋体" w:cs="宋体" w:eastAsia="宋体" w:hint="default"/>
                            <w:sz w:val="11"/>
                            <w:szCs w:val="11"/>
                          </w:rPr>
                        </w:pPr>
                      </w:p>
                      <w:p>
                        <w:pPr>
                          <w:pStyle w:val="TableParagraph"/>
                          <w:spacing w:line="240" w:lineRule="auto"/>
                          <w:ind w:left="2" w:right="0"/>
                          <w:jc w:val="left"/>
                          <w:rPr>
                            <w:rFonts w:ascii="Times New Roman" w:hAnsi="Times New Roman" w:cs="Times New Roman" w:eastAsia="Times New Roman" w:hint="default"/>
                            <w:sz w:val="15"/>
                            <w:szCs w:val="15"/>
                          </w:rPr>
                        </w:pPr>
                        <w:r>
                          <w:rPr>
                            <w:rFonts w:ascii="Times New Roman"/>
                            <w:sz w:val="15"/>
                          </w:rPr>
                          <w:t>2017/3/1  </w:t>
                        </w:r>
                        <w:r>
                          <w:rPr>
                            <w:rFonts w:ascii="Times New Roman"/>
                            <w:spacing w:val="26"/>
                            <w:sz w:val="15"/>
                          </w:rPr>
                          <w:t> </w:t>
                        </w:r>
                        <w:r>
                          <w:rPr>
                            <w:rFonts w:ascii="Times New Roman"/>
                            <w:sz w:val="15"/>
                          </w:rPr>
                          <w:t>2018/3/1</w:t>
                        </w:r>
                      </w:p>
                    </w:tc>
                    <w:tc>
                      <w:tcPr>
                        <w:tcW w:w="7939" w:type="dxa"/>
                        <w:tcBorders>
                          <w:top w:val="single" w:sz="6" w:space="0" w:color="000000"/>
                          <w:left w:val="single" w:sz="6" w:space="0" w:color="000000"/>
                          <w:bottom w:val="single" w:sz="6" w:space="0" w:color="000000"/>
                          <w:right w:val="single" w:sz="6" w:space="0" w:color="000000"/>
                        </w:tcBorders>
                      </w:tcPr>
                      <w:p>
                        <w:pPr>
                          <w:pStyle w:val="TableParagraph"/>
                          <w:spacing w:line="376" w:lineRule="auto" w:before="44"/>
                          <w:ind w:left="3" w:right="-30" w:firstLine="300"/>
                          <w:jc w:val="both"/>
                          <w:rPr>
                            <w:rFonts w:ascii="宋体" w:hAnsi="宋体" w:cs="宋体" w:eastAsia="宋体" w:hint="default"/>
                            <w:sz w:val="15"/>
                            <w:szCs w:val="15"/>
                          </w:rPr>
                        </w:pPr>
                        <w:r>
                          <w:rPr>
                            <w:rFonts w:ascii="宋体" w:hAnsi="宋体" w:cs="宋体" w:eastAsia="宋体" w:hint="default"/>
                            <w:spacing w:val="-1"/>
                            <w:sz w:val="15"/>
                            <w:szCs w:val="15"/>
                          </w:rPr>
                          <w:t>智慧校园是一个校园服务平台，包括校园卡、移动支付、学习、生活服务和人才成长体系几大方面，致力于把学校变</w:t>
                        </w:r>
                        <w:r>
                          <w:rPr>
                            <w:rFonts w:ascii="宋体" w:hAnsi="宋体" w:cs="宋体" w:eastAsia="宋体" w:hint="default"/>
                            <w:sz w:val="15"/>
                            <w:szCs w:val="15"/>
                          </w:rPr>
                          <w:t> 成一个完美校园，为学生提供一个</w:t>
                        </w:r>
                        <w:r>
                          <w:rPr>
                            <w:rFonts w:ascii="Times New Roman" w:hAnsi="Times New Roman" w:cs="Times New Roman" w:eastAsia="Times New Roman" w:hint="default"/>
                            <w:sz w:val="15"/>
                            <w:szCs w:val="15"/>
                          </w:rPr>
                          <w:t>“</w:t>
                        </w:r>
                        <w:r>
                          <w:rPr>
                            <w:rFonts w:ascii="宋体" w:hAnsi="宋体" w:cs="宋体" w:eastAsia="宋体" w:hint="default"/>
                            <w:sz w:val="15"/>
                            <w:szCs w:val="15"/>
                          </w:rPr>
                          <w:t>轻松生活，快乐成长</w:t>
                        </w:r>
                        <w:r>
                          <w:rPr>
                            <w:rFonts w:ascii="Times New Roman" w:hAnsi="Times New Roman" w:cs="Times New Roman" w:eastAsia="Times New Roman" w:hint="default"/>
                            <w:sz w:val="15"/>
                            <w:szCs w:val="15"/>
                          </w:rPr>
                          <w:t>”</w:t>
                        </w:r>
                        <w:r>
                          <w:rPr>
                            <w:rFonts w:ascii="宋体" w:hAnsi="宋体" w:cs="宋体" w:eastAsia="宋体" w:hint="default"/>
                            <w:sz w:val="15"/>
                            <w:szCs w:val="15"/>
                          </w:rPr>
                          <w:t>的校园环境。为了给用户提供更优质的服务和更好用的应用，提 升用户活跃。平台需要了解每个用户的行为、爱好、兴趣，同时也需要了解每个应用用户的喜欢程度。但由于用户众多， </w:t>
                        </w:r>
                        <w:r>
                          <w:rPr>
                            <w:rFonts w:ascii="宋体" w:hAnsi="宋体" w:cs="宋体" w:eastAsia="宋体" w:hint="default"/>
                            <w:spacing w:val="-1"/>
                            <w:sz w:val="15"/>
                            <w:szCs w:val="15"/>
                          </w:rPr>
                          <w:t>产生的行为数据、日志数据、社交数据比较多，需要利用大数据技术及支持大数据采集计算的环境才能达到目标。项目主</w:t>
                        </w:r>
                        <w:r>
                          <w:rPr>
                            <w:rFonts w:ascii="宋体" w:hAnsi="宋体" w:cs="宋体" w:eastAsia="宋体" w:hint="default"/>
                            <w:spacing w:val="-58"/>
                            <w:sz w:val="15"/>
                            <w:szCs w:val="15"/>
                          </w:rPr>
                          <w:t> </w:t>
                        </w:r>
                        <w:r>
                          <w:rPr>
                            <w:rFonts w:ascii="宋体" w:hAnsi="宋体" w:cs="宋体" w:eastAsia="宋体" w:hint="default"/>
                            <w:spacing w:val="-58"/>
                            <w:sz w:val="15"/>
                            <w:szCs w:val="15"/>
                          </w:rPr>
                        </w:r>
                        <w:r>
                          <w:rPr>
                            <w:rFonts w:ascii="宋体" w:hAnsi="宋体" w:cs="宋体" w:eastAsia="宋体" w:hint="default"/>
                            <w:sz w:val="15"/>
                            <w:szCs w:val="15"/>
                          </w:rPr>
                          <w:t>要包括：</w:t>
                        </w:r>
                      </w:p>
                      <w:p>
                        <w:pPr>
                          <w:pStyle w:val="TableParagraph"/>
                          <w:spacing w:line="240" w:lineRule="auto" w:before="30"/>
                          <w:ind w:left="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、数据采集。从完美校园平台、围绕完美校园平台的应用、互联网等不同渠道采集用户行为数据和日志数据；</w:t>
                        </w:r>
                      </w:p>
                      <w:p>
                        <w:pPr>
                          <w:pStyle w:val="TableParagraph"/>
                          <w:spacing w:line="240" w:lineRule="auto" w:before="104"/>
                          <w:ind w:left="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、数据管理及计算。把收集到的数据采用分布式存储并计算，实现离线计算和实时计算；</w:t>
                        </w:r>
                      </w:p>
                      <w:p>
                        <w:pPr>
                          <w:pStyle w:val="TableParagraph"/>
                          <w:spacing w:line="369" w:lineRule="auto" w:before="104"/>
                          <w:ind w:left="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、完美校园运营平台。从客户接入、用户上线、用户活跃、功能使用、价值鉴别、运营推广等几个访问多维护进行分析 并对每个维护分析可进行下钻了解更深入的行为； </w:t>
                        </w:r>
                        <w:r>
                          <w:rPr>
                            <w:rFonts w:ascii="Times New Roman" w:hAnsi="Times New Roman" w:cs="Times New Roman" w:eastAsia="Times New Roman" w:hint="default"/>
                            <w:sz w:val="15"/>
                            <w:szCs w:val="15"/>
                          </w:rPr>
                          <w:t>4.</w:t>
                        </w:r>
                        <w:r>
                          <w:rPr>
                            <w:rFonts w:ascii="宋体" w:hAnsi="宋体" w:cs="宋体" w:eastAsia="宋体" w:hint="default"/>
                            <w:sz w:val="15"/>
                            <w:szCs w:val="15"/>
                          </w:rPr>
                          <w:t>实时监控平台。每天</w:t>
                        </w:r>
                        <w:r>
                          <w:rPr>
                            <w:rFonts w:ascii="Times New Roman" w:hAnsi="Times New Roman" w:cs="Times New Roman" w:eastAsia="Times New Roman" w:hint="default"/>
                            <w:sz w:val="15"/>
                            <w:szCs w:val="15"/>
                          </w:rPr>
                          <w:t>24</w:t>
                        </w:r>
                        <w:r>
                          <w:rPr>
                            <w:rFonts w:ascii="宋体" w:hAnsi="宋体" w:cs="宋体" w:eastAsia="宋体" w:hint="default"/>
                            <w:sz w:val="15"/>
                            <w:szCs w:val="15"/>
                          </w:rPr>
                          <w:t>小时可实时条件用户活跃、移动支付、办事处活跃排行、省份活跃排行、功能活跃排行、学校活</w:t>
                        </w:r>
                        <w:r>
                          <w:rPr>
                            <w:rFonts w:ascii="宋体" w:hAnsi="宋体" w:cs="宋体" w:eastAsia="宋体" w:hint="default"/>
                            <w:spacing w:val="-72"/>
                            <w:sz w:val="15"/>
                            <w:szCs w:val="15"/>
                          </w:rPr>
                          <w:t> </w:t>
                        </w:r>
                        <w:r>
                          <w:rPr>
                            <w:rFonts w:ascii="宋体" w:hAnsi="宋体" w:cs="宋体" w:eastAsia="宋体" w:hint="default"/>
                            <w:spacing w:val="-72"/>
                            <w:sz w:val="15"/>
                            <w:szCs w:val="15"/>
                          </w:rPr>
                        </w:r>
                        <w:r>
                          <w:rPr>
                            <w:rFonts w:ascii="宋体" w:hAnsi="宋体" w:cs="宋体" w:eastAsia="宋体" w:hint="default"/>
                            <w:sz w:val="15"/>
                            <w:szCs w:val="15"/>
                          </w:rPr>
                          <w:t>跃排行等等功能； </w:t>
                        </w:r>
                        <w:r>
                          <w:rPr>
                            <w:rFonts w:ascii="Times New Roman" w:hAnsi="Times New Roman" w:cs="Times New Roman" w:eastAsia="Times New Roman" w:hint="default"/>
                            <w:sz w:val="15"/>
                            <w:szCs w:val="15"/>
                          </w:rPr>
                          <w:t>5</w:t>
                        </w:r>
                        <w:r>
                          <w:rPr>
                            <w:rFonts w:ascii="宋体" w:hAnsi="宋体" w:cs="宋体" w:eastAsia="宋体" w:hint="default"/>
                            <w:sz w:val="15"/>
                            <w:szCs w:val="15"/>
                          </w:rPr>
                          <w:t>、大数据推送系统。可针对不同角色推送不同的数据，方便领导决策，运营人员推广、开发人员开发价值更高的应用、</w:t>
                        </w:r>
                        <w:r>
                          <w:rPr>
                            <w:rFonts w:ascii="宋体" w:hAnsi="宋体" w:cs="宋体" w:eastAsia="宋体" w:hint="default"/>
                            <w:spacing w:val="-41"/>
                            <w:sz w:val="15"/>
                            <w:szCs w:val="15"/>
                          </w:rPr>
                          <w:t> </w:t>
                        </w:r>
                        <w:r>
                          <w:rPr>
                            <w:rFonts w:ascii="宋体" w:hAnsi="宋体" w:cs="宋体" w:eastAsia="宋体" w:hint="default"/>
                            <w:spacing w:val="-41"/>
                            <w:sz w:val="15"/>
                            <w:szCs w:val="15"/>
                          </w:rPr>
                        </w:r>
                        <w:r>
                          <w:rPr>
                            <w:rFonts w:ascii="宋体" w:hAnsi="宋体" w:cs="宋体" w:eastAsia="宋体" w:hint="default"/>
                            <w:sz w:val="15"/>
                            <w:szCs w:val="15"/>
                          </w:rPr>
                          <w:t>办事处人员接入及推广等等；</w:t>
                        </w:r>
                      </w:p>
                    </w:tc>
                  </w:tr>
                </w:tbl>
                <w:p>
                  <w:pPr/>
                </w:p>
              </w:txbxContent>
            </v:textbox>
            <w10:wrap type="none"/>
          </v:shape>
        </w:pict>
      </w:r>
      <w:r>
        <w:rPr>
          <w:rFonts w:ascii="宋体" w:hAnsi="宋体" w:cs="宋体" w:eastAsia="宋体" w:hint="default"/>
          <w:sz w:val="15"/>
          <w:szCs w:val="15"/>
        </w:rPr>
        <w:t>，</w:t>
      </w:r>
    </w:p>
    <w:p>
      <w:pPr>
        <w:spacing w:after="0"/>
        <w:jc w:val="right"/>
        <w:rPr>
          <w:rFonts w:ascii="宋体" w:hAnsi="宋体" w:cs="宋体" w:eastAsia="宋体" w:hint="default"/>
          <w:sz w:val="15"/>
          <w:szCs w:val="15"/>
        </w:rPr>
        <w:sectPr>
          <w:headerReference w:type="default" r:id="rId31"/>
          <w:footerReference w:type="default" r:id="rId32"/>
          <w:pgSz w:w="16840" w:h="11910" w:orient="landscape"/>
          <w:pgMar w:header="867" w:footer="979" w:top="1060" w:bottom="1160" w:left="920" w:right="880"/>
          <w:pgNumType w:start="46"/>
        </w:sectPr>
      </w:pPr>
    </w:p>
    <w:p>
      <w:pPr>
        <w:spacing w:line="240" w:lineRule="auto" w:before="4"/>
        <w:rPr>
          <w:rFonts w:ascii="Times New Roman" w:hAnsi="Times New Roman" w:cs="Times New Roman" w:eastAsia="Times New Roman" w:hint="default"/>
          <w:sz w:val="3"/>
          <w:szCs w:val="3"/>
        </w:rPr>
      </w:pPr>
    </w:p>
    <w:tbl>
      <w:tblPr>
        <w:tblW w:w="0" w:type="auto"/>
        <w:jc w:val="left"/>
        <w:tblInd w:w="119" w:type="dxa"/>
        <w:tblLayout w:type="fixed"/>
        <w:tblCellMar>
          <w:top w:w="0" w:type="dxa"/>
          <w:left w:w="0" w:type="dxa"/>
          <w:bottom w:w="0" w:type="dxa"/>
          <w:right w:w="0" w:type="dxa"/>
        </w:tblCellMar>
        <w:tblLook w:val="01E0"/>
      </w:tblPr>
      <w:tblGrid>
        <w:gridCol w:w="710"/>
        <w:gridCol w:w="1844"/>
        <w:gridCol w:w="1134"/>
        <w:gridCol w:w="1842"/>
        <w:gridCol w:w="1276"/>
        <w:gridCol w:w="7939"/>
      </w:tblGrid>
      <w:tr>
        <w:trPr>
          <w:trHeight w:val="986" w:hRule="exact"/>
        </w:trPr>
        <w:tc>
          <w:tcPr>
            <w:tcW w:w="710" w:type="dxa"/>
            <w:tcBorders>
              <w:top w:val="single" w:sz="17" w:space="0" w:color="000000"/>
              <w:left w:val="single" w:sz="6" w:space="0" w:color="000000"/>
              <w:bottom w:val="single" w:sz="6" w:space="0" w:color="000000"/>
              <w:right w:val="single" w:sz="6" w:space="0" w:color="000000"/>
            </w:tcBorders>
          </w:tcPr>
          <w:p>
            <w:pPr/>
          </w:p>
        </w:tc>
        <w:tc>
          <w:tcPr>
            <w:tcW w:w="1844" w:type="dxa"/>
            <w:tcBorders>
              <w:top w:val="single" w:sz="17" w:space="0" w:color="000000"/>
              <w:left w:val="single" w:sz="6" w:space="0" w:color="000000"/>
              <w:bottom w:val="single" w:sz="6" w:space="0" w:color="000000"/>
              <w:right w:val="single" w:sz="6" w:space="0" w:color="000000"/>
            </w:tcBorders>
          </w:tcPr>
          <w:p>
            <w:pPr/>
          </w:p>
        </w:tc>
        <w:tc>
          <w:tcPr>
            <w:tcW w:w="1134" w:type="dxa"/>
            <w:tcBorders>
              <w:top w:val="single" w:sz="17" w:space="0" w:color="000000"/>
              <w:left w:val="single" w:sz="6" w:space="0" w:color="000000"/>
              <w:bottom w:val="single" w:sz="6" w:space="0" w:color="000000"/>
              <w:right w:val="single" w:sz="6" w:space="0" w:color="000000"/>
            </w:tcBorders>
          </w:tcPr>
          <w:p>
            <w:pPr/>
          </w:p>
        </w:tc>
        <w:tc>
          <w:tcPr>
            <w:tcW w:w="1842" w:type="dxa"/>
            <w:tcBorders>
              <w:top w:val="single" w:sz="17" w:space="0" w:color="000000"/>
              <w:left w:val="single" w:sz="6" w:space="0" w:color="000000"/>
              <w:bottom w:val="single" w:sz="6" w:space="0" w:color="000000"/>
              <w:right w:val="single" w:sz="6" w:space="0" w:color="000000"/>
            </w:tcBorders>
          </w:tcPr>
          <w:p>
            <w:pPr/>
          </w:p>
        </w:tc>
        <w:tc>
          <w:tcPr>
            <w:tcW w:w="1276" w:type="dxa"/>
            <w:tcBorders>
              <w:top w:val="single" w:sz="17" w:space="0" w:color="000000"/>
              <w:left w:val="single" w:sz="6" w:space="0" w:color="000000"/>
              <w:bottom w:val="single" w:sz="6" w:space="0" w:color="000000"/>
              <w:right w:val="single" w:sz="6" w:space="0" w:color="000000"/>
            </w:tcBorders>
          </w:tcPr>
          <w:p>
            <w:pPr/>
          </w:p>
        </w:tc>
        <w:tc>
          <w:tcPr>
            <w:tcW w:w="7939" w:type="dxa"/>
            <w:tcBorders>
              <w:top w:val="single" w:sz="17" w:space="0" w:color="000000"/>
              <w:left w:val="single" w:sz="6" w:space="0" w:color="000000"/>
              <w:bottom w:val="single" w:sz="6" w:space="0" w:color="000000"/>
              <w:right w:val="single" w:sz="6" w:space="0" w:color="000000"/>
            </w:tcBorders>
          </w:tcPr>
          <w:p>
            <w:pPr>
              <w:pStyle w:val="TableParagraph"/>
              <w:spacing w:line="240" w:lineRule="auto" w:before="44"/>
              <w:ind w:left="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6</w:t>
            </w:r>
            <w:r>
              <w:rPr>
                <w:rFonts w:ascii="宋体" w:hAnsi="宋体" w:cs="宋体" w:eastAsia="宋体" w:hint="default"/>
                <w:sz w:val="15"/>
                <w:szCs w:val="15"/>
              </w:rPr>
              <w:t>、用户推荐系统。根据用户之间的关联关系，为用户推荐兴趣相投的同学，让他们在完美校园中轻松生活，快乐成长；</w:t>
            </w:r>
          </w:p>
          <w:p>
            <w:pPr>
              <w:pStyle w:val="TableParagraph"/>
              <w:spacing w:line="360" w:lineRule="auto" w:before="104"/>
              <w:ind w:left="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7</w:t>
            </w:r>
            <w:r>
              <w:rPr>
                <w:rFonts w:ascii="宋体" w:hAnsi="宋体" w:cs="宋体" w:eastAsia="宋体" w:hint="default"/>
                <w:sz w:val="15"/>
                <w:szCs w:val="15"/>
              </w:rPr>
              <w:t>、用户画像。根据用户行为数据、用户属性、互联网数据等等，为用户打标签。用户画像是针对产品</w:t>
            </w:r>
            <w:r>
              <w:rPr>
                <w:rFonts w:ascii="Times New Roman" w:hAnsi="Times New Roman" w:cs="Times New Roman" w:eastAsia="Times New Roman" w:hint="default"/>
                <w:sz w:val="15"/>
                <w:szCs w:val="15"/>
              </w:rPr>
              <w:t>/</w:t>
            </w:r>
            <w:r>
              <w:rPr>
                <w:rFonts w:ascii="宋体" w:hAnsi="宋体" w:cs="宋体" w:eastAsia="宋体" w:hint="default"/>
                <w:sz w:val="15"/>
                <w:szCs w:val="15"/>
              </w:rPr>
              <w:t>服务目标群体真实 特征的勾勒，是真实客户的综合原型，是一种勾画目标客户、联系客户诉求与设计产品</w:t>
            </w:r>
            <w:r>
              <w:rPr>
                <w:rFonts w:ascii="Times New Roman" w:hAnsi="Times New Roman" w:cs="Times New Roman" w:eastAsia="Times New Roman" w:hint="default"/>
                <w:sz w:val="15"/>
                <w:szCs w:val="15"/>
              </w:rPr>
              <w:t>/</w:t>
            </w:r>
            <w:r>
              <w:rPr>
                <w:rFonts w:ascii="宋体" w:hAnsi="宋体" w:cs="宋体" w:eastAsia="宋体" w:hint="default"/>
                <w:sz w:val="15"/>
                <w:szCs w:val="15"/>
              </w:rPr>
              <w:t>服务方向的有效工具。</w:t>
            </w:r>
          </w:p>
        </w:tc>
      </w:tr>
      <w:tr>
        <w:trPr>
          <w:trHeight w:val="2843" w:hRule="exact"/>
        </w:trPr>
        <w:tc>
          <w:tcPr>
            <w:tcW w:w="7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4"/>
              <w:ind w:right="0"/>
              <w:jc w:val="left"/>
              <w:rPr>
                <w:rFonts w:ascii="Times New Roman" w:hAnsi="Times New Roman" w:cs="Times New Roman" w:eastAsia="Times New Roman" w:hint="default"/>
                <w:sz w:val="17"/>
                <w:szCs w:val="17"/>
              </w:rPr>
            </w:pPr>
          </w:p>
          <w:p>
            <w:pPr>
              <w:pStyle w:val="TableParagraph"/>
              <w:spacing w:line="240" w:lineRule="auto"/>
              <w:ind w:right="0"/>
              <w:jc w:val="center"/>
              <w:rPr>
                <w:rFonts w:ascii="Times New Roman" w:hAnsi="Times New Roman" w:cs="Times New Roman" w:eastAsia="Times New Roman" w:hint="default"/>
                <w:sz w:val="15"/>
                <w:szCs w:val="15"/>
              </w:rPr>
            </w:pPr>
            <w:r>
              <w:rPr>
                <w:rFonts w:ascii="Times New Roman"/>
                <w:sz w:val="15"/>
              </w:rPr>
              <w:t>3</w:t>
            </w:r>
          </w:p>
        </w:tc>
        <w:tc>
          <w:tcPr>
            <w:tcW w:w="18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left="3" w:right="0"/>
              <w:jc w:val="left"/>
              <w:rPr>
                <w:rFonts w:ascii="宋体" w:hAnsi="宋体" w:cs="宋体" w:eastAsia="宋体" w:hint="default"/>
                <w:sz w:val="15"/>
                <w:szCs w:val="15"/>
              </w:rPr>
            </w:pPr>
            <w:r>
              <w:rPr>
                <w:rFonts w:ascii="宋体" w:hAnsi="宋体" w:cs="宋体" w:eastAsia="宋体" w:hint="default"/>
                <w:sz w:val="15"/>
                <w:szCs w:val="15"/>
              </w:rPr>
              <w:t>智慧餐饮管理系统</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left="2" w:right="0"/>
              <w:jc w:val="left"/>
              <w:rPr>
                <w:rFonts w:ascii="宋体" w:hAnsi="宋体" w:cs="宋体" w:eastAsia="宋体" w:hint="default"/>
                <w:sz w:val="15"/>
                <w:szCs w:val="15"/>
              </w:rPr>
            </w:pPr>
            <w:r>
              <w:rPr>
                <w:rFonts w:ascii="宋体" w:hAnsi="宋体" w:cs="宋体" w:eastAsia="宋体" w:hint="default"/>
                <w:sz w:val="15"/>
                <w:szCs w:val="15"/>
              </w:rPr>
              <w:t>智慧校园</w:t>
            </w:r>
          </w:p>
        </w:tc>
        <w:tc>
          <w:tcPr>
            <w:tcW w:w="18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left="2" w:right="0"/>
              <w:jc w:val="left"/>
              <w:rPr>
                <w:rFonts w:ascii="宋体" w:hAnsi="宋体" w:cs="宋体" w:eastAsia="宋体" w:hint="default"/>
                <w:sz w:val="15"/>
                <w:szCs w:val="15"/>
              </w:rPr>
            </w:pPr>
            <w:r>
              <w:rPr>
                <w:rFonts w:ascii="宋体" w:hAnsi="宋体" w:cs="宋体" w:eastAsia="宋体" w:hint="default"/>
                <w:sz w:val="15"/>
                <w:szCs w:val="15"/>
              </w:rPr>
              <w:t>结项，已经开始销售</w:t>
            </w:r>
          </w:p>
        </w:tc>
        <w:tc>
          <w:tcPr>
            <w:tcW w:w="12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3"/>
              <w:ind w:right="0"/>
              <w:jc w:val="left"/>
              <w:rPr>
                <w:rFonts w:ascii="Times New Roman" w:hAnsi="Times New Roman" w:cs="Times New Roman" w:eastAsia="Times New Roman" w:hint="default"/>
                <w:sz w:val="15"/>
                <w:szCs w:val="15"/>
              </w:rPr>
            </w:pPr>
          </w:p>
          <w:p>
            <w:pPr>
              <w:pStyle w:val="TableParagraph"/>
              <w:spacing w:line="240" w:lineRule="auto"/>
              <w:ind w:left="2" w:right="0"/>
              <w:jc w:val="left"/>
              <w:rPr>
                <w:rFonts w:ascii="宋体" w:hAnsi="宋体" w:cs="宋体" w:eastAsia="宋体" w:hint="default"/>
                <w:sz w:val="15"/>
                <w:szCs w:val="15"/>
              </w:rPr>
            </w:pPr>
            <w:r>
              <w:rPr>
                <w:rFonts w:ascii="宋体" w:hAnsi="宋体" w:cs="宋体" w:eastAsia="宋体" w:hint="default"/>
                <w:sz w:val="15"/>
                <w:szCs w:val="15"/>
              </w:rPr>
              <w:t>计划起止日期：</w:t>
            </w:r>
          </w:p>
          <w:p>
            <w:pPr>
              <w:pStyle w:val="TableParagraph"/>
              <w:spacing w:line="240" w:lineRule="auto"/>
              <w:ind w:right="0"/>
              <w:jc w:val="left"/>
              <w:rPr>
                <w:rFonts w:ascii="Times New Roman" w:hAnsi="Times New Roman" w:cs="Times New Roman" w:eastAsia="Times New Roman" w:hint="default"/>
                <w:sz w:val="13"/>
                <w:szCs w:val="13"/>
              </w:rPr>
            </w:pPr>
          </w:p>
          <w:p>
            <w:pPr>
              <w:pStyle w:val="TableParagraph"/>
              <w:spacing w:line="240" w:lineRule="auto"/>
              <w:ind w:left="2" w:right="0"/>
              <w:jc w:val="left"/>
              <w:rPr>
                <w:rFonts w:ascii="Times New Roman" w:hAnsi="Times New Roman" w:cs="Times New Roman" w:eastAsia="Times New Roman" w:hint="default"/>
                <w:sz w:val="15"/>
                <w:szCs w:val="15"/>
              </w:rPr>
            </w:pPr>
            <w:r>
              <w:rPr>
                <w:rFonts w:ascii="Times New Roman"/>
                <w:sz w:val="15"/>
              </w:rPr>
              <w:t>2017/2/21</w:t>
            </w:r>
          </w:p>
          <w:p>
            <w:pPr>
              <w:pStyle w:val="TableParagraph"/>
              <w:spacing w:line="240" w:lineRule="auto" w:before="2"/>
              <w:ind w:right="0"/>
              <w:jc w:val="left"/>
              <w:rPr>
                <w:rFonts w:ascii="Times New Roman" w:hAnsi="Times New Roman" w:cs="Times New Roman" w:eastAsia="Times New Roman" w:hint="default"/>
                <w:sz w:val="12"/>
                <w:szCs w:val="12"/>
              </w:rPr>
            </w:pPr>
          </w:p>
          <w:p>
            <w:pPr>
              <w:pStyle w:val="TableParagraph"/>
              <w:spacing w:line="240" w:lineRule="auto"/>
              <w:ind w:left="2" w:right="0"/>
              <w:jc w:val="left"/>
              <w:rPr>
                <w:rFonts w:ascii="Times New Roman" w:hAnsi="Times New Roman" w:cs="Times New Roman" w:eastAsia="Times New Roman" w:hint="default"/>
                <w:sz w:val="15"/>
                <w:szCs w:val="15"/>
              </w:rPr>
            </w:pPr>
            <w:r>
              <w:rPr>
                <w:rFonts w:ascii="Times New Roman"/>
                <w:sz w:val="15"/>
              </w:rPr>
              <w:t>2018/6/15</w:t>
            </w:r>
          </w:p>
        </w:tc>
        <w:tc>
          <w:tcPr>
            <w:tcW w:w="7939" w:type="dxa"/>
            <w:tcBorders>
              <w:top w:val="single" w:sz="6" w:space="0" w:color="000000"/>
              <w:left w:val="single" w:sz="6" w:space="0" w:color="000000"/>
              <w:bottom w:val="single" w:sz="6" w:space="0" w:color="000000"/>
              <w:right w:val="single" w:sz="6" w:space="0" w:color="000000"/>
            </w:tcBorders>
          </w:tcPr>
          <w:p>
            <w:pPr>
              <w:pStyle w:val="TableParagraph"/>
              <w:spacing w:line="381" w:lineRule="auto" w:before="44"/>
              <w:ind w:left="3" w:right="-30" w:firstLine="300"/>
              <w:jc w:val="left"/>
              <w:rPr>
                <w:rFonts w:ascii="宋体" w:hAnsi="宋体" w:cs="宋体" w:eastAsia="宋体" w:hint="default"/>
                <w:sz w:val="15"/>
                <w:szCs w:val="15"/>
              </w:rPr>
            </w:pPr>
            <w:r>
              <w:rPr>
                <w:rFonts w:ascii="宋体" w:hAnsi="宋体" w:cs="宋体" w:eastAsia="宋体" w:hint="default"/>
                <w:sz w:val="15"/>
                <w:szCs w:val="15"/>
              </w:rPr>
              <w:t>该系统的主要目标是实现学校餐厅点菜工作的信息化，高效的为顾客提供服务，解决现在存在高校餐厅的由于拥挤、 嘈杂等原因带来的问题。包含以下功能： </w:t>
            </w:r>
            <w:r>
              <w:rPr>
                <w:rFonts w:ascii="Times New Roman" w:hAnsi="Times New Roman" w:cs="Times New Roman" w:eastAsia="Times New Roman" w:hint="default"/>
                <w:sz w:val="15"/>
                <w:szCs w:val="15"/>
              </w:rPr>
              <w:t>1.</w:t>
            </w:r>
            <w:r>
              <w:rPr>
                <w:rFonts w:ascii="宋体" w:hAnsi="宋体" w:cs="宋体" w:eastAsia="宋体" w:hint="default"/>
                <w:sz w:val="15"/>
                <w:szCs w:val="15"/>
              </w:rPr>
              <w:t>信息化管理菜品：专业维护食材的采购、库存等信息，维护菜单信息；收集菜品的销售、以及师生评价情况；</w:t>
            </w:r>
          </w:p>
          <w:p>
            <w:pPr>
              <w:pStyle w:val="TableParagraph"/>
              <w:spacing w:line="240" w:lineRule="auto" w:before="6"/>
              <w:ind w:left="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餐饮种类可控：根据后台菜单信息，管理人员可以控制餐厅所销售的菜品，杜绝校园内出现</w:t>
            </w:r>
            <w:r>
              <w:rPr>
                <w:rFonts w:ascii="Times New Roman" w:hAnsi="Times New Roman" w:cs="Times New Roman" w:eastAsia="Times New Roman" w:hint="default"/>
                <w:sz w:val="15"/>
                <w:szCs w:val="15"/>
              </w:rPr>
              <w:t>“</w:t>
            </w:r>
            <w:r>
              <w:rPr>
                <w:rFonts w:ascii="宋体" w:hAnsi="宋体" w:cs="宋体" w:eastAsia="宋体" w:hint="default"/>
                <w:sz w:val="15"/>
                <w:szCs w:val="15"/>
              </w:rPr>
              <w:t>黑暗料理</w:t>
            </w:r>
            <w:r>
              <w:rPr>
                <w:rFonts w:ascii="Times New Roman" w:hAnsi="Times New Roman" w:cs="Times New Roman" w:eastAsia="Times New Roman" w:hint="default"/>
                <w:sz w:val="15"/>
                <w:szCs w:val="15"/>
              </w:rPr>
              <w:t>”</w:t>
            </w:r>
            <w:r>
              <w:rPr>
                <w:rFonts w:ascii="宋体" w:hAnsi="宋体" w:cs="宋体" w:eastAsia="宋体" w:hint="default"/>
                <w:sz w:val="15"/>
                <w:szCs w:val="15"/>
              </w:rPr>
              <w:t>；</w:t>
            </w:r>
          </w:p>
          <w:p>
            <w:pPr>
              <w:pStyle w:val="TableParagraph"/>
              <w:spacing w:line="240" w:lineRule="auto" w:before="104"/>
              <w:ind w:left="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饮食安全监督：根据师生的就餐数据，可以追溯到出问题的菜品，便于管理人员进行问题调查；</w:t>
            </w:r>
          </w:p>
          <w:p>
            <w:pPr>
              <w:pStyle w:val="TableParagraph"/>
              <w:spacing w:line="360" w:lineRule="auto" w:before="104"/>
              <w:ind w:left="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4.</w:t>
            </w:r>
            <w:r>
              <w:rPr>
                <w:rFonts w:ascii="宋体" w:hAnsi="宋体" w:cs="宋体" w:eastAsia="宋体" w:hint="default"/>
                <w:sz w:val="15"/>
                <w:szCs w:val="15"/>
              </w:rPr>
              <w:t>提升服务质量：为师生提供便捷、友好的点餐工具；提供师生反馈窗口，可供师生对服务人员、菜品口味等方面进行评</w:t>
            </w:r>
            <w:r>
              <w:rPr>
                <w:rFonts w:ascii="宋体" w:hAnsi="宋体" w:cs="宋体" w:eastAsia="宋体" w:hint="default"/>
                <w:spacing w:val="-71"/>
                <w:sz w:val="15"/>
                <w:szCs w:val="15"/>
              </w:rPr>
              <w:t> </w:t>
            </w:r>
            <w:r>
              <w:rPr>
                <w:rFonts w:ascii="宋体" w:hAnsi="宋体" w:cs="宋体" w:eastAsia="宋体" w:hint="default"/>
                <w:spacing w:val="-71"/>
                <w:sz w:val="15"/>
                <w:szCs w:val="15"/>
              </w:rPr>
            </w:r>
            <w:r>
              <w:rPr>
                <w:rFonts w:ascii="宋体" w:hAnsi="宋体" w:cs="宋体" w:eastAsia="宋体" w:hint="default"/>
                <w:sz w:val="15"/>
                <w:szCs w:val="15"/>
              </w:rPr>
              <w:t>价，提升服务质量；</w:t>
            </w:r>
          </w:p>
          <w:p>
            <w:pPr>
              <w:pStyle w:val="TableParagraph"/>
              <w:spacing w:line="240" w:lineRule="auto" w:before="40"/>
              <w:ind w:left="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5.</w:t>
            </w:r>
            <w:r>
              <w:rPr>
                <w:rFonts w:ascii="宋体" w:hAnsi="宋体" w:cs="宋体" w:eastAsia="宋体" w:hint="default"/>
                <w:sz w:val="15"/>
                <w:szCs w:val="15"/>
              </w:rPr>
              <w:t>营养分析：分析师生的用餐信息，以及所点菜品的营养价值，可以为师生提供合理化的用餐习惯；</w:t>
            </w:r>
          </w:p>
          <w:p>
            <w:pPr>
              <w:pStyle w:val="TableParagraph"/>
              <w:spacing w:line="240" w:lineRule="auto" w:before="104"/>
              <w:ind w:left="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6.</w:t>
            </w:r>
            <w:r>
              <w:rPr>
                <w:rFonts w:ascii="宋体" w:hAnsi="宋体" w:cs="宋体" w:eastAsia="宋体" w:hint="default"/>
                <w:sz w:val="15"/>
                <w:szCs w:val="15"/>
              </w:rPr>
              <w:t>手机预约点餐：为师生提供手机线上点餐服务，通过手机线上点餐，避免排队拥挤。</w:t>
            </w:r>
          </w:p>
        </w:tc>
      </w:tr>
      <w:tr>
        <w:trPr>
          <w:trHeight w:val="2843" w:hRule="exact"/>
        </w:trPr>
        <w:tc>
          <w:tcPr>
            <w:tcW w:w="7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4"/>
              <w:ind w:right="0"/>
              <w:jc w:val="left"/>
              <w:rPr>
                <w:rFonts w:ascii="Times New Roman" w:hAnsi="Times New Roman" w:cs="Times New Roman" w:eastAsia="Times New Roman" w:hint="default"/>
                <w:sz w:val="17"/>
                <w:szCs w:val="17"/>
              </w:rPr>
            </w:pPr>
          </w:p>
          <w:p>
            <w:pPr>
              <w:pStyle w:val="TableParagraph"/>
              <w:spacing w:line="240" w:lineRule="auto"/>
              <w:ind w:right="0"/>
              <w:jc w:val="center"/>
              <w:rPr>
                <w:rFonts w:ascii="Times New Roman" w:hAnsi="Times New Roman" w:cs="Times New Roman" w:eastAsia="Times New Roman" w:hint="default"/>
                <w:sz w:val="15"/>
                <w:szCs w:val="15"/>
              </w:rPr>
            </w:pPr>
            <w:r>
              <w:rPr>
                <w:rFonts w:ascii="Times New Roman"/>
                <w:sz w:val="15"/>
              </w:rPr>
              <w:t>4</w:t>
            </w:r>
          </w:p>
        </w:tc>
        <w:tc>
          <w:tcPr>
            <w:tcW w:w="18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10"/>
              <w:ind w:right="0"/>
              <w:jc w:val="left"/>
              <w:rPr>
                <w:rFonts w:ascii="Times New Roman" w:hAnsi="Times New Roman" w:cs="Times New Roman" w:eastAsia="Times New Roman" w:hint="default"/>
                <w:sz w:val="14"/>
                <w:szCs w:val="14"/>
              </w:rPr>
            </w:pPr>
          </w:p>
          <w:p>
            <w:pPr>
              <w:pStyle w:val="TableParagraph"/>
              <w:spacing w:line="381" w:lineRule="auto"/>
              <w:ind w:left="3" w:right="1"/>
              <w:jc w:val="left"/>
              <w:rPr>
                <w:rFonts w:ascii="宋体" w:hAnsi="宋体" w:cs="宋体" w:eastAsia="宋体" w:hint="default"/>
                <w:sz w:val="15"/>
                <w:szCs w:val="15"/>
              </w:rPr>
            </w:pPr>
            <w:r>
              <w:rPr>
                <w:rFonts w:ascii="宋体" w:hAnsi="宋体" w:cs="宋体" w:eastAsia="宋体" w:hint="default"/>
                <w:sz w:val="15"/>
                <w:szCs w:val="15"/>
              </w:rPr>
              <w:t>基于多种生物识别技术的智</w:t>
            </w:r>
            <w:r>
              <w:rPr>
                <w:rFonts w:ascii="宋体" w:hAnsi="宋体" w:cs="宋体" w:eastAsia="宋体" w:hint="default"/>
                <w:spacing w:val="-56"/>
                <w:sz w:val="15"/>
                <w:szCs w:val="15"/>
              </w:rPr>
              <w:t> </w:t>
            </w:r>
            <w:r>
              <w:rPr>
                <w:rFonts w:ascii="宋体" w:hAnsi="宋体" w:cs="宋体" w:eastAsia="宋体" w:hint="default"/>
                <w:spacing w:val="-56"/>
                <w:sz w:val="15"/>
                <w:szCs w:val="15"/>
              </w:rPr>
            </w:r>
            <w:r>
              <w:rPr>
                <w:rFonts w:ascii="宋体" w:hAnsi="宋体" w:cs="宋体" w:eastAsia="宋体" w:hint="default"/>
                <w:sz w:val="15"/>
                <w:szCs w:val="15"/>
              </w:rPr>
              <w:t>能考勤管理系统</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left="2" w:right="0"/>
              <w:jc w:val="left"/>
              <w:rPr>
                <w:rFonts w:ascii="宋体" w:hAnsi="宋体" w:cs="宋体" w:eastAsia="宋体" w:hint="default"/>
                <w:sz w:val="15"/>
                <w:szCs w:val="15"/>
              </w:rPr>
            </w:pPr>
            <w:r>
              <w:rPr>
                <w:rFonts w:ascii="宋体" w:hAnsi="宋体" w:cs="宋体" w:eastAsia="宋体" w:hint="default"/>
                <w:sz w:val="15"/>
                <w:szCs w:val="15"/>
              </w:rPr>
              <w:t>身份识别</w:t>
            </w:r>
          </w:p>
        </w:tc>
        <w:tc>
          <w:tcPr>
            <w:tcW w:w="18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left="2" w:right="0"/>
              <w:jc w:val="left"/>
              <w:rPr>
                <w:rFonts w:ascii="宋体" w:hAnsi="宋体" w:cs="宋体" w:eastAsia="宋体" w:hint="default"/>
                <w:sz w:val="15"/>
                <w:szCs w:val="15"/>
              </w:rPr>
            </w:pPr>
            <w:r>
              <w:rPr>
                <w:rFonts w:ascii="宋体" w:hAnsi="宋体" w:cs="宋体" w:eastAsia="宋体" w:hint="default"/>
                <w:sz w:val="15"/>
                <w:szCs w:val="15"/>
              </w:rPr>
              <w:t>结项，已经开始销售</w:t>
            </w:r>
          </w:p>
        </w:tc>
        <w:tc>
          <w:tcPr>
            <w:tcW w:w="12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3"/>
              <w:ind w:right="0"/>
              <w:jc w:val="left"/>
              <w:rPr>
                <w:rFonts w:ascii="Times New Roman" w:hAnsi="Times New Roman" w:cs="Times New Roman" w:eastAsia="Times New Roman" w:hint="default"/>
                <w:sz w:val="15"/>
                <w:szCs w:val="15"/>
              </w:rPr>
            </w:pPr>
          </w:p>
          <w:p>
            <w:pPr>
              <w:pStyle w:val="TableParagraph"/>
              <w:spacing w:line="240" w:lineRule="auto"/>
              <w:ind w:left="2" w:right="0"/>
              <w:jc w:val="left"/>
              <w:rPr>
                <w:rFonts w:ascii="宋体" w:hAnsi="宋体" w:cs="宋体" w:eastAsia="宋体" w:hint="default"/>
                <w:sz w:val="15"/>
                <w:szCs w:val="15"/>
              </w:rPr>
            </w:pPr>
            <w:r>
              <w:rPr>
                <w:rFonts w:ascii="宋体" w:hAnsi="宋体" w:cs="宋体" w:eastAsia="宋体" w:hint="default"/>
                <w:sz w:val="15"/>
                <w:szCs w:val="15"/>
              </w:rPr>
              <w:t>计划起止日期：</w:t>
            </w:r>
          </w:p>
          <w:p>
            <w:pPr>
              <w:pStyle w:val="TableParagraph"/>
              <w:spacing w:line="240" w:lineRule="auto"/>
              <w:ind w:right="0"/>
              <w:jc w:val="left"/>
              <w:rPr>
                <w:rFonts w:ascii="Times New Roman" w:hAnsi="Times New Roman" w:cs="Times New Roman" w:eastAsia="Times New Roman" w:hint="default"/>
                <w:sz w:val="13"/>
                <w:szCs w:val="13"/>
              </w:rPr>
            </w:pPr>
          </w:p>
          <w:p>
            <w:pPr>
              <w:pStyle w:val="TableParagraph"/>
              <w:spacing w:line="240" w:lineRule="auto"/>
              <w:ind w:left="2" w:right="0"/>
              <w:jc w:val="left"/>
              <w:rPr>
                <w:rFonts w:ascii="Times New Roman" w:hAnsi="Times New Roman" w:cs="Times New Roman" w:eastAsia="Times New Roman" w:hint="default"/>
                <w:sz w:val="15"/>
                <w:szCs w:val="15"/>
              </w:rPr>
            </w:pPr>
            <w:r>
              <w:rPr>
                <w:rFonts w:ascii="Times New Roman"/>
                <w:sz w:val="15"/>
              </w:rPr>
              <w:t>2017/2/20</w:t>
            </w:r>
          </w:p>
          <w:p>
            <w:pPr>
              <w:pStyle w:val="TableParagraph"/>
              <w:spacing w:line="240" w:lineRule="auto" w:before="2"/>
              <w:ind w:right="0"/>
              <w:jc w:val="left"/>
              <w:rPr>
                <w:rFonts w:ascii="Times New Roman" w:hAnsi="Times New Roman" w:cs="Times New Roman" w:eastAsia="Times New Roman" w:hint="default"/>
                <w:sz w:val="12"/>
                <w:szCs w:val="12"/>
              </w:rPr>
            </w:pPr>
          </w:p>
          <w:p>
            <w:pPr>
              <w:pStyle w:val="TableParagraph"/>
              <w:spacing w:line="240" w:lineRule="auto"/>
              <w:ind w:left="2" w:right="0"/>
              <w:jc w:val="left"/>
              <w:rPr>
                <w:rFonts w:ascii="Times New Roman" w:hAnsi="Times New Roman" w:cs="Times New Roman" w:eastAsia="Times New Roman" w:hint="default"/>
                <w:sz w:val="15"/>
                <w:szCs w:val="15"/>
              </w:rPr>
            </w:pPr>
            <w:r>
              <w:rPr>
                <w:rFonts w:ascii="Times New Roman"/>
                <w:sz w:val="15"/>
              </w:rPr>
              <w:t>2018/5/25</w:t>
            </w:r>
          </w:p>
        </w:tc>
        <w:tc>
          <w:tcPr>
            <w:tcW w:w="7939" w:type="dxa"/>
            <w:tcBorders>
              <w:top w:val="single" w:sz="6" w:space="0" w:color="000000"/>
              <w:left w:val="single" w:sz="6" w:space="0" w:color="000000"/>
              <w:bottom w:val="single" w:sz="6" w:space="0" w:color="000000"/>
              <w:right w:val="single" w:sz="6" w:space="0" w:color="000000"/>
            </w:tcBorders>
          </w:tcPr>
          <w:p>
            <w:pPr>
              <w:pStyle w:val="TableParagraph"/>
              <w:spacing w:line="381" w:lineRule="auto" w:before="44"/>
              <w:ind w:left="3" w:right="-30" w:firstLine="300"/>
              <w:jc w:val="both"/>
              <w:rPr>
                <w:rFonts w:ascii="宋体" w:hAnsi="宋体" w:cs="宋体" w:eastAsia="宋体" w:hint="default"/>
                <w:sz w:val="15"/>
                <w:szCs w:val="15"/>
              </w:rPr>
            </w:pPr>
            <w:r>
              <w:rPr>
                <w:rFonts w:ascii="宋体" w:hAnsi="宋体" w:cs="宋体" w:eastAsia="宋体" w:hint="default"/>
                <w:sz w:val="15"/>
                <w:szCs w:val="15"/>
              </w:rPr>
              <w:t>通过对大中型企事业单位考勤业务进行需求调研发现随着时代的发展，企业管理理念、管理规则在不断的发生变化， 客户对考勤系统提出了更高的要求。企业希望能够对员工进行更精细化的管理，同时又想让员工有比较良好的用户体验， </w:t>
            </w:r>
            <w:r>
              <w:rPr>
                <w:rFonts w:ascii="宋体" w:hAnsi="宋体" w:cs="宋体" w:eastAsia="宋体" w:hint="default"/>
                <w:spacing w:val="-1"/>
                <w:sz w:val="15"/>
                <w:szCs w:val="15"/>
              </w:rPr>
              <w:t>身份验证手段要求更加多样化、精准化，除了传统的刷卡、指纹验证方式，还提出人脸、指静脉等验证需求，我们迫切需</w:t>
            </w:r>
            <w:r>
              <w:rPr>
                <w:rFonts w:ascii="宋体" w:hAnsi="宋体" w:cs="宋体" w:eastAsia="宋体" w:hint="default"/>
                <w:spacing w:val="-56"/>
                <w:sz w:val="15"/>
                <w:szCs w:val="15"/>
              </w:rPr>
              <w:t> </w:t>
            </w:r>
            <w:r>
              <w:rPr>
                <w:rFonts w:ascii="宋体" w:hAnsi="宋体" w:cs="宋体" w:eastAsia="宋体" w:hint="default"/>
                <w:spacing w:val="-56"/>
                <w:sz w:val="15"/>
                <w:szCs w:val="15"/>
              </w:rPr>
            </w:r>
            <w:r>
              <w:rPr>
                <w:rFonts w:ascii="宋体" w:hAnsi="宋体" w:cs="宋体" w:eastAsia="宋体" w:hint="default"/>
                <w:sz w:val="15"/>
                <w:szCs w:val="15"/>
              </w:rPr>
              <w:t>要研发新一代的考勤系统！</w:t>
            </w:r>
          </w:p>
          <w:p>
            <w:pPr>
              <w:pStyle w:val="TableParagraph"/>
              <w:spacing w:line="372" w:lineRule="auto" w:before="27"/>
              <w:ind w:left="3" w:right="1" w:firstLine="300"/>
              <w:jc w:val="both"/>
              <w:rPr>
                <w:rFonts w:ascii="宋体" w:hAnsi="宋体" w:cs="宋体" w:eastAsia="宋体" w:hint="default"/>
                <w:sz w:val="15"/>
                <w:szCs w:val="15"/>
              </w:rPr>
            </w:pPr>
            <w:r>
              <w:rPr>
                <w:rFonts w:ascii="宋体" w:hAnsi="宋体" w:cs="宋体" w:eastAsia="宋体" w:hint="default"/>
                <w:spacing w:val="-1"/>
                <w:sz w:val="15"/>
                <w:szCs w:val="15"/>
              </w:rPr>
              <w:t>本项目计划采用</w:t>
            </w:r>
            <w:r>
              <w:rPr>
                <w:rFonts w:ascii="Times New Roman" w:hAnsi="Times New Roman" w:cs="Times New Roman" w:eastAsia="Times New Roman" w:hint="default"/>
                <w:spacing w:val="-1"/>
                <w:sz w:val="15"/>
                <w:szCs w:val="15"/>
              </w:rPr>
              <w:t>Java</w:t>
            </w:r>
            <w:r>
              <w:rPr>
                <w:rFonts w:ascii="宋体" w:hAnsi="宋体" w:cs="宋体" w:eastAsia="宋体" w:hint="default"/>
                <w:spacing w:val="-1"/>
                <w:sz w:val="15"/>
                <w:szCs w:val="15"/>
              </w:rPr>
              <w:t>语言、</w:t>
            </w:r>
            <w:r>
              <w:rPr>
                <w:rFonts w:ascii="Times New Roman" w:hAnsi="Times New Roman" w:cs="Times New Roman" w:eastAsia="Times New Roman" w:hint="default"/>
                <w:spacing w:val="-1"/>
                <w:sz w:val="15"/>
                <w:szCs w:val="15"/>
              </w:rPr>
              <w:t>MVC</w:t>
            </w:r>
            <w:r>
              <w:rPr>
                <w:rFonts w:ascii="宋体" w:hAnsi="宋体" w:cs="宋体" w:eastAsia="宋体" w:hint="default"/>
                <w:spacing w:val="-1"/>
                <w:sz w:val="15"/>
                <w:szCs w:val="15"/>
              </w:rPr>
              <w:t>框架以及扁平化</w:t>
            </w:r>
            <w:r>
              <w:rPr>
                <w:rFonts w:ascii="Times New Roman" w:hAnsi="Times New Roman" w:cs="Times New Roman" w:eastAsia="Times New Roman" w:hint="default"/>
                <w:spacing w:val="-1"/>
                <w:sz w:val="15"/>
                <w:szCs w:val="15"/>
              </w:rPr>
              <w:t>UI</w:t>
            </w:r>
            <w:r>
              <w:rPr>
                <w:rFonts w:ascii="宋体" w:hAnsi="宋体" w:cs="宋体" w:eastAsia="宋体" w:hint="default"/>
                <w:spacing w:val="-1"/>
                <w:sz w:val="15"/>
                <w:szCs w:val="15"/>
              </w:rPr>
              <w:t>风格，支持指纹、人脸、指静脉等多种生物识别方式，同时该系统</w:t>
            </w:r>
            <w:r>
              <w:rPr>
                <w:rFonts w:ascii="宋体" w:hAnsi="宋体" w:cs="宋体" w:eastAsia="宋体" w:hint="default"/>
                <w:sz w:val="15"/>
                <w:szCs w:val="15"/>
              </w:rPr>
              <w:t> </w:t>
            </w:r>
            <w:r>
              <w:rPr>
                <w:rFonts w:ascii="宋体" w:hAnsi="宋体" w:cs="宋体" w:eastAsia="宋体" w:hint="default"/>
                <w:spacing w:val="-1"/>
                <w:sz w:val="15"/>
                <w:szCs w:val="15"/>
              </w:rPr>
              <w:t>具备排班方式多样、月结封存及时、加班时长自动统计、考勤汇总高效、手工干预简单等特点。采用大量图形化报表，给</w:t>
            </w:r>
            <w:r>
              <w:rPr>
                <w:rFonts w:ascii="宋体" w:hAnsi="宋体" w:cs="宋体" w:eastAsia="宋体" w:hint="default"/>
                <w:spacing w:val="-54"/>
                <w:sz w:val="15"/>
                <w:szCs w:val="15"/>
              </w:rPr>
              <w:t> </w:t>
            </w:r>
            <w:r>
              <w:rPr>
                <w:rFonts w:ascii="宋体" w:hAnsi="宋体" w:cs="宋体" w:eastAsia="宋体" w:hint="default"/>
                <w:spacing w:val="-54"/>
                <w:sz w:val="15"/>
                <w:szCs w:val="15"/>
              </w:rPr>
            </w:r>
            <w:r>
              <w:rPr>
                <w:rFonts w:ascii="宋体" w:hAnsi="宋体" w:cs="宋体" w:eastAsia="宋体" w:hint="default"/>
                <w:sz w:val="15"/>
                <w:szCs w:val="15"/>
              </w:rPr>
              <w:t>客户展示的数据更加直观、形象。</w:t>
            </w:r>
          </w:p>
          <w:p>
            <w:pPr>
              <w:pStyle w:val="TableParagraph"/>
              <w:spacing w:line="360" w:lineRule="auto" w:before="33"/>
              <w:ind w:left="303" w:right="1960"/>
              <w:jc w:val="left"/>
              <w:rPr>
                <w:rFonts w:ascii="宋体" w:hAnsi="宋体" w:cs="宋体" w:eastAsia="宋体" w:hint="default"/>
                <w:sz w:val="15"/>
                <w:szCs w:val="15"/>
              </w:rPr>
            </w:pPr>
            <w:r>
              <w:rPr>
                <w:rFonts w:ascii="宋体" w:hAnsi="宋体" w:cs="宋体" w:eastAsia="宋体" w:hint="default"/>
                <w:sz w:val="15"/>
                <w:szCs w:val="15"/>
              </w:rPr>
              <w:t>为了方便用户使用，本项目同时提供的有配套的</w:t>
            </w:r>
            <w:r>
              <w:rPr>
                <w:rFonts w:ascii="Times New Roman" w:hAnsi="Times New Roman" w:cs="Times New Roman" w:eastAsia="Times New Roman" w:hint="default"/>
                <w:sz w:val="15"/>
                <w:szCs w:val="15"/>
              </w:rPr>
              <w:t>App</w:t>
            </w:r>
            <w:r>
              <w:rPr>
                <w:rFonts w:ascii="宋体" w:hAnsi="宋体" w:cs="宋体" w:eastAsia="宋体" w:hint="default"/>
                <w:sz w:val="15"/>
                <w:szCs w:val="15"/>
              </w:rPr>
              <w:t>和微信公众号，实现系统移动化。 本产品的设计理念是：将考勤员解放出来，让时间管理更简单！</w:t>
            </w:r>
          </w:p>
        </w:tc>
      </w:tr>
      <w:tr>
        <w:trPr>
          <w:trHeight w:val="1284" w:hRule="exact"/>
        </w:trPr>
        <w:tc>
          <w:tcPr>
            <w:tcW w:w="7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6"/>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Times New Roman" w:hAnsi="Times New Roman" w:cs="Times New Roman" w:eastAsia="Times New Roman" w:hint="default"/>
                <w:sz w:val="15"/>
                <w:szCs w:val="15"/>
              </w:rPr>
            </w:pPr>
            <w:r>
              <w:rPr>
                <w:rFonts w:ascii="Times New Roman"/>
                <w:sz w:val="15"/>
              </w:rPr>
              <w:t>5</w:t>
            </w:r>
          </w:p>
        </w:tc>
        <w:tc>
          <w:tcPr>
            <w:tcW w:w="18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0"/>
              <w:ind w:right="0"/>
              <w:jc w:val="left"/>
              <w:rPr>
                <w:rFonts w:ascii="Times New Roman" w:hAnsi="Times New Roman" w:cs="Times New Roman" w:eastAsia="Times New Roman" w:hint="default"/>
                <w:sz w:val="17"/>
                <w:szCs w:val="17"/>
              </w:rPr>
            </w:pPr>
          </w:p>
          <w:p>
            <w:pPr>
              <w:pStyle w:val="TableParagraph"/>
              <w:spacing w:line="360" w:lineRule="auto"/>
              <w:ind w:left="3" w:right="1"/>
              <w:jc w:val="left"/>
              <w:rPr>
                <w:rFonts w:ascii="宋体" w:hAnsi="宋体" w:cs="宋体" w:eastAsia="宋体" w:hint="default"/>
                <w:sz w:val="15"/>
                <w:szCs w:val="15"/>
              </w:rPr>
            </w:pPr>
            <w:r>
              <w:rPr>
                <w:rFonts w:ascii="宋体" w:hAnsi="宋体" w:cs="宋体" w:eastAsia="宋体" w:hint="default"/>
                <w:spacing w:val="2"/>
                <w:sz w:val="15"/>
                <w:szCs w:val="15"/>
              </w:rPr>
              <w:t>基于</w:t>
            </w:r>
            <w:r>
              <w:rPr>
                <w:rFonts w:ascii="Times New Roman" w:hAnsi="Times New Roman" w:cs="Times New Roman" w:eastAsia="Times New Roman" w:hint="default"/>
                <w:spacing w:val="2"/>
                <w:sz w:val="15"/>
                <w:szCs w:val="15"/>
              </w:rPr>
              <w:t>OFDM</w:t>
            </w:r>
            <w:r>
              <w:rPr>
                <w:rFonts w:ascii="Times New Roman" w:hAnsi="Times New Roman" w:cs="Times New Roman" w:eastAsia="Times New Roman" w:hint="default"/>
                <w:spacing w:val="29"/>
                <w:sz w:val="15"/>
                <w:szCs w:val="15"/>
              </w:rPr>
              <w:t> </w:t>
            </w:r>
            <w:r>
              <w:rPr>
                <w:rFonts w:ascii="Times New Roman" w:hAnsi="Times New Roman" w:cs="Times New Roman" w:eastAsia="Times New Roman" w:hint="default"/>
                <w:spacing w:val="4"/>
                <w:sz w:val="15"/>
                <w:szCs w:val="15"/>
              </w:rPr>
              <w:t>512</w:t>
            </w:r>
            <w:r>
              <w:rPr>
                <w:rFonts w:ascii="宋体" w:hAnsi="宋体" w:cs="宋体" w:eastAsia="宋体" w:hint="default"/>
                <w:spacing w:val="4"/>
                <w:sz w:val="15"/>
                <w:szCs w:val="15"/>
              </w:rPr>
              <w:t>子载波的宽</w:t>
            </w:r>
            <w:r>
              <w:rPr>
                <w:rFonts w:ascii="宋体" w:hAnsi="宋体" w:cs="宋体" w:eastAsia="宋体" w:hint="default"/>
                <w:sz w:val="15"/>
                <w:szCs w:val="15"/>
              </w:rPr>
              <w:t> 带电力线通信系统</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7"/>
              <w:ind w:right="0"/>
              <w:jc w:val="left"/>
              <w:rPr>
                <w:rFonts w:ascii="Times New Roman" w:hAnsi="Times New Roman" w:cs="Times New Roman" w:eastAsia="Times New Roman" w:hint="default"/>
                <w:sz w:val="16"/>
                <w:szCs w:val="16"/>
              </w:rPr>
            </w:pPr>
          </w:p>
          <w:p>
            <w:pPr>
              <w:pStyle w:val="TableParagraph"/>
              <w:spacing w:line="240" w:lineRule="auto"/>
              <w:ind w:left="2" w:right="0"/>
              <w:jc w:val="left"/>
              <w:rPr>
                <w:rFonts w:ascii="宋体" w:hAnsi="宋体" w:cs="宋体" w:eastAsia="宋体" w:hint="default"/>
                <w:sz w:val="15"/>
                <w:szCs w:val="15"/>
              </w:rPr>
            </w:pPr>
            <w:r>
              <w:rPr>
                <w:rFonts w:ascii="宋体" w:hAnsi="宋体" w:cs="宋体" w:eastAsia="宋体" w:hint="default"/>
                <w:sz w:val="15"/>
                <w:szCs w:val="15"/>
              </w:rPr>
              <w:t>电力集成</w:t>
            </w:r>
          </w:p>
        </w:tc>
        <w:tc>
          <w:tcPr>
            <w:tcW w:w="18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7"/>
              <w:ind w:right="0"/>
              <w:jc w:val="left"/>
              <w:rPr>
                <w:rFonts w:ascii="Times New Roman" w:hAnsi="Times New Roman" w:cs="Times New Roman" w:eastAsia="Times New Roman" w:hint="default"/>
                <w:sz w:val="16"/>
                <w:szCs w:val="16"/>
              </w:rPr>
            </w:pPr>
          </w:p>
          <w:p>
            <w:pPr>
              <w:pStyle w:val="TableParagraph"/>
              <w:spacing w:line="240" w:lineRule="auto"/>
              <w:ind w:left="2" w:right="0"/>
              <w:jc w:val="left"/>
              <w:rPr>
                <w:rFonts w:ascii="宋体" w:hAnsi="宋体" w:cs="宋体" w:eastAsia="宋体" w:hint="default"/>
                <w:sz w:val="15"/>
                <w:szCs w:val="15"/>
              </w:rPr>
            </w:pPr>
            <w:r>
              <w:rPr>
                <w:rFonts w:ascii="宋体" w:hAnsi="宋体" w:cs="宋体" w:eastAsia="宋体" w:hint="default"/>
                <w:sz w:val="15"/>
                <w:szCs w:val="15"/>
              </w:rPr>
              <w:t>结项，已经开始销售</w:t>
            </w:r>
          </w:p>
        </w:tc>
        <w:tc>
          <w:tcPr>
            <w:tcW w:w="12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right="0"/>
              <w:jc w:val="left"/>
              <w:rPr>
                <w:rFonts w:ascii="Times New Roman" w:hAnsi="Times New Roman" w:cs="Times New Roman" w:eastAsia="Times New Roman" w:hint="default"/>
                <w:sz w:val="17"/>
                <w:szCs w:val="17"/>
              </w:rPr>
            </w:pPr>
          </w:p>
          <w:p>
            <w:pPr>
              <w:pStyle w:val="TableParagraph"/>
              <w:spacing w:line="240" w:lineRule="auto"/>
              <w:ind w:left="2" w:right="0"/>
              <w:jc w:val="left"/>
              <w:rPr>
                <w:rFonts w:ascii="宋体" w:hAnsi="宋体" w:cs="宋体" w:eastAsia="宋体" w:hint="default"/>
                <w:sz w:val="15"/>
                <w:szCs w:val="15"/>
              </w:rPr>
            </w:pPr>
            <w:r>
              <w:rPr>
                <w:rFonts w:ascii="宋体" w:hAnsi="宋体" w:cs="宋体" w:eastAsia="宋体" w:hint="default"/>
                <w:sz w:val="15"/>
                <w:szCs w:val="15"/>
              </w:rPr>
              <w:t>计划起止日期：</w:t>
            </w:r>
          </w:p>
          <w:p>
            <w:pPr>
              <w:pStyle w:val="TableParagraph"/>
              <w:spacing w:line="240" w:lineRule="auto"/>
              <w:ind w:right="0"/>
              <w:jc w:val="left"/>
              <w:rPr>
                <w:rFonts w:ascii="Times New Roman" w:hAnsi="Times New Roman" w:cs="Times New Roman" w:eastAsia="Times New Roman" w:hint="default"/>
                <w:sz w:val="13"/>
                <w:szCs w:val="13"/>
              </w:rPr>
            </w:pPr>
          </w:p>
          <w:p>
            <w:pPr>
              <w:pStyle w:val="TableParagraph"/>
              <w:spacing w:line="240" w:lineRule="auto"/>
              <w:ind w:left="2" w:right="0"/>
              <w:jc w:val="left"/>
              <w:rPr>
                <w:rFonts w:ascii="Times New Roman" w:hAnsi="Times New Roman" w:cs="Times New Roman" w:eastAsia="Times New Roman" w:hint="default"/>
                <w:sz w:val="15"/>
                <w:szCs w:val="15"/>
              </w:rPr>
            </w:pPr>
            <w:r>
              <w:rPr>
                <w:rFonts w:ascii="Times New Roman"/>
                <w:sz w:val="15"/>
              </w:rPr>
              <w:t>2017/1/1</w:t>
            </w:r>
          </w:p>
          <w:p>
            <w:pPr>
              <w:pStyle w:val="TableParagraph"/>
              <w:spacing w:line="240" w:lineRule="auto" w:before="2"/>
              <w:ind w:right="0"/>
              <w:jc w:val="left"/>
              <w:rPr>
                <w:rFonts w:ascii="Times New Roman" w:hAnsi="Times New Roman" w:cs="Times New Roman" w:eastAsia="Times New Roman" w:hint="default"/>
                <w:sz w:val="12"/>
                <w:szCs w:val="12"/>
              </w:rPr>
            </w:pPr>
          </w:p>
          <w:p>
            <w:pPr>
              <w:pStyle w:val="TableParagraph"/>
              <w:spacing w:line="240" w:lineRule="auto"/>
              <w:ind w:left="2" w:right="0"/>
              <w:jc w:val="left"/>
              <w:rPr>
                <w:rFonts w:ascii="Times New Roman" w:hAnsi="Times New Roman" w:cs="Times New Roman" w:eastAsia="Times New Roman" w:hint="default"/>
                <w:sz w:val="15"/>
                <w:szCs w:val="15"/>
              </w:rPr>
            </w:pPr>
            <w:r>
              <w:rPr>
                <w:rFonts w:ascii="Times New Roman"/>
                <w:sz w:val="15"/>
              </w:rPr>
              <w:t>2018/10/31</w:t>
            </w:r>
          </w:p>
        </w:tc>
        <w:tc>
          <w:tcPr>
            <w:tcW w:w="7939" w:type="dxa"/>
            <w:tcBorders>
              <w:top w:val="single" w:sz="6" w:space="0" w:color="000000"/>
              <w:left w:val="single" w:sz="6" w:space="0" w:color="000000"/>
              <w:bottom w:val="single" w:sz="6" w:space="0" w:color="000000"/>
              <w:right w:val="single" w:sz="6" w:space="0" w:color="000000"/>
            </w:tcBorders>
          </w:tcPr>
          <w:p>
            <w:pPr>
              <w:pStyle w:val="TableParagraph"/>
              <w:spacing w:line="374" w:lineRule="auto" w:before="44"/>
              <w:ind w:left="3" w:right="1" w:firstLine="300"/>
              <w:jc w:val="both"/>
              <w:rPr>
                <w:rFonts w:ascii="宋体" w:hAnsi="宋体" w:cs="宋体" w:eastAsia="宋体" w:hint="default"/>
                <w:sz w:val="15"/>
                <w:szCs w:val="15"/>
              </w:rPr>
            </w:pPr>
            <w:r>
              <w:rPr>
                <w:rFonts w:ascii="宋体" w:hAnsi="宋体" w:cs="宋体" w:eastAsia="宋体" w:hint="default"/>
                <w:spacing w:val="-1"/>
                <w:sz w:val="15"/>
                <w:szCs w:val="15"/>
              </w:rPr>
              <w:t>新开普系列宽带电力线载波（</w:t>
            </w:r>
            <w:r>
              <w:rPr>
                <w:rFonts w:ascii="Times New Roman" w:hAnsi="Times New Roman" w:cs="Times New Roman" w:eastAsia="Times New Roman" w:hint="default"/>
                <w:spacing w:val="-1"/>
                <w:sz w:val="15"/>
                <w:szCs w:val="15"/>
              </w:rPr>
              <w:t>BPLC</w:t>
            </w:r>
            <w:r>
              <w:rPr>
                <w:rFonts w:ascii="宋体" w:hAnsi="宋体" w:cs="宋体" w:eastAsia="宋体" w:hint="default"/>
                <w:spacing w:val="-1"/>
                <w:sz w:val="15"/>
                <w:szCs w:val="15"/>
              </w:rPr>
              <w:t>）模块工作在</w:t>
            </w:r>
            <w:r>
              <w:rPr>
                <w:rFonts w:ascii="Times New Roman" w:hAnsi="Times New Roman" w:cs="Times New Roman" w:eastAsia="Times New Roman" w:hint="default"/>
                <w:spacing w:val="-1"/>
                <w:sz w:val="15"/>
                <w:szCs w:val="15"/>
              </w:rPr>
              <w:t>2-30MHz</w:t>
            </w:r>
            <w:r>
              <w:rPr>
                <w:rFonts w:ascii="宋体" w:hAnsi="宋体" w:cs="宋体" w:eastAsia="宋体" w:hint="default"/>
                <w:spacing w:val="-1"/>
                <w:sz w:val="15"/>
                <w:szCs w:val="15"/>
              </w:rPr>
              <w:t>频段，采用正交频分复用</w:t>
            </w:r>
            <w:r>
              <w:rPr>
                <w:rFonts w:ascii="Times New Roman" w:hAnsi="Times New Roman" w:cs="Times New Roman" w:eastAsia="Times New Roman" w:hint="default"/>
                <w:spacing w:val="-1"/>
                <w:sz w:val="15"/>
                <w:szCs w:val="15"/>
              </w:rPr>
              <w:t>(OFDM)</w:t>
            </w:r>
            <w:r>
              <w:rPr>
                <w:rFonts w:ascii="宋体" w:hAnsi="宋体" w:cs="宋体" w:eastAsia="宋体" w:hint="default"/>
                <w:spacing w:val="-1"/>
                <w:sz w:val="15"/>
                <w:szCs w:val="15"/>
              </w:rPr>
              <w:t>调制解调方式、高效可靠</w:t>
            </w:r>
            <w:r>
              <w:rPr>
                <w:rFonts w:ascii="宋体" w:hAnsi="宋体" w:cs="宋体" w:eastAsia="宋体" w:hint="default"/>
                <w:w w:val="99"/>
                <w:sz w:val="15"/>
                <w:szCs w:val="15"/>
              </w:rPr>
              <w:t> </w:t>
            </w:r>
            <w:r>
              <w:rPr>
                <w:rFonts w:ascii="宋体" w:hAnsi="宋体" w:cs="宋体" w:eastAsia="宋体" w:hint="default"/>
                <w:spacing w:val="-1"/>
                <w:sz w:val="15"/>
                <w:szCs w:val="15"/>
              </w:rPr>
              <w:t>的前向纠错技术、灵活可配的传输模式、结合先进的数模混合设计技术与工艺，使其能够提供高速率、高可靠性、高灵敏</w:t>
            </w:r>
            <w:r>
              <w:rPr>
                <w:rFonts w:ascii="宋体" w:hAnsi="宋体" w:cs="宋体" w:eastAsia="宋体" w:hint="default"/>
                <w:spacing w:val="-55"/>
                <w:sz w:val="15"/>
                <w:szCs w:val="15"/>
              </w:rPr>
              <w:t> </w:t>
            </w:r>
            <w:r>
              <w:rPr>
                <w:rFonts w:ascii="宋体" w:hAnsi="宋体" w:cs="宋体" w:eastAsia="宋体" w:hint="default"/>
                <w:spacing w:val="-55"/>
                <w:sz w:val="15"/>
                <w:szCs w:val="15"/>
              </w:rPr>
            </w:r>
            <w:r>
              <w:rPr>
                <w:rFonts w:ascii="宋体" w:hAnsi="宋体" w:cs="宋体" w:eastAsia="宋体" w:hint="default"/>
                <w:spacing w:val="-1"/>
                <w:sz w:val="15"/>
                <w:szCs w:val="15"/>
              </w:rPr>
              <w:t>度的电力线数据通信，可以在信号衰减严重以及干扰强烈的电力线环境下实现自适应可靠通信，可实现各种类型的数据传</w:t>
            </w:r>
            <w:r>
              <w:rPr>
                <w:rFonts w:ascii="宋体" w:hAnsi="宋体" w:cs="宋体" w:eastAsia="宋体" w:hint="default"/>
                <w:spacing w:val="-55"/>
                <w:sz w:val="15"/>
                <w:szCs w:val="15"/>
              </w:rPr>
              <w:t> </w:t>
            </w:r>
            <w:r>
              <w:rPr>
                <w:rFonts w:ascii="宋体" w:hAnsi="宋体" w:cs="宋体" w:eastAsia="宋体" w:hint="default"/>
                <w:spacing w:val="-55"/>
                <w:sz w:val="15"/>
                <w:szCs w:val="15"/>
              </w:rPr>
            </w:r>
            <w:r>
              <w:rPr>
                <w:rFonts w:ascii="宋体" w:hAnsi="宋体" w:cs="宋体" w:eastAsia="宋体" w:hint="default"/>
                <w:sz w:val="15"/>
                <w:szCs w:val="15"/>
              </w:rPr>
              <w:t>输及远程抄表应用</w:t>
            </w:r>
          </w:p>
        </w:tc>
      </w:tr>
      <w:tr>
        <w:trPr>
          <w:trHeight w:val="1595" w:hRule="exact"/>
        </w:trPr>
        <w:tc>
          <w:tcPr>
            <w:tcW w:w="7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right="0"/>
              <w:jc w:val="center"/>
              <w:rPr>
                <w:rFonts w:ascii="Times New Roman" w:hAnsi="Times New Roman" w:cs="Times New Roman" w:eastAsia="Times New Roman" w:hint="default"/>
                <w:sz w:val="15"/>
                <w:szCs w:val="15"/>
              </w:rPr>
            </w:pPr>
            <w:r>
              <w:rPr>
                <w:rFonts w:ascii="Times New Roman"/>
                <w:sz w:val="15"/>
              </w:rPr>
              <w:t>6</w:t>
            </w:r>
          </w:p>
        </w:tc>
        <w:tc>
          <w:tcPr>
            <w:tcW w:w="18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before="115"/>
              <w:ind w:left="3" w:right="0"/>
              <w:jc w:val="left"/>
              <w:rPr>
                <w:rFonts w:ascii="宋体" w:hAnsi="宋体" w:cs="宋体" w:eastAsia="宋体" w:hint="default"/>
                <w:sz w:val="15"/>
                <w:szCs w:val="15"/>
              </w:rPr>
            </w:pPr>
            <w:r>
              <w:rPr>
                <w:rFonts w:ascii="宋体" w:hAnsi="宋体" w:cs="宋体" w:eastAsia="宋体" w:hint="default"/>
                <w:sz w:val="15"/>
                <w:szCs w:val="15"/>
              </w:rPr>
              <w:t>燃气</w:t>
            </w:r>
            <w:r>
              <w:rPr>
                <w:rFonts w:ascii="Times New Roman" w:hAnsi="Times New Roman" w:cs="Times New Roman" w:eastAsia="Times New Roman" w:hint="default"/>
                <w:sz w:val="15"/>
                <w:szCs w:val="15"/>
              </w:rPr>
              <w:t>IC</w:t>
            </w:r>
            <w:r>
              <w:rPr>
                <w:rFonts w:ascii="宋体" w:hAnsi="宋体" w:cs="宋体" w:eastAsia="宋体" w:hint="default"/>
                <w:sz w:val="15"/>
                <w:szCs w:val="15"/>
              </w:rPr>
              <w:t>卡自助服务平台</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0"/>
              <w:ind w:right="0"/>
              <w:jc w:val="left"/>
              <w:rPr>
                <w:rFonts w:ascii="Times New Roman" w:hAnsi="Times New Roman" w:cs="Times New Roman" w:eastAsia="Times New Roman" w:hint="default"/>
                <w:sz w:val="16"/>
                <w:szCs w:val="16"/>
              </w:rPr>
            </w:pPr>
          </w:p>
          <w:p>
            <w:pPr>
              <w:pStyle w:val="TableParagraph"/>
              <w:spacing w:line="240" w:lineRule="auto"/>
              <w:ind w:left="2" w:right="0"/>
              <w:jc w:val="left"/>
              <w:rPr>
                <w:rFonts w:ascii="宋体" w:hAnsi="宋体" w:cs="宋体" w:eastAsia="宋体" w:hint="default"/>
                <w:sz w:val="15"/>
                <w:szCs w:val="15"/>
              </w:rPr>
            </w:pPr>
            <w:r>
              <w:rPr>
                <w:rFonts w:ascii="宋体" w:hAnsi="宋体" w:cs="宋体" w:eastAsia="宋体" w:hint="default"/>
                <w:sz w:val="15"/>
                <w:szCs w:val="15"/>
              </w:rPr>
              <w:t>燃气集成</w:t>
            </w:r>
          </w:p>
        </w:tc>
        <w:tc>
          <w:tcPr>
            <w:tcW w:w="18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0"/>
              <w:ind w:right="0"/>
              <w:jc w:val="left"/>
              <w:rPr>
                <w:rFonts w:ascii="Times New Roman" w:hAnsi="Times New Roman" w:cs="Times New Roman" w:eastAsia="Times New Roman" w:hint="default"/>
                <w:sz w:val="16"/>
                <w:szCs w:val="16"/>
              </w:rPr>
            </w:pPr>
          </w:p>
          <w:p>
            <w:pPr>
              <w:pStyle w:val="TableParagraph"/>
              <w:spacing w:line="240" w:lineRule="auto"/>
              <w:ind w:left="2" w:right="0"/>
              <w:jc w:val="left"/>
              <w:rPr>
                <w:rFonts w:ascii="宋体" w:hAnsi="宋体" w:cs="宋体" w:eastAsia="宋体" w:hint="default"/>
                <w:sz w:val="15"/>
                <w:szCs w:val="15"/>
              </w:rPr>
            </w:pPr>
            <w:r>
              <w:rPr>
                <w:rFonts w:ascii="宋体" w:hAnsi="宋体" w:cs="宋体" w:eastAsia="宋体" w:hint="default"/>
                <w:sz w:val="15"/>
                <w:szCs w:val="15"/>
              </w:rPr>
              <w:t>结项，已经开始销售</w:t>
            </w:r>
          </w:p>
        </w:tc>
        <w:tc>
          <w:tcPr>
            <w:tcW w:w="12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10"/>
              <w:ind w:right="0"/>
              <w:jc w:val="left"/>
              <w:rPr>
                <w:rFonts w:ascii="Times New Roman" w:hAnsi="Times New Roman" w:cs="Times New Roman" w:eastAsia="Times New Roman" w:hint="default"/>
                <w:sz w:val="16"/>
                <w:szCs w:val="16"/>
              </w:rPr>
            </w:pPr>
          </w:p>
          <w:p>
            <w:pPr>
              <w:pStyle w:val="TableParagraph"/>
              <w:spacing w:line="240" w:lineRule="auto"/>
              <w:ind w:left="2" w:right="0"/>
              <w:jc w:val="left"/>
              <w:rPr>
                <w:rFonts w:ascii="宋体" w:hAnsi="宋体" w:cs="宋体" w:eastAsia="宋体" w:hint="default"/>
                <w:sz w:val="15"/>
                <w:szCs w:val="15"/>
              </w:rPr>
            </w:pPr>
            <w:r>
              <w:rPr>
                <w:rFonts w:ascii="宋体" w:hAnsi="宋体" w:cs="宋体" w:eastAsia="宋体" w:hint="default"/>
                <w:sz w:val="15"/>
                <w:szCs w:val="15"/>
              </w:rPr>
              <w:t>计划起止日期：</w:t>
            </w:r>
          </w:p>
          <w:p>
            <w:pPr>
              <w:pStyle w:val="TableParagraph"/>
              <w:spacing w:line="240" w:lineRule="auto"/>
              <w:ind w:right="0"/>
              <w:jc w:val="left"/>
              <w:rPr>
                <w:rFonts w:ascii="Times New Roman" w:hAnsi="Times New Roman" w:cs="Times New Roman" w:eastAsia="Times New Roman" w:hint="default"/>
                <w:sz w:val="13"/>
                <w:szCs w:val="13"/>
              </w:rPr>
            </w:pPr>
          </w:p>
          <w:p>
            <w:pPr>
              <w:pStyle w:val="TableParagraph"/>
              <w:spacing w:line="240" w:lineRule="auto"/>
              <w:ind w:left="2" w:right="0"/>
              <w:jc w:val="left"/>
              <w:rPr>
                <w:rFonts w:ascii="Times New Roman" w:hAnsi="Times New Roman" w:cs="Times New Roman" w:eastAsia="Times New Roman" w:hint="default"/>
                <w:sz w:val="15"/>
                <w:szCs w:val="15"/>
              </w:rPr>
            </w:pPr>
            <w:r>
              <w:rPr>
                <w:rFonts w:ascii="Times New Roman"/>
                <w:sz w:val="15"/>
              </w:rPr>
              <w:t>2017/4/1</w:t>
            </w:r>
          </w:p>
          <w:p>
            <w:pPr>
              <w:pStyle w:val="TableParagraph"/>
              <w:spacing w:line="240" w:lineRule="auto" w:before="2"/>
              <w:ind w:right="0"/>
              <w:jc w:val="left"/>
              <w:rPr>
                <w:rFonts w:ascii="Times New Roman" w:hAnsi="Times New Roman" w:cs="Times New Roman" w:eastAsia="Times New Roman" w:hint="default"/>
                <w:sz w:val="12"/>
                <w:szCs w:val="12"/>
              </w:rPr>
            </w:pPr>
          </w:p>
          <w:p>
            <w:pPr>
              <w:pStyle w:val="TableParagraph"/>
              <w:spacing w:line="240" w:lineRule="auto"/>
              <w:ind w:left="2" w:right="0"/>
              <w:jc w:val="left"/>
              <w:rPr>
                <w:rFonts w:ascii="Times New Roman" w:hAnsi="Times New Roman" w:cs="Times New Roman" w:eastAsia="Times New Roman" w:hint="default"/>
                <w:sz w:val="15"/>
                <w:szCs w:val="15"/>
              </w:rPr>
            </w:pPr>
            <w:r>
              <w:rPr>
                <w:rFonts w:ascii="Times New Roman"/>
                <w:sz w:val="15"/>
              </w:rPr>
              <w:t>2018/3/31</w:t>
            </w:r>
          </w:p>
        </w:tc>
        <w:tc>
          <w:tcPr>
            <w:tcW w:w="7939" w:type="dxa"/>
            <w:tcBorders>
              <w:top w:val="single" w:sz="6" w:space="0" w:color="000000"/>
              <w:left w:val="single" w:sz="6" w:space="0" w:color="000000"/>
              <w:bottom w:val="single" w:sz="6" w:space="0" w:color="000000"/>
              <w:right w:val="single" w:sz="6" w:space="0" w:color="000000"/>
            </w:tcBorders>
          </w:tcPr>
          <w:p>
            <w:pPr>
              <w:pStyle w:val="TableParagraph"/>
              <w:spacing w:line="367" w:lineRule="auto" w:before="43"/>
              <w:ind w:left="3" w:right="0" w:firstLine="300"/>
              <w:jc w:val="both"/>
              <w:rPr>
                <w:rFonts w:ascii="宋体" w:hAnsi="宋体" w:cs="宋体" w:eastAsia="宋体" w:hint="default"/>
                <w:sz w:val="15"/>
                <w:szCs w:val="15"/>
              </w:rPr>
            </w:pPr>
            <w:r>
              <w:rPr>
                <w:rFonts w:ascii="宋体" w:hAnsi="宋体" w:cs="宋体" w:eastAsia="宋体" w:hint="default"/>
                <w:spacing w:val="-1"/>
                <w:sz w:val="15"/>
                <w:szCs w:val="15"/>
              </w:rPr>
              <w:t>燃气</w:t>
            </w:r>
            <w:r>
              <w:rPr>
                <w:rFonts w:ascii="Times New Roman" w:hAnsi="Times New Roman" w:cs="Times New Roman" w:eastAsia="Times New Roman" w:hint="default"/>
                <w:spacing w:val="-1"/>
                <w:sz w:val="15"/>
                <w:szCs w:val="15"/>
              </w:rPr>
              <w:t>IC</w:t>
            </w:r>
            <w:r>
              <w:rPr>
                <w:rFonts w:ascii="宋体" w:hAnsi="宋体" w:cs="宋体" w:eastAsia="宋体" w:hint="default"/>
                <w:spacing w:val="-1"/>
                <w:sz w:val="15"/>
                <w:szCs w:val="15"/>
              </w:rPr>
              <w:t>卡自助服务平台指用户通过自助服务终端（包括便携式、固定式、</w:t>
            </w:r>
            <w:r>
              <w:rPr>
                <w:rFonts w:ascii="Times New Roman" w:hAnsi="Times New Roman" w:cs="Times New Roman" w:eastAsia="Times New Roman" w:hint="default"/>
                <w:spacing w:val="-1"/>
                <w:sz w:val="15"/>
                <w:szCs w:val="15"/>
              </w:rPr>
              <w:t>NFC</w:t>
            </w:r>
            <w:r>
              <w:rPr>
                <w:rFonts w:ascii="宋体" w:hAnsi="宋体" w:cs="宋体" w:eastAsia="宋体" w:hint="default"/>
                <w:spacing w:val="-1"/>
                <w:sz w:val="15"/>
                <w:szCs w:val="15"/>
              </w:rPr>
              <w:t>移动终端等）实现燃气</w:t>
            </w:r>
            <w:r>
              <w:rPr>
                <w:rFonts w:ascii="Times New Roman" w:hAnsi="Times New Roman" w:cs="Times New Roman" w:eastAsia="Times New Roman" w:hint="default"/>
                <w:spacing w:val="-1"/>
                <w:sz w:val="15"/>
                <w:szCs w:val="15"/>
              </w:rPr>
              <w:t>IC</w:t>
            </w:r>
            <w:r>
              <w:rPr>
                <w:rFonts w:ascii="宋体" w:hAnsi="宋体" w:cs="宋体" w:eastAsia="宋体" w:hint="default"/>
                <w:spacing w:val="-1"/>
                <w:sz w:val="15"/>
                <w:szCs w:val="15"/>
              </w:rPr>
              <w:t>卡用户自助式</w:t>
            </w:r>
            <w:r>
              <w:rPr>
                <w:rFonts w:ascii="宋体" w:hAnsi="宋体" w:cs="宋体" w:eastAsia="宋体" w:hint="default"/>
                <w:sz w:val="15"/>
                <w:szCs w:val="15"/>
              </w:rPr>
              <w:t> </w:t>
            </w:r>
            <w:r>
              <w:rPr>
                <w:rFonts w:ascii="宋体" w:hAnsi="宋体" w:cs="宋体" w:eastAsia="宋体" w:hint="default"/>
                <w:spacing w:val="-1"/>
                <w:sz w:val="15"/>
                <w:szCs w:val="15"/>
              </w:rPr>
              <w:t>燃气费充值、充值记录查询、业务咨询服务等业务的平台，为方便燃气</w:t>
            </w:r>
            <w:r>
              <w:rPr>
                <w:rFonts w:ascii="Times New Roman" w:hAnsi="Times New Roman" w:cs="Times New Roman" w:eastAsia="Times New Roman" w:hint="default"/>
                <w:spacing w:val="-1"/>
                <w:sz w:val="15"/>
                <w:szCs w:val="15"/>
              </w:rPr>
              <w:t>IC</w:t>
            </w:r>
            <w:r>
              <w:rPr>
                <w:rFonts w:ascii="宋体" w:hAnsi="宋体" w:cs="宋体" w:eastAsia="宋体" w:hint="default"/>
                <w:spacing w:val="-1"/>
                <w:sz w:val="15"/>
                <w:szCs w:val="15"/>
              </w:rPr>
              <w:t>卡用户实现就近充值业务提供极大的便利。系统</w:t>
            </w:r>
            <w:r>
              <w:rPr>
                <w:rFonts w:ascii="宋体" w:hAnsi="宋体" w:cs="宋体" w:eastAsia="宋体" w:hint="default"/>
                <w:spacing w:val="-58"/>
                <w:sz w:val="15"/>
                <w:szCs w:val="15"/>
              </w:rPr>
              <w:t> </w:t>
            </w:r>
            <w:r>
              <w:rPr>
                <w:rFonts w:ascii="宋体" w:hAnsi="宋体" w:cs="宋体" w:eastAsia="宋体" w:hint="default"/>
                <w:spacing w:val="-58"/>
                <w:sz w:val="15"/>
                <w:szCs w:val="15"/>
              </w:rPr>
            </w:r>
            <w:r>
              <w:rPr>
                <w:rFonts w:ascii="宋体" w:hAnsi="宋体" w:cs="宋体" w:eastAsia="宋体" w:hint="default"/>
                <w:spacing w:val="-1"/>
                <w:sz w:val="15"/>
                <w:szCs w:val="15"/>
              </w:rPr>
              <w:t>组成部分包括自助终端设备、银行业务前置服务器或第三方支付平台架构（支付宝、微信等）、通信网络及相应的软件平</w:t>
            </w:r>
            <w:r>
              <w:rPr>
                <w:rFonts w:ascii="宋体" w:hAnsi="宋体" w:cs="宋体" w:eastAsia="宋体" w:hint="default"/>
                <w:spacing w:val="-56"/>
                <w:sz w:val="15"/>
                <w:szCs w:val="15"/>
              </w:rPr>
              <w:t> </w:t>
            </w:r>
            <w:r>
              <w:rPr>
                <w:rFonts w:ascii="宋体" w:hAnsi="宋体" w:cs="宋体" w:eastAsia="宋体" w:hint="default"/>
                <w:spacing w:val="-56"/>
                <w:sz w:val="15"/>
                <w:szCs w:val="15"/>
              </w:rPr>
            </w:r>
            <w:r>
              <w:rPr>
                <w:rFonts w:ascii="宋体" w:hAnsi="宋体" w:cs="宋体" w:eastAsia="宋体" w:hint="default"/>
                <w:sz w:val="15"/>
                <w:szCs w:val="15"/>
              </w:rPr>
              <w:t>台。</w:t>
            </w:r>
          </w:p>
          <w:p>
            <w:pPr>
              <w:pStyle w:val="TableParagraph"/>
              <w:spacing w:line="240" w:lineRule="auto" w:before="36"/>
              <w:ind w:left="303" w:right="-30"/>
              <w:jc w:val="left"/>
              <w:rPr>
                <w:rFonts w:ascii="宋体" w:hAnsi="宋体" w:cs="宋体" w:eastAsia="宋体" w:hint="default"/>
                <w:sz w:val="15"/>
                <w:szCs w:val="15"/>
              </w:rPr>
            </w:pPr>
            <w:r>
              <w:rPr>
                <w:rFonts w:ascii="宋体" w:hAnsi="宋体" w:cs="宋体" w:eastAsia="宋体" w:hint="default"/>
                <w:sz w:val="15"/>
                <w:szCs w:val="15"/>
              </w:rPr>
              <w:t>用户可以自主进行</w:t>
            </w:r>
            <w:r>
              <w:rPr>
                <w:rFonts w:ascii="Times New Roman" w:hAnsi="Times New Roman" w:cs="Times New Roman" w:eastAsia="Times New Roman" w:hint="default"/>
                <w:sz w:val="15"/>
                <w:szCs w:val="15"/>
              </w:rPr>
              <w:t>IC</w:t>
            </w:r>
            <w:r>
              <w:rPr>
                <w:rFonts w:ascii="宋体" w:hAnsi="宋体" w:cs="宋体" w:eastAsia="宋体" w:hint="default"/>
                <w:sz w:val="15"/>
                <w:szCs w:val="15"/>
              </w:rPr>
              <w:t>卡的充值，节省了用户去营业厅或自助服务点充值的时间成本和燃气公司普表抄表的人力成本、</w:t>
            </w:r>
          </w:p>
        </w:tc>
      </w:tr>
    </w:tbl>
    <w:p>
      <w:pPr>
        <w:spacing w:after="0" w:line="240" w:lineRule="auto"/>
        <w:jc w:val="left"/>
        <w:rPr>
          <w:rFonts w:ascii="宋体" w:hAnsi="宋体" w:cs="宋体" w:eastAsia="宋体" w:hint="default"/>
          <w:sz w:val="15"/>
          <w:szCs w:val="15"/>
        </w:rPr>
        <w:sectPr>
          <w:pgSz w:w="16840" w:h="11910" w:orient="landscape"/>
          <w:pgMar w:header="867" w:footer="979" w:top="1060" w:bottom="1220" w:left="920" w:right="920"/>
        </w:sectPr>
      </w:pPr>
    </w:p>
    <w:p>
      <w:pPr>
        <w:spacing w:line="240" w:lineRule="auto" w:before="0"/>
        <w:rPr>
          <w:rFonts w:ascii="Times New Roman" w:hAnsi="Times New Roman" w:cs="Times New Roman" w:eastAsia="Times New Roman" w:hint="default"/>
          <w:sz w:val="20"/>
          <w:szCs w:val="20"/>
        </w:rPr>
      </w:pPr>
      <w:r>
        <w:rPr/>
        <w:pict>
          <v:shape style="position:absolute;margin-left:51.959999pt;margin-top:55.260006pt;width:738.3pt;height:463.4pt;mso-position-horizontal-relative:page;mso-position-vertical-relative:page;z-index:119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710"/>
                    <w:gridCol w:w="1844"/>
                    <w:gridCol w:w="1134"/>
                    <w:gridCol w:w="1842"/>
                    <w:gridCol w:w="1276"/>
                    <w:gridCol w:w="7939"/>
                  </w:tblGrid>
                  <w:tr>
                    <w:trPr>
                      <w:trHeight w:val="361" w:hRule="exact"/>
                    </w:trPr>
                    <w:tc>
                      <w:tcPr>
                        <w:tcW w:w="710" w:type="dxa"/>
                        <w:tcBorders>
                          <w:top w:val="single" w:sz="17" w:space="0" w:color="000000"/>
                          <w:left w:val="single" w:sz="6" w:space="0" w:color="000000"/>
                          <w:bottom w:val="single" w:sz="6" w:space="0" w:color="000000"/>
                          <w:right w:val="single" w:sz="6" w:space="0" w:color="000000"/>
                        </w:tcBorders>
                      </w:tcPr>
                      <w:p>
                        <w:pPr/>
                      </w:p>
                    </w:tc>
                    <w:tc>
                      <w:tcPr>
                        <w:tcW w:w="1844" w:type="dxa"/>
                        <w:tcBorders>
                          <w:top w:val="single" w:sz="17" w:space="0" w:color="000000"/>
                          <w:left w:val="single" w:sz="6" w:space="0" w:color="000000"/>
                          <w:bottom w:val="single" w:sz="6" w:space="0" w:color="000000"/>
                          <w:right w:val="single" w:sz="6" w:space="0" w:color="000000"/>
                        </w:tcBorders>
                      </w:tcPr>
                      <w:p>
                        <w:pPr/>
                      </w:p>
                    </w:tc>
                    <w:tc>
                      <w:tcPr>
                        <w:tcW w:w="1134" w:type="dxa"/>
                        <w:tcBorders>
                          <w:top w:val="single" w:sz="17" w:space="0" w:color="000000"/>
                          <w:left w:val="single" w:sz="6" w:space="0" w:color="000000"/>
                          <w:bottom w:val="single" w:sz="6" w:space="0" w:color="000000"/>
                          <w:right w:val="single" w:sz="6" w:space="0" w:color="000000"/>
                        </w:tcBorders>
                      </w:tcPr>
                      <w:p>
                        <w:pPr/>
                      </w:p>
                    </w:tc>
                    <w:tc>
                      <w:tcPr>
                        <w:tcW w:w="1842" w:type="dxa"/>
                        <w:tcBorders>
                          <w:top w:val="single" w:sz="17" w:space="0" w:color="000000"/>
                          <w:left w:val="single" w:sz="6" w:space="0" w:color="000000"/>
                          <w:bottom w:val="single" w:sz="6" w:space="0" w:color="000000"/>
                          <w:right w:val="single" w:sz="6" w:space="0" w:color="000000"/>
                        </w:tcBorders>
                      </w:tcPr>
                      <w:p>
                        <w:pPr/>
                      </w:p>
                    </w:tc>
                    <w:tc>
                      <w:tcPr>
                        <w:tcW w:w="1276" w:type="dxa"/>
                        <w:tcBorders>
                          <w:top w:val="single" w:sz="17" w:space="0" w:color="000000"/>
                          <w:left w:val="single" w:sz="6" w:space="0" w:color="000000"/>
                          <w:bottom w:val="single" w:sz="6" w:space="0" w:color="000000"/>
                          <w:right w:val="single" w:sz="6" w:space="0" w:color="000000"/>
                        </w:tcBorders>
                      </w:tcPr>
                      <w:p>
                        <w:pPr/>
                      </w:p>
                    </w:tc>
                    <w:tc>
                      <w:tcPr>
                        <w:tcW w:w="7939" w:type="dxa"/>
                        <w:tcBorders>
                          <w:top w:val="single" w:sz="17" w:space="0" w:color="000000"/>
                          <w:left w:val="single" w:sz="6" w:space="0" w:color="000000"/>
                          <w:bottom w:val="single" w:sz="6" w:space="0" w:color="000000"/>
                          <w:right w:val="single" w:sz="6" w:space="0" w:color="000000"/>
                        </w:tcBorders>
                      </w:tcPr>
                      <w:p>
                        <w:pPr>
                          <w:pStyle w:val="TableParagraph"/>
                          <w:spacing w:line="240" w:lineRule="auto" w:before="44"/>
                          <w:ind w:left="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IC</w:t>
                        </w:r>
                        <w:r>
                          <w:rPr>
                            <w:rFonts w:ascii="宋体" w:hAnsi="宋体" w:cs="宋体" w:eastAsia="宋体" w:hint="default"/>
                            <w:sz w:val="15"/>
                            <w:szCs w:val="15"/>
                          </w:rPr>
                          <w:t>卡充值的业务压力，减少燃气公司的管理运营成本。</w:t>
                        </w:r>
                      </w:p>
                    </w:tc>
                  </w:tr>
                  <w:tr>
                    <w:trPr>
                      <w:trHeight w:val="2843" w:hRule="exact"/>
                    </w:trPr>
                    <w:tc>
                      <w:tcPr>
                        <w:tcW w:w="7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0"/>
                          <w:jc w:val="center"/>
                          <w:rPr>
                            <w:rFonts w:ascii="Times New Roman" w:hAnsi="Times New Roman" w:cs="Times New Roman" w:eastAsia="Times New Roman" w:hint="default"/>
                            <w:sz w:val="15"/>
                            <w:szCs w:val="15"/>
                          </w:rPr>
                        </w:pPr>
                        <w:r>
                          <w:rPr>
                            <w:rFonts w:ascii="Times New Roman"/>
                            <w:sz w:val="15"/>
                          </w:rPr>
                          <w:t>7</w:t>
                        </w:r>
                      </w:p>
                    </w:tc>
                    <w:tc>
                      <w:tcPr>
                        <w:tcW w:w="18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3" w:right="0"/>
                          <w:jc w:val="left"/>
                          <w:rPr>
                            <w:rFonts w:ascii="Times New Roman" w:hAnsi="Times New Roman" w:cs="Times New Roman" w:eastAsia="Times New Roman" w:hint="default"/>
                            <w:sz w:val="15"/>
                            <w:szCs w:val="15"/>
                          </w:rPr>
                        </w:pPr>
                        <w:r>
                          <w:rPr>
                            <w:rFonts w:ascii="宋体" w:hAnsi="宋体" w:cs="宋体" w:eastAsia="宋体" w:hint="default"/>
                            <w:sz w:val="15"/>
                            <w:szCs w:val="15"/>
                          </w:rPr>
                          <w:t>智慧校园一卡通平台</w:t>
                        </w:r>
                        <w:r>
                          <w:rPr>
                            <w:rFonts w:ascii="Times New Roman" w:hAnsi="Times New Roman" w:cs="Times New Roman" w:eastAsia="Times New Roman" w:hint="default"/>
                            <w:sz w:val="15"/>
                            <w:szCs w:val="15"/>
                          </w:rPr>
                          <w:t>V6.0</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left="2" w:right="0"/>
                          <w:jc w:val="left"/>
                          <w:rPr>
                            <w:rFonts w:ascii="宋体" w:hAnsi="宋体" w:cs="宋体" w:eastAsia="宋体" w:hint="default"/>
                            <w:sz w:val="15"/>
                            <w:szCs w:val="15"/>
                          </w:rPr>
                        </w:pPr>
                        <w:r>
                          <w:rPr>
                            <w:rFonts w:ascii="宋体" w:hAnsi="宋体" w:cs="宋体" w:eastAsia="宋体" w:hint="default"/>
                            <w:sz w:val="15"/>
                            <w:szCs w:val="15"/>
                          </w:rPr>
                          <w:t>智慧校园</w:t>
                        </w:r>
                      </w:p>
                    </w:tc>
                    <w:tc>
                      <w:tcPr>
                        <w:tcW w:w="18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left="2" w:right="0"/>
                          <w:jc w:val="left"/>
                          <w:rPr>
                            <w:rFonts w:ascii="宋体" w:hAnsi="宋体" w:cs="宋体" w:eastAsia="宋体" w:hint="default"/>
                            <w:sz w:val="15"/>
                            <w:szCs w:val="15"/>
                          </w:rPr>
                        </w:pPr>
                        <w:r>
                          <w:rPr>
                            <w:rFonts w:ascii="宋体" w:hAnsi="宋体" w:cs="宋体" w:eastAsia="宋体" w:hint="default"/>
                            <w:sz w:val="15"/>
                            <w:szCs w:val="15"/>
                          </w:rPr>
                          <w:t>测试阶段</w:t>
                        </w:r>
                      </w:p>
                    </w:tc>
                    <w:tc>
                      <w:tcPr>
                        <w:tcW w:w="12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3"/>
                          <w:ind w:right="0"/>
                          <w:jc w:val="left"/>
                          <w:rPr>
                            <w:rFonts w:ascii="宋体" w:hAnsi="宋体" w:cs="宋体" w:eastAsia="宋体" w:hint="default"/>
                            <w:sz w:val="17"/>
                            <w:szCs w:val="17"/>
                          </w:rPr>
                        </w:pPr>
                      </w:p>
                      <w:p>
                        <w:pPr>
                          <w:pStyle w:val="TableParagraph"/>
                          <w:spacing w:line="240" w:lineRule="auto"/>
                          <w:ind w:left="2" w:right="0"/>
                          <w:jc w:val="left"/>
                          <w:rPr>
                            <w:rFonts w:ascii="Times New Roman" w:hAnsi="Times New Roman" w:cs="Times New Roman" w:eastAsia="Times New Roman" w:hint="default"/>
                            <w:sz w:val="15"/>
                            <w:szCs w:val="15"/>
                          </w:rPr>
                        </w:pPr>
                        <w:r>
                          <w:rPr>
                            <w:rFonts w:ascii="Times New Roman"/>
                            <w:sz w:val="15"/>
                          </w:rPr>
                          <w:t>2018/3/7</w:t>
                        </w:r>
                      </w:p>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left="2" w:right="0"/>
                          <w:jc w:val="left"/>
                          <w:rPr>
                            <w:rFonts w:ascii="Times New Roman" w:hAnsi="Times New Roman" w:cs="Times New Roman" w:eastAsia="Times New Roman" w:hint="default"/>
                            <w:sz w:val="15"/>
                            <w:szCs w:val="15"/>
                          </w:rPr>
                        </w:pPr>
                        <w:r>
                          <w:rPr>
                            <w:rFonts w:ascii="Times New Roman"/>
                            <w:sz w:val="15"/>
                          </w:rPr>
                          <w:t>2019/5/31</w:t>
                        </w:r>
                      </w:p>
                    </w:tc>
                    <w:tc>
                      <w:tcPr>
                        <w:tcW w:w="79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left="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行业唯一的面向校园的互联网金融支付云平台，结合一卡通线下体系和产品入口；</w:t>
                        </w:r>
                      </w:p>
                      <w:p>
                        <w:pPr>
                          <w:pStyle w:val="TableParagraph"/>
                          <w:spacing w:line="360" w:lineRule="auto" w:before="104"/>
                          <w:ind w:left="3" w:right="3"/>
                          <w:jc w:val="left"/>
                          <w:rPr>
                            <w:rFonts w:ascii="宋体" w:hAnsi="宋体" w:cs="宋体" w:eastAsia="宋体" w:hint="default"/>
                            <w:sz w:val="15"/>
                            <w:szCs w:val="15"/>
                          </w:rPr>
                        </w:pPr>
                        <w:r>
                          <w:rPr>
                            <w:rFonts w:ascii="Times New Roman" w:hAnsi="Times New Roman" w:cs="Times New Roman" w:eastAsia="Times New Roman" w:hint="default"/>
                            <w:spacing w:val="-1"/>
                            <w:sz w:val="15"/>
                            <w:szCs w:val="15"/>
                          </w:rPr>
                          <w:t>2.</w:t>
                        </w:r>
                        <w:r>
                          <w:rPr>
                            <w:rFonts w:ascii="宋体" w:hAnsi="宋体" w:cs="宋体" w:eastAsia="宋体" w:hint="default"/>
                            <w:spacing w:val="-1"/>
                            <w:sz w:val="15"/>
                            <w:szCs w:val="15"/>
                          </w:rPr>
                          <w:t>采用互联网</w:t>
                        </w:r>
                        <w:r>
                          <w:rPr>
                            <w:rFonts w:ascii="Times New Roman" w:hAnsi="Times New Roman" w:cs="Times New Roman" w:eastAsia="Times New Roman" w:hint="default"/>
                            <w:spacing w:val="-1"/>
                            <w:sz w:val="15"/>
                            <w:szCs w:val="15"/>
                          </w:rPr>
                          <w:t>+</w:t>
                        </w:r>
                        <w:r>
                          <w:rPr>
                            <w:rFonts w:ascii="宋体" w:hAnsi="宋体" w:cs="宋体" w:eastAsia="宋体" w:hint="default"/>
                            <w:spacing w:val="-1"/>
                            <w:sz w:val="15"/>
                            <w:szCs w:val="15"/>
                          </w:rPr>
                          <w:t>的理念，构建线下行业系统</w:t>
                        </w:r>
                        <w:r>
                          <w:rPr>
                            <w:rFonts w:ascii="Times New Roman" w:hAnsi="Times New Roman" w:cs="Times New Roman" w:eastAsia="Times New Roman" w:hint="default"/>
                            <w:spacing w:val="-1"/>
                            <w:sz w:val="15"/>
                            <w:szCs w:val="15"/>
                          </w:rPr>
                          <w:t>+</w:t>
                        </w:r>
                        <w:r>
                          <w:rPr>
                            <w:rFonts w:ascii="宋体" w:hAnsi="宋体" w:cs="宋体" w:eastAsia="宋体" w:hint="default"/>
                            <w:spacing w:val="-1"/>
                            <w:sz w:val="15"/>
                            <w:szCs w:val="15"/>
                          </w:rPr>
                          <w:t>互联网金融支付平台的产品形态，提供线上加线下、有卡加无卡，覆盖校园全</w:t>
                        </w:r>
                        <w:r>
                          <w:rPr>
                            <w:rFonts w:ascii="宋体" w:hAnsi="宋体" w:cs="宋体" w:eastAsia="宋体" w:hint="default"/>
                            <w:spacing w:val="-39"/>
                            <w:sz w:val="15"/>
                            <w:szCs w:val="15"/>
                          </w:rPr>
                          <w:t> </w:t>
                        </w:r>
                        <w:r>
                          <w:rPr>
                            <w:rFonts w:ascii="宋体" w:hAnsi="宋体" w:cs="宋体" w:eastAsia="宋体" w:hint="default"/>
                            <w:spacing w:val="-39"/>
                            <w:sz w:val="15"/>
                            <w:szCs w:val="15"/>
                          </w:rPr>
                        </w:r>
                        <w:r>
                          <w:rPr>
                            <w:rFonts w:ascii="宋体" w:hAnsi="宋体" w:cs="宋体" w:eastAsia="宋体" w:hint="default"/>
                            <w:sz w:val="15"/>
                            <w:szCs w:val="15"/>
                          </w:rPr>
                          <w:t>支付场景的解决方案；</w:t>
                        </w:r>
                      </w:p>
                      <w:p>
                        <w:pPr>
                          <w:pStyle w:val="TableParagraph"/>
                          <w:spacing w:line="240" w:lineRule="auto" w:before="40"/>
                          <w:ind w:left="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行业领先的使用扫一扫、二维码的在线消费记录，完成资金结算和划拨，并提供对账服务；</w:t>
                        </w:r>
                      </w:p>
                      <w:p>
                        <w:pPr>
                          <w:pStyle w:val="TableParagraph"/>
                          <w:spacing w:line="360" w:lineRule="auto" w:before="104"/>
                          <w:ind w:left="3" w:right="2"/>
                          <w:jc w:val="left"/>
                          <w:rPr>
                            <w:rFonts w:ascii="宋体" w:hAnsi="宋体" w:cs="宋体" w:eastAsia="宋体" w:hint="default"/>
                            <w:sz w:val="15"/>
                            <w:szCs w:val="15"/>
                          </w:rPr>
                        </w:pPr>
                        <w:r>
                          <w:rPr>
                            <w:rFonts w:ascii="Times New Roman" w:hAnsi="Times New Roman" w:cs="Times New Roman" w:eastAsia="Times New Roman" w:hint="default"/>
                            <w:sz w:val="15"/>
                            <w:szCs w:val="15"/>
                          </w:rPr>
                          <w:t>4. </w:t>
                        </w:r>
                        <w:r>
                          <w:rPr>
                            <w:rFonts w:ascii="宋体" w:hAnsi="宋体" w:cs="宋体" w:eastAsia="宋体" w:hint="default"/>
                            <w:spacing w:val="-2"/>
                            <w:sz w:val="15"/>
                            <w:szCs w:val="15"/>
                          </w:rPr>
                          <w:t>统一身份识别管理，制定统一规范与标准，支持多个厂商的所有身份识别终端如门禁、通道、门锁、梯控接入，完成统</w:t>
                        </w:r>
                        <w:r>
                          <w:rPr>
                            <w:rFonts w:ascii="宋体" w:hAnsi="宋体" w:cs="宋体" w:eastAsia="宋体" w:hint="default"/>
                            <w:spacing w:val="-46"/>
                            <w:sz w:val="15"/>
                            <w:szCs w:val="15"/>
                          </w:rPr>
                          <w:t> </w:t>
                        </w:r>
                        <w:r>
                          <w:rPr>
                            <w:rFonts w:ascii="宋体" w:hAnsi="宋体" w:cs="宋体" w:eastAsia="宋体" w:hint="default"/>
                            <w:spacing w:val="-46"/>
                            <w:sz w:val="15"/>
                            <w:szCs w:val="15"/>
                          </w:rPr>
                        </w:r>
                        <w:r>
                          <w:rPr>
                            <w:rFonts w:ascii="宋体" w:hAnsi="宋体" w:cs="宋体" w:eastAsia="宋体" w:hint="default"/>
                            <w:sz w:val="15"/>
                            <w:szCs w:val="15"/>
                          </w:rPr>
                          <w:t>一管理、区域管理；</w:t>
                        </w:r>
                      </w:p>
                      <w:p>
                        <w:pPr>
                          <w:pStyle w:val="TableParagraph"/>
                          <w:spacing w:line="240" w:lineRule="auto" w:before="40"/>
                          <w:ind w:left="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5.</w:t>
                        </w:r>
                        <w:r>
                          <w:rPr>
                            <w:rFonts w:ascii="Times New Roman" w:hAnsi="Times New Roman" w:cs="Times New Roman" w:eastAsia="Times New Roman" w:hint="default"/>
                            <w:spacing w:val="21"/>
                            <w:sz w:val="15"/>
                            <w:szCs w:val="15"/>
                          </w:rPr>
                          <w:t> </w:t>
                        </w:r>
                        <w:r>
                          <w:rPr>
                            <w:rFonts w:ascii="宋体" w:hAnsi="宋体" w:cs="宋体" w:eastAsia="宋体" w:hint="default"/>
                            <w:sz w:val="15"/>
                            <w:szCs w:val="15"/>
                          </w:rPr>
                          <w:t>大数据分析平台，提供统计分析和数据挖掘功能及便捷的图形化操作、业务建模等功能；</w:t>
                        </w:r>
                      </w:p>
                      <w:p>
                        <w:pPr>
                          <w:pStyle w:val="TableParagraph"/>
                          <w:spacing w:line="360" w:lineRule="auto" w:before="104"/>
                          <w:ind w:left="3" w:right="1"/>
                          <w:jc w:val="left"/>
                          <w:rPr>
                            <w:rFonts w:ascii="宋体" w:hAnsi="宋体" w:cs="宋体" w:eastAsia="宋体" w:hint="default"/>
                            <w:sz w:val="15"/>
                            <w:szCs w:val="15"/>
                          </w:rPr>
                        </w:pPr>
                        <w:r>
                          <w:rPr>
                            <w:rFonts w:ascii="Times New Roman" w:hAnsi="Times New Roman" w:cs="Times New Roman" w:eastAsia="Times New Roman" w:hint="default"/>
                            <w:sz w:val="15"/>
                            <w:szCs w:val="15"/>
                          </w:rPr>
                          <w:t>6.</w:t>
                        </w:r>
                        <w:r>
                          <w:rPr>
                            <w:rFonts w:ascii="Times New Roman" w:hAnsi="Times New Roman" w:cs="Times New Roman" w:eastAsia="Times New Roman" w:hint="default"/>
                            <w:spacing w:val="-16"/>
                            <w:sz w:val="15"/>
                            <w:szCs w:val="15"/>
                          </w:rPr>
                          <w:t> </w:t>
                        </w:r>
                        <w:r>
                          <w:rPr>
                            <w:rFonts w:ascii="宋体" w:hAnsi="宋体" w:cs="宋体" w:eastAsia="宋体" w:hint="default"/>
                            <w:sz w:val="15"/>
                            <w:szCs w:val="15"/>
                          </w:rPr>
                          <w:t>全自主服务，集</w:t>
                        </w:r>
                        <w:r>
                          <w:rPr>
                            <w:rFonts w:ascii="Times New Roman" w:hAnsi="Times New Roman" w:cs="Times New Roman" w:eastAsia="Times New Roman" w:hint="default"/>
                            <w:sz w:val="15"/>
                            <w:szCs w:val="15"/>
                          </w:rPr>
                          <w:t>NFC</w:t>
                        </w:r>
                        <w:r>
                          <w:rPr>
                            <w:rFonts w:ascii="宋体" w:hAnsi="宋体" w:cs="宋体" w:eastAsia="宋体" w:hint="default"/>
                            <w:sz w:val="15"/>
                            <w:szCs w:val="15"/>
                          </w:rPr>
                          <w:t>移动支付、一卡通充值缴费、信息查询、校园公共服务、校园通讯录等功能为一体，向广大师生用 户提供全方位移动终端校园服务。</w:t>
                        </w:r>
                      </w:p>
                    </w:tc>
                  </w:tr>
                  <w:tr>
                    <w:trPr>
                      <w:trHeight w:val="1907" w:hRule="exact"/>
                    </w:trPr>
                    <w:tc>
                      <w:tcPr>
                        <w:tcW w:w="7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6"/>
                          <w:ind w:right="0"/>
                          <w:jc w:val="center"/>
                          <w:rPr>
                            <w:rFonts w:ascii="Times New Roman" w:hAnsi="Times New Roman" w:cs="Times New Roman" w:eastAsia="Times New Roman" w:hint="default"/>
                            <w:sz w:val="15"/>
                            <w:szCs w:val="15"/>
                          </w:rPr>
                        </w:pPr>
                        <w:r>
                          <w:rPr>
                            <w:rFonts w:ascii="Times New Roman"/>
                            <w:sz w:val="15"/>
                          </w:rPr>
                          <w:t>8</w:t>
                        </w:r>
                      </w:p>
                    </w:tc>
                    <w:tc>
                      <w:tcPr>
                        <w:tcW w:w="18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2"/>
                          <w:ind w:left="3" w:right="0"/>
                          <w:jc w:val="left"/>
                          <w:rPr>
                            <w:rFonts w:ascii="宋体" w:hAnsi="宋体" w:cs="宋体" w:eastAsia="宋体" w:hint="default"/>
                            <w:sz w:val="15"/>
                            <w:szCs w:val="15"/>
                          </w:rPr>
                        </w:pPr>
                        <w:r>
                          <w:rPr>
                            <w:rFonts w:ascii="宋体" w:hAnsi="宋体" w:cs="宋体" w:eastAsia="宋体" w:hint="default"/>
                            <w:sz w:val="15"/>
                            <w:szCs w:val="15"/>
                          </w:rPr>
                          <w:t>人脸识别统一认证系统</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2"/>
                          <w:ind w:left="2" w:right="0"/>
                          <w:jc w:val="left"/>
                          <w:rPr>
                            <w:rFonts w:ascii="宋体" w:hAnsi="宋体" w:cs="宋体" w:eastAsia="宋体" w:hint="default"/>
                            <w:sz w:val="15"/>
                            <w:szCs w:val="15"/>
                          </w:rPr>
                        </w:pPr>
                        <w:r>
                          <w:rPr>
                            <w:rFonts w:ascii="宋体" w:hAnsi="宋体" w:cs="宋体" w:eastAsia="宋体" w:hint="default"/>
                            <w:sz w:val="15"/>
                            <w:szCs w:val="15"/>
                          </w:rPr>
                          <w:t>智慧校园</w:t>
                        </w:r>
                      </w:p>
                    </w:tc>
                    <w:tc>
                      <w:tcPr>
                        <w:tcW w:w="18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2"/>
                          <w:ind w:left="2" w:right="0"/>
                          <w:jc w:val="left"/>
                          <w:rPr>
                            <w:rFonts w:ascii="宋体" w:hAnsi="宋体" w:cs="宋体" w:eastAsia="宋体" w:hint="default"/>
                            <w:sz w:val="15"/>
                            <w:szCs w:val="15"/>
                          </w:rPr>
                        </w:pPr>
                        <w:r>
                          <w:rPr>
                            <w:rFonts w:ascii="宋体" w:hAnsi="宋体" w:cs="宋体" w:eastAsia="宋体" w:hint="default"/>
                            <w:sz w:val="15"/>
                            <w:szCs w:val="15"/>
                          </w:rPr>
                          <w:t>结项，已经开始销售</w:t>
                        </w:r>
                      </w:p>
                    </w:tc>
                    <w:tc>
                      <w:tcPr>
                        <w:tcW w:w="12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1"/>
                            <w:szCs w:val="11"/>
                          </w:rPr>
                        </w:pPr>
                      </w:p>
                      <w:p>
                        <w:pPr>
                          <w:pStyle w:val="TableParagraph"/>
                          <w:spacing w:line="240" w:lineRule="auto"/>
                          <w:ind w:left="2" w:right="0"/>
                          <w:jc w:val="left"/>
                          <w:rPr>
                            <w:rFonts w:ascii="Times New Roman" w:hAnsi="Times New Roman" w:cs="Times New Roman" w:eastAsia="Times New Roman" w:hint="default"/>
                            <w:sz w:val="15"/>
                            <w:szCs w:val="15"/>
                          </w:rPr>
                        </w:pPr>
                        <w:r>
                          <w:rPr>
                            <w:rFonts w:ascii="Times New Roman"/>
                            <w:sz w:val="15"/>
                          </w:rPr>
                          <w:t>2018/3/15</w:t>
                        </w: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left="2" w:right="0"/>
                          <w:jc w:val="left"/>
                          <w:rPr>
                            <w:rFonts w:ascii="Times New Roman" w:hAnsi="Times New Roman" w:cs="Times New Roman" w:eastAsia="Times New Roman" w:hint="default"/>
                            <w:sz w:val="15"/>
                            <w:szCs w:val="15"/>
                          </w:rPr>
                        </w:pPr>
                        <w:r>
                          <w:rPr>
                            <w:rFonts w:ascii="Times New Roman"/>
                            <w:sz w:val="15"/>
                          </w:rPr>
                          <w:t>2018/10/30</w:t>
                        </w:r>
                      </w:p>
                    </w:tc>
                    <w:tc>
                      <w:tcPr>
                        <w:tcW w:w="7939" w:type="dxa"/>
                        <w:tcBorders>
                          <w:top w:val="single" w:sz="6" w:space="0" w:color="000000"/>
                          <w:left w:val="single" w:sz="6" w:space="0" w:color="000000"/>
                          <w:bottom w:val="single" w:sz="6" w:space="0" w:color="000000"/>
                          <w:right w:val="single" w:sz="6" w:space="0" w:color="000000"/>
                        </w:tcBorders>
                      </w:tcPr>
                      <w:p>
                        <w:pPr>
                          <w:pStyle w:val="TableParagraph"/>
                          <w:spacing w:line="360" w:lineRule="auto" w:before="44"/>
                          <w:ind w:left="3" w:right="-53"/>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Times New Roman" w:hAnsi="Times New Roman" w:cs="Times New Roman" w:eastAsia="Times New Roman" w:hint="default"/>
                            <w:spacing w:val="21"/>
                            <w:sz w:val="15"/>
                            <w:szCs w:val="15"/>
                          </w:rPr>
                          <w:t> </w:t>
                        </w:r>
                        <w:r>
                          <w:rPr>
                            <w:rFonts w:ascii="宋体" w:hAnsi="宋体" w:cs="宋体" w:eastAsia="宋体" w:hint="default"/>
                            <w:sz w:val="15"/>
                            <w:szCs w:val="15"/>
                          </w:rPr>
                          <w:t>国内首家进行校园人脸识别纵深场景的探索，通过集成人脸识别算法、软件、硬件，为学校提供成熟的人脸识别产品， </w:t>
                        </w:r>
                        <w:r>
                          <w:rPr>
                            <w:rFonts w:ascii="宋体" w:hAnsi="宋体" w:cs="宋体" w:eastAsia="宋体" w:hint="default"/>
                            <w:spacing w:val="-2"/>
                            <w:sz w:val="15"/>
                            <w:szCs w:val="15"/>
                          </w:rPr>
                          <w:t>可用于公共场景及特定人员场所。身份认证提供纯人脸识别、卡</w:t>
                        </w:r>
                        <w:r>
                          <w:rPr>
                            <w:rFonts w:ascii="Times New Roman" w:hAnsi="Times New Roman" w:cs="Times New Roman" w:eastAsia="Times New Roman" w:hint="default"/>
                            <w:spacing w:val="-2"/>
                            <w:sz w:val="15"/>
                            <w:szCs w:val="15"/>
                          </w:rPr>
                          <w:t>+</w:t>
                        </w:r>
                        <w:r>
                          <w:rPr>
                            <w:rFonts w:ascii="宋体" w:hAnsi="宋体" w:cs="宋体" w:eastAsia="宋体" w:hint="default"/>
                            <w:spacing w:val="-2"/>
                            <w:sz w:val="15"/>
                            <w:szCs w:val="15"/>
                          </w:rPr>
                          <w:t>人脸、学号</w:t>
                        </w:r>
                        <w:r>
                          <w:rPr>
                            <w:rFonts w:ascii="Times New Roman" w:hAnsi="Times New Roman" w:cs="Times New Roman" w:eastAsia="Times New Roman" w:hint="default"/>
                            <w:spacing w:val="-2"/>
                            <w:sz w:val="15"/>
                            <w:szCs w:val="15"/>
                          </w:rPr>
                          <w:t>+</w:t>
                        </w:r>
                        <w:r>
                          <w:rPr>
                            <w:rFonts w:ascii="宋体" w:hAnsi="宋体" w:cs="宋体" w:eastAsia="宋体" w:hint="default"/>
                            <w:spacing w:val="-2"/>
                            <w:sz w:val="15"/>
                            <w:szCs w:val="15"/>
                          </w:rPr>
                          <w:t>人脸多种方式，实现考勤、通道、消费、安</w:t>
                        </w:r>
                        <w:r>
                          <w:rPr>
                            <w:rFonts w:ascii="宋体" w:hAnsi="宋体" w:cs="宋体" w:eastAsia="宋体" w:hint="default"/>
                            <w:spacing w:val="-25"/>
                            <w:sz w:val="15"/>
                            <w:szCs w:val="15"/>
                          </w:rPr>
                          <w:t> </w:t>
                        </w:r>
                        <w:r>
                          <w:rPr>
                            <w:rFonts w:ascii="宋体" w:hAnsi="宋体" w:cs="宋体" w:eastAsia="宋体" w:hint="default"/>
                            <w:spacing w:val="-25"/>
                            <w:sz w:val="15"/>
                            <w:szCs w:val="15"/>
                          </w:rPr>
                        </w:r>
                        <w:r>
                          <w:rPr>
                            <w:rFonts w:ascii="宋体" w:hAnsi="宋体" w:cs="宋体" w:eastAsia="宋体" w:hint="default"/>
                            <w:sz w:val="15"/>
                            <w:szCs w:val="15"/>
                          </w:rPr>
                          <w:t>防多场景覆盖；</w:t>
                        </w:r>
                      </w:p>
                      <w:p>
                        <w:pPr>
                          <w:pStyle w:val="TableParagraph"/>
                          <w:spacing w:line="360" w:lineRule="auto" w:before="40"/>
                          <w:ind w:left="3" w:right="1"/>
                          <w:jc w:val="left"/>
                          <w:rPr>
                            <w:rFonts w:ascii="宋体" w:hAnsi="宋体" w:cs="宋体" w:eastAsia="宋体" w:hint="default"/>
                            <w:sz w:val="15"/>
                            <w:szCs w:val="15"/>
                          </w:rPr>
                        </w:pPr>
                        <w:r>
                          <w:rPr>
                            <w:rFonts w:ascii="Times New Roman" w:hAnsi="Times New Roman" w:cs="Times New Roman" w:eastAsia="Times New Roman" w:hint="default"/>
                            <w:sz w:val="15"/>
                            <w:szCs w:val="15"/>
                          </w:rPr>
                          <w:t>2. </w:t>
                        </w:r>
                        <w:r>
                          <w:rPr>
                            <w:rFonts w:ascii="宋体" w:hAnsi="宋体" w:cs="宋体" w:eastAsia="宋体" w:hint="default"/>
                            <w:spacing w:val="-2"/>
                            <w:sz w:val="15"/>
                            <w:szCs w:val="15"/>
                          </w:rPr>
                          <w:t>行业唯一可提供人脸识别一站式服务的认证管理平台。向上支持不同的算法和厂家，屏蔽差异化，支持结合一卡通系统</w:t>
                        </w:r>
                        <w:r>
                          <w:rPr>
                            <w:rFonts w:ascii="宋体" w:hAnsi="宋体" w:cs="宋体" w:eastAsia="宋体" w:hint="default"/>
                            <w:spacing w:val="-41"/>
                            <w:sz w:val="15"/>
                            <w:szCs w:val="15"/>
                          </w:rPr>
                          <w:t> </w:t>
                        </w:r>
                        <w:r>
                          <w:rPr>
                            <w:rFonts w:ascii="宋体" w:hAnsi="宋体" w:cs="宋体" w:eastAsia="宋体" w:hint="default"/>
                            <w:spacing w:val="-41"/>
                            <w:sz w:val="15"/>
                            <w:szCs w:val="15"/>
                          </w:rPr>
                        </w:r>
                        <w:r>
                          <w:rPr>
                            <w:rFonts w:ascii="宋体" w:hAnsi="宋体" w:cs="宋体" w:eastAsia="宋体" w:hint="default"/>
                            <w:sz w:val="15"/>
                            <w:szCs w:val="15"/>
                          </w:rPr>
                          <w:t>使用和脱离一卡通系统单独使用</w:t>
                        </w:r>
                        <w:r>
                          <w:rPr>
                            <w:rFonts w:ascii="宋体" w:hAnsi="宋体" w:cs="宋体" w:eastAsia="宋体" w:hint="default"/>
                            <w:spacing w:val="-16"/>
                            <w:sz w:val="15"/>
                            <w:szCs w:val="15"/>
                          </w:rPr>
                          <w:t> </w:t>
                        </w:r>
                        <w:r>
                          <w:rPr>
                            <w:rFonts w:ascii="宋体" w:hAnsi="宋体" w:cs="宋体" w:eastAsia="宋体" w:hint="default"/>
                            <w:sz w:val="15"/>
                            <w:szCs w:val="15"/>
                          </w:rPr>
                          <w:t>。向下支持支持智能终端、</w:t>
                        </w:r>
                        <w:r>
                          <w:rPr>
                            <w:rFonts w:ascii="Times New Roman" w:hAnsi="Times New Roman" w:cs="Times New Roman" w:eastAsia="Times New Roman" w:hint="default"/>
                            <w:sz w:val="15"/>
                            <w:szCs w:val="15"/>
                          </w:rPr>
                          <w:t>PC</w:t>
                        </w:r>
                        <w:r>
                          <w:rPr>
                            <w:rFonts w:ascii="宋体" w:hAnsi="宋体" w:cs="宋体" w:eastAsia="宋体" w:hint="default"/>
                            <w:sz w:val="15"/>
                            <w:szCs w:val="15"/>
                          </w:rPr>
                          <w:t>端、移动端的接入和调用，实现一站式认证管理；</w:t>
                        </w:r>
                      </w:p>
                      <w:p>
                        <w:pPr>
                          <w:pStyle w:val="TableParagraph"/>
                          <w:spacing w:line="240" w:lineRule="auto" w:before="21"/>
                          <w:ind w:left="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Times New Roman" w:hAnsi="Times New Roman" w:cs="Times New Roman" w:eastAsia="Times New Roman" w:hint="default"/>
                            <w:spacing w:val="21"/>
                            <w:sz w:val="15"/>
                            <w:szCs w:val="15"/>
                          </w:rPr>
                          <w:t> </w:t>
                        </w:r>
                        <w:r>
                          <w:rPr>
                            <w:rFonts w:ascii="宋体" w:hAnsi="宋体" w:cs="宋体" w:eastAsia="宋体" w:hint="default"/>
                            <w:sz w:val="15"/>
                            <w:szCs w:val="15"/>
                          </w:rPr>
                          <w:t>在学校局域网环境中以私有云的方式搭建服务器，系统安全可靠，不需要连接互联网，保证学校数据的私密性。</w:t>
                        </w:r>
                      </w:p>
                    </w:tc>
                  </w:tr>
                  <w:tr>
                    <w:trPr>
                      <w:trHeight w:val="1908" w:hRule="exact"/>
                    </w:trPr>
                    <w:tc>
                      <w:tcPr>
                        <w:tcW w:w="7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5"/>
                          <w:ind w:right="0"/>
                          <w:jc w:val="center"/>
                          <w:rPr>
                            <w:rFonts w:ascii="Times New Roman" w:hAnsi="Times New Roman" w:cs="Times New Roman" w:eastAsia="Times New Roman" w:hint="default"/>
                            <w:sz w:val="15"/>
                            <w:szCs w:val="15"/>
                          </w:rPr>
                        </w:pPr>
                        <w:r>
                          <w:rPr>
                            <w:rFonts w:ascii="Times New Roman"/>
                            <w:sz w:val="15"/>
                          </w:rPr>
                          <w:t>9</w:t>
                        </w:r>
                      </w:p>
                    </w:tc>
                    <w:tc>
                      <w:tcPr>
                        <w:tcW w:w="18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3"/>
                          <w:ind w:right="0"/>
                          <w:jc w:val="left"/>
                          <w:rPr>
                            <w:rFonts w:ascii="宋体" w:hAnsi="宋体" w:cs="宋体" w:eastAsia="宋体" w:hint="default"/>
                            <w:sz w:val="20"/>
                            <w:szCs w:val="20"/>
                          </w:rPr>
                        </w:pPr>
                      </w:p>
                      <w:p>
                        <w:pPr>
                          <w:pStyle w:val="TableParagraph"/>
                          <w:spacing w:line="240" w:lineRule="auto"/>
                          <w:ind w:left="3" w:right="0"/>
                          <w:jc w:val="left"/>
                          <w:rPr>
                            <w:rFonts w:ascii="宋体" w:hAnsi="宋体" w:cs="宋体" w:eastAsia="宋体" w:hint="default"/>
                            <w:sz w:val="15"/>
                            <w:szCs w:val="15"/>
                          </w:rPr>
                        </w:pPr>
                        <w:r>
                          <w:rPr>
                            <w:rFonts w:ascii="宋体" w:hAnsi="宋体" w:cs="宋体" w:eastAsia="宋体" w:hint="default"/>
                            <w:sz w:val="15"/>
                            <w:szCs w:val="15"/>
                          </w:rPr>
                          <w:t>大数据实验室平台</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3"/>
                          <w:ind w:right="0"/>
                          <w:jc w:val="left"/>
                          <w:rPr>
                            <w:rFonts w:ascii="宋体" w:hAnsi="宋体" w:cs="宋体" w:eastAsia="宋体" w:hint="default"/>
                            <w:sz w:val="20"/>
                            <w:szCs w:val="20"/>
                          </w:rPr>
                        </w:pPr>
                      </w:p>
                      <w:p>
                        <w:pPr>
                          <w:pStyle w:val="TableParagraph"/>
                          <w:spacing w:line="240" w:lineRule="auto"/>
                          <w:ind w:left="2" w:right="0"/>
                          <w:jc w:val="left"/>
                          <w:rPr>
                            <w:rFonts w:ascii="宋体" w:hAnsi="宋体" w:cs="宋体" w:eastAsia="宋体" w:hint="default"/>
                            <w:sz w:val="15"/>
                            <w:szCs w:val="15"/>
                          </w:rPr>
                        </w:pPr>
                        <w:r>
                          <w:rPr>
                            <w:rFonts w:ascii="宋体" w:hAnsi="宋体" w:cs="宋体" w:eastAsia="宋体" w:hint="default"/>
                            <w:sz w:val="15"/>
                            <w:szCs w:val="15"/>
                          </w:rPr>
                          <w:t>智慧校园</w:t>
                        </w:r>
                      </w:p>
                    </w:tc>
                    <w:tc>
                      <w:tcPr>
                        <w:tcW w:w="18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3"/>
                          <w:ind w:right="0"/>
                          <w:jc w:val="left"/>
                          <w:rPr>
                            <w:rFonts w:ascii="宋体" w:hAnsi="宋体" w:cs="宋体" w:eastAsia="宋体" w:hint="default"/>
                            <w:sz w:val="20"/>
                            <w:szCs w:val="20"/>
                          </w:rPr>
                        </w:pPr>
                      </w:p>
                      <w:p>
                        <w:pPr>
                          <w:pStyle w:val="TableParagraph"/>
                          <w:spacing w:line="240" w:lineRule="auto"/>
                          <w:ind w:left="2" w:right="0"/>
                          <w:jc w:val="left"/>
                          <w:rPr>
                            <w:rFonts w:ascii="宋体" w:hAnsi="宋体" w:cs="宋体" w:eastAsia="宋体" w:hint="default"/>
                            <w:sz w:val="15"/>
                            <w:szCs w:val="15"/>
                          </w:rPr>
                        </w:pPr>
                        <w:r>
                          <w:rPr>
                            <w:rFonts w:ascii="宋体" w:hAnsi="宋体" w:cs="宋体" w:eastAsia="宋体" w:hint="default"/>
                            <w:sz w:val="15"/>
                            <w:szCs w:val="15"/>
                          </w:rPr>
                          <w:t>开发阶段</w:t>
                        </w:r>
                      </w:p>
                    </w:tc>
                    <w:tc>
                      <w:tcPr>
                        <w:tcW w:w="12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1"/>
                            <w:szCs w:val="11"/>
                          </w:rPr>
                        </w:pPr>
                      </w:p>
                      <w:p>
                        <w:pPr>
                          <w:pStyle w:val="TableParagraph"/>
                          <w:spacing w:line="240" w:lineRule="auto"/>
                          <w:ind w:left="2" w:right="0"/>
                          <w:jc w:val="left"/>
                          <w:rPr>
                            <w:rFonts w:ascii="Times New Roman" w:hAnsi="Times New Roman" w:cs="Times New Roman" w:eastAsia="Times New Roman" w:hint="default"/>
                            <w:sz w:val="15"/>
                            <w:szCs w:val="15"/>
                          </w:rPr>
                        </w:pPr>
                        <w:r>
                          <w:rPr>
                            <w:rFonts w:ascii="Times New Roman"/>
                            <w:sz w:val="15"/>
                          </w:rPr>
                          <w:t>2018/3/1</w:t>
                        </w: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left="2" w:right="0"/>
                          <w:jc w:val="left"/>
                          <w:rPr>
                            <w:rFonts w:ascii="Times New Roman" w:hAnsi="Times New Roman" w:cs="Times New Roman" w:eastAsia="Times New Roman" w:hint="default"/>
                            <w:sz w:val="15"/>
                            <w:szCs w:val="15"/>
                          </w:rPr>
                        </w:pPr>
                        <w:r>
                          <w:rPr>
                            <w:rFonts w:ascii="Times New Roman"/>
                            <w:sz w:val="15"/>
                          </w:rPr>
                          <w:t>2019/11/30</w:t>
                        </w:r>
                      </w:p>
                    </w:tc>
                    <w:tc>
                      <w:tcPr>
                        <w:tcW w:w="79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、独有的</w:t>
                        </w:r>
                        <w:r>
                          <w:rPr>
                            <w:rFonts w:ascii="Times New Roman" w:hAnsi="Times New Roman" w:cs="Times New Roman" w:eastAsia="Times New Roman" w:hint="default"/>
                            <w:sz w:val="15"/>
                            <w:szCs w:val="15"/>
                          </w:rPr>
                          <w:t>B/S</w:t>
                        </w:r>
                        <w:r>
                          <w:rPr>
                            <w:rFonts w:ascii="宋体" w:hAnsi="宋体" w:cs="宋体" w:eastAsia="宋体" w:hint="default"/>
                            <w:sz w:val="15"/>
                            <w:szCs w:val="15"/>
                          </w:rPr>
                          <w:t>架构式虚拟机管理控制；</w:t>
                        </w:r>
                      </w:p>
                      <w:p>
                        <w:pPr>
                          <w:pStyle w:val="TableParagraph"/>
                          <w:spacing w:line="240" w:lineRule="auto" w:before="104"/>
                          <w:ind w:left="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Times New Roman" w:hAnsi="Times New Roman" w:cs="Times New Roman" w:eastAsia="Times New Roman" w:hint="default"/>
                            <w:spacing w:val="19"/>
                            <w:sz w:val="15"/>
                            <w:szCs w:val="15"/>
                          </w:rPr>
                          <w:t> </w:t>
                        </w:r>
                        <w:r>
                          <w:rPr>
                            <w:rFonts w:ascii="宋体" w:hAnsi="宋体" w:cs="宋体" w:eastAsia="宋体" w:hint="default"/>
                            <w:sz w:val="15"/>
                            <w:szCs w:val="15"/>
                          </w:rPr>
                          <w:t>采用</w:t>
                        </w:r>
                        <w:r>
                          <w:rPr>
                            <w:rFonts w:ascii="Times New Roman" w:hAnsi="Times New Roman" w:cs="Times New Roman" w:eastAsia="Times New Roman" w:hint="default"/>
                            <w:sz w:val="15"/>
                            <w:szCs w:val="15"/>
                          </w:rPr>
                          <w:t>openstack</w:t>
                        </w:r>
                        <w:r>
                          <w:rPr>
                            <w:rFonts w:ascii="宋体" w:hAnsi="宋体" w:cs="宋体" w:eastAsia="宋体" w:hint="default"/>
                            <w:sz w:val="15"/>
                            <w:szCs w:val="15"/>
                          </w:rPr>
                          <w:t>云计算系统，大数据采集挖掘分析技术；</w:t>
                        </w:r>
                      </w:p>
                      <w:p>
                        <w:pPr>
                          <w:pStyle w:val="TableParagraph"/>
                          <w:spacing w:line="240" w:lineRule="auto" w:before="104"/>
                          <w:ind w:left="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、基于云计算虚拟技术，解决大数据实验课的多机器要求和实验环境隔离要求；</w:t>
                        </w:r>
                      </w:p>
                      <w:p>
                        <w:pPr>
                          <w:pStyle w:val="TableParagraph"/>
                          <w:spacing w:line="240" w:lineRule="auto" w:before="104"/>
                          <w:ind w:left="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4</w:t>
                        </w:r>
                        <w:r>
                          <w:rPr>
                            <w:rFonts w:ascii="宋体" w:hAnsi="宋体" w:cs="宋体" w:eastAsia="宋体" w:hint="default"/>
                            <w:sz w:val="15"/>
                            <w:szCs w:val="15"/>
                          </w:rPr>
                          <w:t>、首创</w:t>
                        </w:r>
                        <w:r>
                          <w:rPr>
                            <w:rFonts w:ascii="Times New Roman" w:hAnsi="Times New Roman" w:cs="Times New Roman" w:eastAsia="Times New Roman" w:hint="default"/>
                            <w:sz w:val="15"/>
                            <w:szCs w:val="15"/>
                          </w:rPr>
                          <w:t>B/S</w:t>
                        </w:r>
                        <w:r>
                          <w:rPr>
                            <w:rFonts w:ascii="宋体" w:hAnsi="宋体" w:cs="宋体" w:eastAsia="宋体" w:hint="default"/>
                            <w:sz w:val="15"/>
                            <w:szCs w:val="15"/>
                          </w:rPr>
                          <w:t>架构式远程协助教学模式，摆脱实验室空间限制；</w:t>
                        </w:r>
                      </w:p>
                      <w:p>
                        <w:pPr>
                          <w:pStyle w:val="TableParagraph"/>
                          <w:spacing w:line="240" w:lineRule="auto" w:before="104"/>
                          <w:ind w:left="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5</w:t>
                        </w:r>
                        <w:r>
                          <w:rPr>
                            <w:rFonts w:ascii="宋体" w:hAnsi="宋体" w:cs="宋体" w:eastAsia="宋体" w:hint="default"/>
                            <w:sz w:val="15"/>
                            <w:szCs w:val="15"/>
                          </w:rPr>
                          <w:t>、采用大数据分析技术对学生考试和学习行为进行综合分析；</w:t>
                        </w:r>
                      </w:p>
                      <w:p>
                        <w:pPr>
                          <w:pStyle w:val="TableParagraph"/>
                          <w:spacing w:line="240" w:lineRule="auto" w:before="104"/>
                          <w:ind w:left="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6.</w:t>
                        </w:r>
                        <w:r>
                          <w:rPr>
                            <w:rFonts w:ascii="Times New Roman" w:hAnsi="Times New Roman" w:cs="Times New Roman" w:eastAsia="Times New Roman" w:hint="default"/>
                            <w:spacing w:val="21"/>
                            <w:sz w:val="15"/>
                            <w:szCs w:val="15"/>
                          </w:rPr>
                          <w:t> </w:t>
                        </w:r>
                        <w:r>
                          <w:rPr>
                            <w:rFonts w:ascii="宋体" w:hAnsi="宋体" w:cs="宋体" w:eastAsia="宋体" w:hint="default"/>
                            <w:sz w:val="15"/>
                            <w:szCs w:val="15"/>
                          </w:rPr>
                          <w:t>采用分布式可横向扩展服务器部署，动态扩展计算资源满足各个高校不同规模需求。</w:t>
                        </w:r>
                      </w:p>
                    </w:tc>
                  </w:tr>
                  <w:tr>
                    <w:trPr>
                      <w:trHeight w:val="2219" w:hRule="exact"/>
                    </w:trPr>
                    <w:tc>
                      <w:tcPr>
                        <w:tcW w:w="7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7"/>
                          <w:ind w:left="2" w:right="0"/>
                          <w:jc w:val="center"/>
                          <w:rPr>
                            <w:rFonts w:ascii="Times New Roman" w:hAnsi="Times New Roman" w:cs="Times New Roman" w:eastAsia="Times New Roman" w:hint="default"/>
                            <w:sz w:val="15"/>
                            <w:szCs w:val="15"/>
                          </w:rPr>
                        </w:pPr>
                        <w:r>
                          <w:rPr>
                            <w:rFonts w:ascii="Times New Roman"/>
                            <w:sz w:val="15"/>
                          </w:rPr>
                          <w:t>10</w:t>
                        </w:r>
                      </w:p>
                    </w:tc>
                    <w:tc>
                      <w:tcPr>
                        <w:tcW w:w="18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20"/>
                            <w:szCs w:val="20"/>
                          </w:rPr>
                        </w:pPr>
                      </w:p>
                      <w:p>
                        <w:pPr>
                          <w:pStyle w:val="TableParagraph"/>
                          <w:spacing w:line="381" w:lineRule="auto"/>
                          <w:ind w:left="3" w:right="1"/>
                          <w:jc w:val="left"/>
                          <w:rPr>
                            <w:rFonts w:ascii="宋体" w:hAnsi="宋体" w:cs="宋体" w:eastAsia="宋体" w:hint="default"/>
                            <w:sz w:val="15"/>
                            <w:szCs w:val="15"/>
                          </w:rPr>
                        </w:pPr>
                        <w:r>
                          <w:rPr>
                            <w:rFonts w:ascii="宋体" w:hAnsi="宋体" w:cs="宋体" w:eastAsia="宋体" w:hint="default"/>
                            <w:sz w:val="15"/>
                            <w:szCs w:val="15"/>
                          </w:rPr>
                          <w:t>基于物联网技术的多介质智</w:t>
                        </w:r>
                        <w:r>
                          <w:rPr>
                            <w:rFonts w:ascii="宋体" w:hAnsi="宋体" w:cs="宋体" w:eastAsia="宋体" w:hint="default"/>
                            <w:spacing w:val="-56"/>
                            <w:sz w:val="15"/>
                            <w:szCs w:val="15"/>
                          </w:rPr>
                          <w:t> </w:t>
                        </w:r>
                        <w:r>
                          <w:rPr>
                            <w:rFonts w:ascii="宋体" w:hAnsi="宋体" w:cs="宋体" w:eastAsia="宋体" w:hint="default"/>
                            <w:spacing w:val="-56"/>
                            <w:sz w:val="15"/>
                            <w:szCs w:val="15"/>
                          </w:rPr>
                        </w:r>
                        <w:r>
                          <w:rPr>
                            <w:rFonts w:ascii="宋体" w:hAnsi="宋体" w:cs="宋体" w:eastAsia="宋体" w:hint="default"/>
                            <w:sz w:val="15"/>
                            <w:szCs w:val="15"/>
                          </w:rPr>
                          <w:t>能识别终端</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left="2" w:right="0"/>
                          <w:jc w:val="left"/>
                          <w:rPr>
                            <w:rFonts w:ascii="宋体" w:hAnsi="宋体" w:cs="宋体" w:eastAsia="宋体" w:hint="default"/>
                            <w:sz w:val="15"/>
                            <w:szCs w:val="15"/>
                          </w:rPr>
                        </w:pPr>
                        <w:r>
                          <w:rPr>
                            <w:rFonts w:ascii="宋体" w:hAnsi="宋体" w:cs="宋体" w:eastAsia="宋体" w:hint="default"/>
                            <w:sz w:val="15"/>
                            <w:szCs w:val="15"/>
                          </w:rPr>
                          <w:t>身份识别</w:t>
                        </w:r>
                      </w:p>
                    </w:tc>
                    <w:tc>
                      <w:tcPr>
                        <w:tcW w:w="18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left="2" w:right="0"/>
                          <w:jc w:val="left"/>
                          <w:rPr>
                            <w:rFonts w:ascii="宋体" w:hAnsi="宋体" w:cs="宋体" w:eastAsia="宋体" w:hint="default"/>
                            <w:sz w:val="15"/>
                            <w:szCs w:val="15"/>
                          </w:rPr>
                        </w:pPr>
                        <w:r>
                          <w:rPr>
                            <w:rFonts w:ascii="宋体" w:hAnsi="宋体" w:cs="宋体" w:eastAsia="宋体" w:hint="default"/>
                            <w:sz w:val="15"/>
                            <w:szCs w:val="15"/>
                          </w:rPr>
                          <w:t>开发阶段</w:t>
                        </w:r>
                      </w:p>
                    </w:tc>
                    <w:tc>
                      <w:tcPr>
                        <w:tcW w:w="12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4"/>
                          <w:ind w:left="2" w:right="0"/>
                          <w:jc w:val="left"/>
                          <w:rPr>
                            <w:rFonts w:ascii="Times New Roman" w:hAnsi="Times New Roman" w:cs="Times New Roman" w:eastAsia="Times New Roman" w:hint="default"/>
                            <w:sz w:val="15"/>
                            <w:szCs w:val="15"/>
                          </w:rPr>
                        </w:pPr>
                        <w:r>
                          <w:rPr>
                            <w:rFonts w:ascii="Times New Roman"/>
                            <w:sz w:val="15"/>
                          </w:rPr>
                          <w:t>2018/3/2</w:t>
                        </w: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left="2" w:right="0"/>
                          <w:jc w:val="left"/>
                          <w:rPr>
                            <w:rFonts w:ascii="Times New Roman" w:hAnsi="Times New Roman" w:cs="Times New Roman" w:eastAsia="Times New Roman" w:hint="default"/>
                            <w:sz w:val="15"/>
                            <w:szCs w:val="15"/>
                          </w:rPr>
                        </w:pPr>
                        <w:r>
                          <w:rPr>
                            <w:rFonts w:ascii="Times New Roman"/>
                            <w:sz w:val="15"/>
                          </w:rPr>
                          <w:t>2019/8/30</w:t>
                        </w:r>
                      </w:p>
                    </w:tc>
                    <w:tc>
                      <w:tcPr>
                        <w:tcW w:w="7939" w:type="dxa"/>
                        <w:tcBorders>
                          <w:top w:val="single" w:sz="6" w:space="0" w:color="000000"/>
                          <w:left w:val="single" w:sz="6" w:space="0" w:color="000000"/>
                          <w:bottom w:val="single" w:sz="6" w:space="0" w:color="000000"/>
                          <w:right w:val="single" w:sz="6" w:space="0" w:color="000000"/>
                        </w:tcBorders>
                      </w:tcPr>
                      <w:p>
                        <w:pPr>
                          <w:pStyle w:val="TableParagraph"/>
                          <w:spacing w:line="372" w:lineRule="auto" w:before="43"/>
                          <w:ind w:left="3" w:right="6"/>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、对传统的门禁读头进行颠覆性的改进，从外观设计、技术革新、功能设置等方面都能令人耳目一新，主要是为了打造</w:t>
                        </w:r>
                        <w:r>
                          <w:rPr>
                            <w:rFonts w:ascii="宋体" w:hAnsi="宋体" w:cs="宋体" w:eastAsia="宋体" w:hint="default"/>
                            <w:spacing w:val="-41"/>
                            <w:sz w:val="15"/>
                            <w:szCs w:val="15"/>
                          </w:rPr>
                          <w:t> </w:t>
                        </w:r>
                        <w:r>
                          <w:rPr>
                            <w:rFonts w:ascii="宋体" w:hAnsi="宋体" w:cs="宋体" w:eastAsia="宋体" w:hint="default"/>
                            <w:spacing w:val="-41"/>
                            <w:sz w:val="15"/>
                            <w:szCs w:val="15"/>
                          </w:rPr>
                        </w:r>
                        <w:r>
                          <w:rPr>
                            <w:rFonts w:ascii="宋体" w:hAnsi="宋体" w:cs="宋体" w:eastAsia="宋体" w:hint="default"/>
                            <w:sz w:val="15"/>
                            <w:szCs w:val="15"/>
                          </w:rPr>
                          <w:t>一款能代表公司形象的标杆产品。主要用于高校宿舍、教室、企业办公等场合； </w:t>
                        </w:r>
                        <w:r>
                          <w:rPr>
                            <w:rFonts w:ascii="Times New Roman" w:hAnsi="Times New Roman" w:cs="Times New Roman" w:eastAsia="Times New Roman" w:hint="default"/>
                            <w:sz w:val="15"/>
                            <w:szCs w:val="15"/>
                          </w:rPr>
                          <w:t>2</w:t>
                        </w:r>
                        <w:r>
                          <w:rPr>
                            <w:rFonts w:ascii="宋体" w:hAnsi="宋体" w:cs="宋体" w:eastAsia="宋体" w:hint="default"/>
                            <w:sz w:val="15"/>
                            <w:szCs w:val="15"/>
                          </w:rPr>
                          <w:t>、寻找专业设计公司设计外观，采用金属外观</w:t>
                        </w:r>
                        <w:r>
                          <w:rPr>
                            <w:rFonts w:ascii="Times New Roman" w:hAnsi="Times New Roman" w:cs="Times New Roman" w:eastAsia="Times New Roman" w:hint="default"/>
                            <w:sz w:val="15"/>
                            <w:szCs w:val="15"/>
                          </w:rPr>
                          <w:t>+</w:t>
                        </w:r>
                        <w:r>
                          <w:rPr>
                            <w:rFonts w:ascii="宋体" w:hAnsi="宋体" w:cs="宋体" w:eastAsia="宋体" w:hint="default"/>
                            <w:sz w:val="15"/>
                            <w:szCs w:val="15"/>
                          </w:rPr>
                          <w:t>玻璃面板以及超薄外壳设计，使整个读头显得高端时尚，富含科技感；</w:t>
                        </w:r>
                      </w:p>
                      <w:p>
                        <w:pPr>
                          <w:pStyle w:val="TableParagraph"/>
                          <w:spacing w:line="240" w:lineRule="auto" w:before="13"/>
                          <w:ind w:left="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、采用</w:t>
                        </w:r>
                        <w:r>
                          <w:rPr>
                            <w:rFonts w:ascii="Times New Roman" w:hAnsi="Times New Roman" w:cs="Times New Roman" w:eastAsia="Times New Roman" w:hint="default"/>
                            <w:sz w:val="15"/>
                            <w:szCs w:val="15"/>
                          </w:rPr>
                          <w:t>Linux</w:t>
                        </w:r>
                        <w:r>
                          <w:rPr>
                            <w:rFonts w:ascii="宋体" w:hAnsi="宋体" w:cs="宋体" w:eastAsia="宋体" w:hint="default"/>
                            <w:sz w:val="15"/>
                            <w:szCs w:val="15"/>
                          </w:rPr>
                          <w:t>系统方案，算法上对传统扫码算法进行改进，在扫码速度以及扫码成功率上达到国内领先水平；</w:t>
                        </w:r>
                      </w:p>
                      <w:p>
                        <w:pPr>
                          <w:pStyle w:val="TableParagraph"/>
                          <w:spacing w:line="372" w:lineRule="auto" w:before="104"/>
                          <w:ind w:left="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4</w:t>
                        </w:r>
                        <w:r>
                          <w:rPr>
                            <w:rFonts w:ascii="宋体" w:hAnsi="宋体" w:cs="宋体" w:eastAsia="宋体" w:hint="default"/>
                            <w:sz w:val="15"/>
                            <w:szCs w:val="15"/>
                          </w:rPr>
                          <w:t>、本项目会推出一系列配有不同开门方式的产品，包括二维码正反扫开门、刷卡开门、动态密码开门、虚拟卡</w:t>
                        </w:r>
                        <w:r>
                          <w:rPr>
                            <w:rFonts w:ascii="Times New Roman" w:hAnsi="Times New Roman" w:cs="Times New Roman" w:eastAsia="Times New Roman" w:hint="default"/>
                            <w:sz w:val="15"/>
                            <w:szCs w:val="15"/>
                          </w:rPr>
                          <w:t>HCE</w:t>
                        </w:r>
                        <w:r>
                          <w:rPr>
                            <w:rFonts w:ascii="宋体" w:hAnsi="宋体" w:cs="宋体" w:eastAsia="宋体" w:hint="default"/>
                            <w:sz w:val="15"/>
                            <w:szCs w:val="15"/>
                          </w:rPr>
                          <w:t>开门 </w:t>
                        </w:r>
                        <w:r>
                          <w:rPr>
                            <w:rFonts w:ascii="宋体" w:hAnsi="宋体" w:cs="宋体" w:eastAsia="宋体" w:hint="default"/>
                            <w:spacing w:val="-1"/>
                            <w:sz w:val="15"/>
                            <w:szCs w:val="15"/>
                          </w:rPr>
                          <w:t>蓝牙开门等，满足市场上绝大多数用户的需求。针对此产品开发的智能门禁系统，将向用户提供一站式管理和大数据分析</w:t>
                        </w:r>
                        <w:r>
                          <w:rPr>
                            <w:rFonts w:ascii="宋体" w:hAnsi="宋体" w:cs="宋体" w:eastAsia="宋体" w:hint="default"/>
                            <w:spacing w:val="-55"/>
                            <w:sz w:val="15"/>
                            <w:szCs w:val="15"/>
                          </w:rPr>
                          <w:t> </w:t>
                        </w:r>
                        <w:r>
                          <w:rPr>
                            <w:rFonts w:ascii="宋体" w:hAnsi="宋体" w:cs="宋体" w:eastAsia="宋体" w:hint="default"/>
                            <w:spacing w:val="-55"/>
                            <w:sz w:val="15"/>
                            <w:szCs w:val="15"/>
                          </w:rPr>
                        </w:r>
                        <w:r>
                          <w:rPr>
                            <w:rFonts w:ascii="宋体" w:hAnsi="宋体" w:cs="宋体" w:eastAsia="宋体" w:hint="default"/>
                            <w:sz w:val="15"/>
                            <w:szCs w:val="15"/>
                          </w:rPr>
                          <w:t>及相关服务。</w:t>
                        </w:r>
                      </w:p>
                    </w:tc>
                  </w:tr>
                </w:tbl>
                <w:p>
                  <w:pPr/>
                </w:p>
              </w:txbxContent>
            </v:textbox>
            <w10:wrap type="none"/>
          </v:shape>
        </w:pict>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23"/>
          <w:szCs w:val="23"/>
        </w:rPr>
      </w:pPr>
    </w:p>
    <w:p>
      <w:pPr>
        <w:spacing w:before="53"/>
        <w:ind w:left="0" w:right="100" w:firstLine="0"/>
        <w:jc w:val="right"/>
        <w:rPr>
          <w:rFonts w:ascii="宋体" w:hAnsi="宋体" w:cs="宋体" w:eastAsia="宋体" w:hint="default"/>
          <w:sz w:val="15"/>
          <w:szCs w:val="15"/>
        </w:rPr>
      </w:pPr>
      <w:r>
        <w:rPr>
          <w:rFonts w:ascii="宋体" w:hAnsi="宋体" w:cs="宋体" w:eastAsia="宋体" w:hint="default"/>
          <w:sz w:val="15"/>
          <w:szCs w:val="15"/>
        </w:rPr>
        <w:t>、</w:t>
      </w:r>
    </w:p>
    <w:p>
      <w:pPr>
        <w:spacing w:after="0"/>
        <w:jc w:val="right"/>
        <w:rPr>
          <w:rFonts w:ascii="宋体" w:hAnsi="宋体" w:cs="宋体" w:eastAsia="宋体" w:hint="default"/>
          <w:sz w:val="15"/>
          <w:szCs w:val="15"/>
        </w:rPr>
        <w:sectPr>
          <w:pgSz w:w="16840" w:h="11910" w:orient="landscape"/>
          <w:pgMar w:header="867" w:footer="979" w:top="1060" w:bottom="1160" w:left="920" w:right="880"/>
        </w:sectPr>
      </w:pPr>
    </w:p>
    <w:p>
      <w:pPr>
        <w:spacing w:line="240" w:lineRule="auto" w:before="4"/>
        <w:rPr>
          <w:rFonts w:ascii="Times New Roman" w:hAnsi="Times New Roman" w:cs="Times New Roman" w:eastAsia="Times New Roman" w:hint="default"/>
          <w:sz w:val="3"/>
          <w:szCs w:val="3"/>
        </w:rPr>
      </w:pPr>
    </w:p>
    <w:tbl>
      <w:tblPr>
        <w:tblW w:w="0" w:type="auto"/>
        <w:jc w:val="left"/>
        <w:tblInd w:w="119" w:type="dxa"/>
        <w:tblLayout w:type="fixed"/>
        <w:tblCellMar>
          <w:top w:w="0" w:type="dxa"/>
          <w:left w:w="0" w:type="dxa"/>
          <w:bottom w:w="0" w:type="dxa"/>
          <w:right w:w="0" w:type="dxa"/>
        </w:tblCellMar>
        <w:tblLook w:val="01E0"/>
      </w:tblPr>
      <w:tblGrid>
        <w:gridCol w:w="710"/>
        <w:gridCol w:w="1844"/>
        <w:gridCol w:w="1134"/>
        <w:gridCol w:w="1842"/>
        <w:gridCol w:w="1276"/>
        <w:gridCol w:w="7939"/>
      </w:tblGrid>
      <w:tr>
        <w:trPr>
          <w:trHeight w:val="2546" w:hRule="exact"/>
        </w:trPr>
        <w:tc>
          <w:tcPr>
            <w:tcW w:w="710" w:type="dxa"/>
            <w:tcBorders>
              <w:top w:val="single" w:sz="17"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 w:right="0"/>
              <w:jc w:val="center"/>
              <w:rPr>
                <w:rFonts w:ascii="Times New Roman" w:hAnsi="Times New Roman" w:cs="Times New Roman" w:eastAsia="Times New Roman" w:hint="default"/>
                <w:sz w:val="15"/>
                <w:szCs w:val="15"/>
              </w:rPr>
            </w:pPr>
            <w:r>
              <w:rPr>
                <w:rFonts w:ascii="Times New Roman"/>
                <w:sz w:val="15"/>
              </w:rPr>
              <w:t>11</w:t>
            </w:r>
          </w:p>
        </w:tc>
        <w:tc>
          <w:tcPr>
            <w:tcW w:w="1844" w:type="dxa"/>
            <w:tcBorders>
              <w:top w:val="single" w:sz="17"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10"/>
              <w:ind w:right="0"/>
              <w:jc w:val="left"/>
              <w:rPr>
                <w:rFonts w:ascii="Times New Roman" w:hAnsi="Times New Roman" w:cs="Times New Roman" w:eastAsia="Times New Roman" w:hint="default"/>
                <w:sz w:val="14"/>
                <w:szCs w:val="14"/>
              </w:rPr>
            </w:pPr>
          </w:p>
          <w:p>
            <w:pPr>
              <w:pStyle w:val="TableParagraph"/>
              <w:spacing w:line="240" w:lineRule="auto"/>
              <w:ind w:left="3" w:right="0"/>
              <w:jc w:val="left"/>
              <w:rPr>
                <w:rFonts w:ascii="宋体" w:hAnsi="宋体" w:cs="宋体" w:eastAsia="宋体" w:hint="default"/>
                <w:sz w:val="15"/>
                <w:szCs w:val="15"/>
              </w:rPr>
            </w:pPr>
            <w:r>
              <w:rPr>
                <w:rFonts w:ascii="宋体" w:hAnsi="宋体" w:cs="宋体" w:eastAsia="宋体" w:hint="default"/>
                <w:sz w:val="15"/>
                <w:szCs w:val="15"/>
              </w:rPr>
              <w:t>二维码服务平台</w:t>
            </w:r>
          </w:p>
        </w:tc>
        <w:tc>
          <w:tcPr>
            <w:tcW w:w="1134" w:type="dxa"/>
            <w:tcBorders>
              <w:top w:val="single" w:sz="17"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10"/>
              <w:ind w:right="0"/>
              <w:jc w:val="left"/>
              <w:rPr>
                <w:rFonts w:ascii="Times New Roman" w:hAnsi="Times New Roman" w:cs="Times New Roman" w:eastAsia="Times New Roman" w:hint="default"/>
                <w:sz w:val="14"/>
                <w:szCs w:val="14"/>
              </w:rPr>
            </w:pPr>
          </w:p>
          <w:p>
            <w:pPr>
              <w:pStyle w:val="TableParagraph"/>
              <w:spacing w:line="240" w:lineRule="auto"/>
              <w:ind w:left="2" w:right="0"/>
              <w:jc w:val="left"/>
              <w:rPr>
                <w:rFonts w:ascii="宋体" w:hAnsi="宋体" w:cs="宋体" w:eastAsia="宋体" w:hint="default"/>
                <w:sz w:val="15"/>
                <w:szCs w:val="15"/>
              </w:rPr>
            </w:pPr>
            <w:r>
              <w:rPr>
                <w:rFonts w:ascii="宋体" w:hAnsi="宋体" w:cs="宋体" w:eastAsia="宋体" w:hint="default"/>
                <w:sz w:val="15"/>
                <w:szCs w:val="15"/>
              </w:rPr>
              <w:t>城市一卡通</w:t>
            </w:r>
          </w:p>
        </w:tc>
        <w:tc>
          <w:tcPr>
            <w:tcW w:w="1842" w:type="dxa"/>
            <w:tcBorders>
              <w:top w:val="single" w:sz="17"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10"/>
              <w:ind w:right="0"/>
              <w:jc w:val="left"/>
              <w:rPr>
                <w:rFonts w:ascii="Times New Roman" w:hAnsi="Times New Roman" w:cs="Times New Roman" w:eastAsia="Times New Roman" w:hint="default"/>
                <w:sz w:val="14"/>
                <w:szCs w:val="14"/>
              </w:rPr>
            </w:pPr>
          </w:p>
          <w:p>
            <w:pPr>
              <w:pStyle w:val="TableParagraph"/>
              <w:spacing w:line="240" w:lineRule="auto"/>
              <w:ind w:left="2" w:right="0"/>
              <w:jc w:val="left"/>
              <w:rPr>
                <w:rFonts w:ascii="宋体" w:hAnsi="宋体" w:cs="宋体" w:eastAsia="宋体" w:hint="default"/>
                <w:sz w:val="15"/>
                <w:szCs w:val="15"/>
              </w:rPr>
            </w:pPr>
            <w:r>
              <w:rPr>
                <w:rFonts w:ascii="宋体" w:hAnsi="宋体" w:cs="宋体" w:eastAsia="宋体" w:hint="default"/>
                <w:sz w:val="15"/>
                <w:szCs w:val="15"/>
              </w:rPr>
              <w:t>发布阶段</w:t>
            </w:r>
          </w:p>
        </w:tc>
        <w:tc>
          <w:tcPr>
            <w:tcW w:w="1276" w:type="dxa"/>
            <w:tcBorders>
              <w:top w:val="single" w:sz="17"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240" w:lineRule="auto"/>
              <w:ind w:left="2" w:right="0"/>
              <w:jc w:val="left"/>
              <w:rPr>
                <w:rFonts w:ascii="Times New Roman" w:hAnsi="Times New Roman" w:cs="Times New Roman" w:eastAsia="Times New Roman" w:hint="default"/>
                <w:sz w:val="15"/>
                <w:szCs w:val="15"/>
              </w:rPr>
            </w:pPr>
            <w:r>
              <w:rPr>
                <w:rFonts w:ascii="Times New Roman"/>
                <w:sz w:val="15"/>
              </w:rPr>
              <w:t>2018/3/15</w:t>
            </w:r>
          </w:p>
          <w:p>
            <w:pPr>
              <w:pStyle w:val="TableParagraph"/>
              <w:spacing w:line="240" w:lineRule="auto" w:before="2"/>
              <w:ind w:right="0"/>
              <w:jc w:val="left"/>
              <w:rPr>
                <w:rFonts w:ascii="Times New Roman" w:hAnsi="Times New Roman" w:cs="Times New Roman" w:eastAsia="Times New Roman" w:hint="default"/>
                <w:sz w:val="12"/>
                <w:szCs w:val="12"/>
              </w:rPr>
            </w:pPr>
          </w:p>
          <w:p>
            <w:pPr>
              <w:pStyle w:val="TableParagraph"/>
              <w:spacing w:line="240" w:lineRule="auto"/>
              <w:ind w:left="2" w:right="0"/>
              <w:jc w:val="left"/>
              <w:rPr>
                <w:rFonts w:ascii="Times New Roman" w:hAnsi="Times New Roman" w:cs="Times New Roman" w:eastAsia="Times New Roman" w:hint="default"/>
                <w:sz w:val="15"/>
                <w:szCs w:val="15"/>
              </w:rPr>
            </w:pPr>
            <w:r>
              <w:rPr>
                <w:rFonts w:ascii="Times New Roman"/>
                <w:sz w:val="15"/>
              </w:rPr>
              <w:t>2018/12/31</w:t>
            </w:r>
          </w:p>
        </w:tc>
        <w:tc>
          <w:tcPr>
            <w:tcW w:w="7939" w:type="dxa"/>
            <w:tcBorders>
              <w:top w:val="single" w:sz="17" w:space="0" w:color="000000"/>
              <w:left w:val="single" w:sz="6" w:space="0" w:color="000000"/>
              <w:bottom w:val="single" w:sz="6" w:space="0" w:color="000000"/>
              <w:right w:val="single" w:sz="6" w:space="0" w:color="000000"/>
            </w:tcBorders>
          </w:tcPr>
          <w:p>
            <w:pPr>
              <w:pStyle w:val="TableParagraph"/>
              <w:spacing w:line="240" w:lineRule="auto" w:before="44"/>
              <w:ind w:left="3" w:right="0"/>
              <w:jc w:val="left"/>
              <w:rPr>
                <w:rFonts w:ascii="宋体" w:hAnsi="宋体" w:cs="宋体" w:eastAsia="宋体" w:hint="default"/>
                <w:sz w:val="15"/>
                <w:szCs w:val="15"/>
              </w:rPr>
            </w:pPr>
            <w:r>
              <w:rPr>
                <w:rFonts w:ascii="宋体" w:hAnsi="宋体" w:cs="宋体" w:eastAsia="宋体" w:hint="default"/>
                <w:sz w:val="15"/>
                <w:szCs w:val="15"/>
              </w:rPr>
              <w:t>基于金融、部委二维码支付规范标准进行二维码服务平台建设，内容涵盖：</w:t>
            </w:r>
          </w:p>
          <w:p>
            <w:pPr>
              <w:pStyle w:val="TableParagraph"/>
              <w:spacing w:line="240" w:lineRule="auto" w:before="116"/>
              <w:ind w:left="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、运营管理：提供行业、商户、参数等基础信息管理；</w:t>
            </w:r>
          </w:p>
          <w:p>
            <w:pPr>
              <w:pStyle w:val="TableParagraph"/>
              <w:spacing w:line="240" w:lineRule="auto" w:before="104"/>
              <w:ind w:left="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、账户管理：提供后台的用户账户、资金账户管理，包括账户注册、账户充值、账户挂失、交易管理等；</w:t>
            </w:r>
          </w:p>
          <w:p>
            <w:pPr>
              <w:pStyle w:val="TableParagraph"/>
              <w:spacing w:line="367" w:lineRule="auto" w:before="104"/>
              <w:ind w:left="3" w:right="1"/>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、发码管理：按照不同的应用类型（二维码类型）、发码方式、账户信息、用户身份等，生成规范的二维码数据，并配</w:t>
            </w:r>
            <w:r>
              <w:rPr>
                <w:rFonts w:ascii="宋体" w:hAnsi="宋体" w:cs="宋体" w:eastAsia="宋体" w:hint="default"/>
                <w:spacing w:val="-41"/>
                <w:sz w:val="15"/>
                <w:szCs w:val="15"/>
              </w:rPr>
              <w:t> </w:t>
            </w:r>
            <w:r>
              <w:rPr>
                <w:rFonts w:ascii="宋体" w:hAnsi="宋体" w:cs="宋体" w:eastAsia="宋体" w:hint="default"/>
                <w:spacing w:val="-41"/>
                <w:sz w:val="15"/>
                <w:szCs w:val="15"/>
              </w:rPr>
            </w:r>
            <w:r>
              <w:rPr>
                <w:rFonts w:ascii="宋体" w:hAnsi="宋体" w:cs="宋体" w:eastAsia="宋体" w:hint="default"/>
                <w:sz w:val="15"/>
                <w:szCs w:val="15"/>
              </w:rPr>
              <w:t>合前置服务管理，保证二维码数据安全的下发到应用端使用； </w:t>
            </w:r>
            <w:r>
              <w:rPr>
                <w:rFonts w:ascii="Times New Roman" w:hAnsi="Times New Roman" w:cs="Times New Roman" w:eastAsia="Times New Roman" w:hint="default"/>
                <w:sz w:val="15"/>
                <w:szCs w:val="15"/>
              </w:rPr>
              <w:t>4</w:t>
            </w:r>
            <w:r>
              <w:rPr>
                <w:rFonts w:ascii="宋体" w:hAnsi="宋体" w:cs="宋体" w:eastAsia="宋体" w:hint="default"/>
                <w:sz w:val="15"/>
                <w:szCs w:val="15"/>
              </w:rPr>
              <w:t>、支付安全处理：对</w:t>
            </w:r>
            <w:r>
              <w:rPr>
                <w:rFonts w:ascii="Times New Roman" w:hAnsi="Times New Roman" w:cs="Times New Roman" w:eastAsia="Times New Roman" w:hint="default"/>
                <w:sz w:val="15"/>
                <w:szCs w:val="15"/>
              </w:rPr>
              <w:t>App</w:t>
            </w:r>
            <w:r>
              <w:rPr>
                <w:rFonts w:ascii="宋体" w:hAnsi="宋体" w:cs="宋体" w:eastAsia="宋体" w:hint="default"/>
                <w:sz w:val="15"/>
                <w:szCs w:val="15"/>
              </w:rPr>
              <w:t>端生成的用户公私钥信息进行签名授权认证，并下发到</w:t>
            </w:r>
            <w:r>
              <w:rPr>
                <w:rFonts w:ascii="Times New Roman" w:hAnsi="Times New Roman" w:cs="Times New Roman" w:eastAsia="Times New Roman" w:hint="default"/>
                <w:sz w:val="15"/>
                <w:szCs w:val="15"/>
              </w:rPr>
              <w:t>App</w:t>
            </w:r>
            <w:r>
              <w:rPr>
                <w:rFonts w:ascii="宋体" w:hAnsi="宋体" w:cs="宋体" w:eastAsia="宋体" w:hint="default"/>
                <w:sz w:val="15"/>
                <w:szCs w:val="15"/>
              </w:rPr>
              <w:t>端，对</w:t>
            </w:r>
            <w:r>
              <w:rPr>
                <w:rFonts w:ascii="Times New Roman" w:hAnsi="Times New Roman" w:cs="Times New Roman" w:eastAsia="Times New Roman" w:hint="default"/>
                <w:sz w:val="15"/>
                <w:szCs w:val="15"/>
              </w:rPr>
              <w:t>POS</w:t>
            </w:r>
            <w:r>
              <w:rPr>
                <w:rFonts w:ascii="宋体" w:hAnsi="宋体" w:cs="宋体" w:eastAsia="宋体" w:hint="default"/>
                <w:sz w:val="15"/>
                <w:szCs w:val="15"/>
              </w:rPr>
              <w:t>端上传的交易记录进行合 法性校验；</w:t>
            </w:r>
          </w:p>
          <w:p>
            <w:pPr>
              <w:pStyle w:val="TableParagraph"/>
              <w:spacing w:line="240" w:lineRule="auto" w:before="36"/>
              <w:ind w:left="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5</w:t>
            </w:r>
            <w:r>
              <w:rPr>
                <w:rFonts w:ascii="宋体" w:hAnsi="宋体" w:cs="宋体" w:eastAsia="宋体" w:hint="default"/>
                <w:sz w:val="15"/>
                <w:szCs w:val="15"/>
              </w:rPr>
              <w:t>、</w:t>
            </w:r>
            <w:r>
              <w:rPr>
                <w:rFonts w:ascii="Times New Roman" w:hAnsi="Times New Roman" w:cs="Times New Roman" w:eastAsia="Times New Roman" w:hint="default"/>
                <w:sz w:val="15"/>
                <w:szCs w:val="15"/>
              </w:rPr>
              <w:t>token</w:t>
            </w:r>
            <w:r>
              <w:rPr>
                <w:rFonts w:ascii="宋体" w:hAnsi="宋体" w:cs="宋体" w:eastAsia="宋体" w:hint="default"/>
                <w:sz w:val="15"/>
                <w:szCs w:val="15"/>
              </w:rPr>
              <w:t>管理：生成用户的</w:t>
            </w:r>
            <w:r>
              <w:rPr>
                <w:rFonts w:ascii="Times New Roman" w:hAnsi="Times New Roman" w:cs="Times New Roman" w:eastAsia="Times New Roman" w:hint="default"/>
                <w:sz w:val="15"/>
                <w:szCs w:val="15"/>
              </w:rPr>
              <w:t>token</w:t>
            </w:r>
            <w:r>
              <w:rPr>
                <w:rFonts w:ascii="宋体" w:hAnsi="宋体" w:cs="宋体" w:eastAsia="宋体" w:hint="default"/>
                <w:sz w:val="15"/>
                <w:szCs w:val="15"/>
              </w:rPr>
              <w:t>标识、对</w:t>
            </w:r>
            <w:r>
              <w:rPr>
                <w:rFonts w:ascii="Times New Roman" w:hAnsi="Times New Roman" w:cs="Times New Roman" w:eastAsia="Times New Roman" w:hint="default"/>
                <w:sz w:val="15"/>
                <w:szCs w:val="15"/>
              </w:rPr>
              <w:t>token</w:t>
            </w:r>
            <w:r>
              <w:rPr>
                <w:rFonts w:ascii="宋体" w:hAnsi="宋体" w:cs="宋体" w:eastAsia="宋体" w:hint="default"/>
                <w:sz w:val="15"/>
                <w:szCs w:val="15"/>
              </w:rPr>
              <w:t>标识、</w:t>
            </w:r>
            <w:r>
              <w:rPr>
                <w:rFonts w:ascii="Times New Roman" w:hAnsi="Times New Roman" w:cs="Times New Roman" w:eastAsia="Times New Roman" w:hint="default"/>
                <w:sz w:val="15"/>
                <w:szCs w:val="15"/>
              </w:rPr>
              <w:t>token</w:t>
            </w:r>
            <w:r>
              <w:rPr>
                <w:rFonts w:ascii="Times New Roman" w:hAnsi="Times New Roman" w:cs="Times New Roman" w:eastAsia="Times New Roman" w:hint="default"/>
                <w:spacing w:val="9"/>
                <w:sz w:val="15"/>
                <w:szCs w:val="15"/>
              </w:rPr>
              <w:t> </w:t>
            </w:r>
            <w:r>
              <w:rPr>
                <w:rFonts w:ascii="宋体" w:hAnsi="宋体" w:cs="宋体" w:eastAsia="宋体" w:hint="default"/>
                <w:sz w:val="15"/>
                <w:szCs w:val="15"/>
              </w:rPr>
              <w:t>有效期、</w:t>
            </w:r>
            <w:r>
              <w:rPr>
                <w:rFonts w:ascii="Times New Roman" w:hAnsi="Times New Roman" w:cs="Times New Roman" w:eastAsia="Times New Roman" w:hint="default"/>
                <w:sz w:val="15"/>
                <w:szCs w:val="15"/>
              </w:rPr>
              <w:t>token</w:t>
            </w:r>
            <w:r>
              <w:rPr>
                <w:rFonts w:ascii="宋体" w:hAnsi="宋体" w:cs="宋体" w:eastAsia="宋体" w:hint="default"/>
                <w:sz w:val="15"/>
                <w:szCs w:val="15"/>
              </w:rPr>
              <w:t>认证进行管理等。</w:t>
            </w:r>
          </w:p>
        </w:tc>
      </w:tr>
      <w:tr>
        <w:trPr>
          <w:trHeight w:val="2531" w:hRule="exact"/>
        </w:trPr>
        <w:tc>
          <w:tcPr>
            <w:tcW w:w="7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 w:right="0"/>
              <w:jc w:val="center"/>
              <w:rPr>
                <w:rFonts w:ascii="Times New Roman" w:hAnsi="Times New Roman" w:cs="Times New Roman" w:eastAsia="Times New Roman" w:hint="default"/>
                <w:sz w:val="15"/>
                <w:szCs w:val="15"/>
              </w:rPr>
            </w:pPr>
            <w:r>
              <w:rPr>
                <w:rFonts w:ascii="Times New Roman"/>
                <w:sz w:val="15"/>
              </w:rPr>
              <w:t>12</w:t>
            </w:r>
          </w:p>
        </w:tc>
        <w:tc>
          <w:tcPr>
            <w:tcW w:w="18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before="10"/>
              <w:ind w:right="0"/>
              <w:jc w:val="left"/>
              <w:rPr>
                <w:rFonts w:ascii="Times New Roman" w:hAnsi="Times New Roman" w:cs="Times New Roman" w:eastAsia="Times New Roman" w:hint="default"/>
                <w:sz w:val="18"/>
                <w:szCs w:val="18"/>
              </w:rPr>
            </w:pPr>
          </w:p>
          <w:p>
            <w:pPr>
              <w:pStyle w:val="TableParagraph"/>
              <w:spacing w:line="240" w:lineRule="auto"/>
              <w:ind w:left="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NB-IOT</w:t>
            </w:r>
            <w:r>
              <w:rPr>
                <w:rFonts w:ascii="宋体" w:hAnsi="宋体" w:cs="宋体" w:eastAsia="宋体" w:hint="default"/>
                <w:sz w:val="15"/>
                <w:szCs w:val="15"/>
              </w:rPr>
              <w:t>物联网燃气表</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10"/>
              <w:ind w:right="0"/>
              <w:jc w:val="left"/>
              <w:rPr>
                <w:rFonts w:ascii="Times New Roman" w:hAnsi="Times New Roman" w:cs="Times New Roman" w:eastAsia="Times New Roman" w:hint="default"/>
                <w:sz w:val="14"/>
                <w:szCs w:val="14"/>
              </w:rPr>
            </w:pPr>
          </w:p>
          <w:p>
            <w:pPr>
              <w:pStyle w:val="TableParagraph"/>
              <w:spacing w:line="240" w:lineRule="auto"/>
              <w:ind w:left="2" w:right="0"/>
              <w:jc w:val="left"/>
              <w:rPr>
                <w:rFonts w:ascii="宋体" w:hAnsi="宋体" w:cs="宋体" w:eastAsia="宋体" w:hint="default"/>
                <w:sz w:val="15"/>
                <w:szCs w:val="15"/>
              </w:rPr>
            </w:pPr>
            <w:r>
              <w:rPr>
                <w:rFonts w:ascii="宋体" w:hAnsi="宋体" w:cs="宋体" w:eastAsia="宋体" w:hint="default"/>
                <w:sz w:val="15"/>
                <w:szCs w:val="15"/>
              </w:rPr>
              <w:t>燃气集成</w:t>
            </w:r>
          </w:p>
        </w:tc>
        <w:tc>
          <w:tcPr>
            <w:tcW w:w="18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10"/>
              <w:ind w:right="0"/>
              <w:jc w:val="left"/>
              <w:rPr>
                <w:rFonts w:ascii="Times New Roman" w:hAnsi="Times New Roman" w:cs="Times New Roman" w:eastAsia="Times New Roman" w:hint="default"/>
                <w:sz w:val="14"/>
                <w:szCs w:val="14"/>
              </w:rPr>
            </w:pPr>
          </w:p>
          <w:p>
            <w:pPr>
              <w:pStyle w:val="TableParagraph"/>
              <w:spacing w:line="240" w:lineRule="auto"/>
              <w:ind w:left="2" w:right="0"/>
              <w:jc w:val="left"/>
              <w:rPr>
                <w:rFonts w:ascii="宋体" w:hAnsi="宋体" w:cs="宋体" w:eastAsia="宋体" w:hint="default"/>
                <w:sz w:val="15"/>
                <w:szCs w:val="15"/>
              </w:rPr>
            </w:pPr>
            <w:r>
              <w:rPr>
                <w:rFonts w:ascii="宋体" w:hAnsi="宋体" w:cs="宋体" w:eastAsia="宋体" w:hint="default"/>
                <w:sz w:val="15"/>
                <w:szCs w:val="15"/>
              </w:rPr>
              <w:t>测试阶段</w:t>
            </w:r>
          </w:p>
        </w:tc>
        <w:tc>
          <w:tcPr>
            <w:tcW w:w="12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2"/>
              <w:ind w:right="0"/>
              <w:jc w:val="left"/>
              <w:rPr>
                <w:rFonts w:ascii="Times New Roman" w:hAnsi="Times New Roman" w:cs="Times New Roman" w:eastAsia="Times New Roman" w:hint="default"/>
                <w:sz w:val="18"/>
                <w:szCs w:val="18"/>
              </w:rPr>
            </w:pPr>
          </w:p>
          <w:p>
            <w:pPr>
              <w:pStyle w:val="TableParagraph"/>
              <w:spacing w:line="240" w:lineRule="auto"/>
              <w:ind w:left="2" w:right="0"/>
              <w:jc w:val="left"/>
              <w:rPr>
                <w:rFonts w:ascii="Times New Roman" w:hAnsi="Times New Roman" w:cs="Times New Roman" w:eastAsia="Times New Roman" w:hint="default"/>
                <w:sz w:val="15"/>
                <w:szCs w:val="15"/>
              </w:rPr>
            </w:pPr>
            <w:r>
              <w:rPr>
                <w:rFonts w:ascii="Times New Roman"/>
                <w:sz w:val="15"/>
              </w:rPr>
              <w:t>2018/3/5</w:t>
            </w:r>
          </w:p>
          <w:p>
            <w:pPr>
              <w:pStyle w:val="TableParagraph"/>
              <w:spacing w:line="240" w:lineRule="auto" w:before="2"/>
              <w:ind w:right="0"/>
              <w:jc w:val="left"/>
              <w:rPr>
                <w:rFonts w:ascii="Times New Roman" w:hAnsi="Times New Roman" w:cs="Times New Roman" w:eastAsia="Times New Roman" w:hint="default"/>
                <w:sz w:val="12"/>
                <w:szCs w:val="12"/>
              </w:rPr>
            </w:pPr>
          </w:p>
          <w:p>
            <w:pPr>
              <w:pStyle w:val="TableParagraph"/>
              <w:spacing w:line="240" w:lineRule="auto"/>
              <w:ind w:left="2" w:right="0"/>
              <w:jc w:val="left"/>
              <w:rPr>
                <w:rFonts w:ascii="Times New Roman" w:hAnsi="Times New Roman" w:cs="Times New Roman" w:eastAsia="Times New Roman" w:hint="default"/>
                <w:sz w:val="15"/>
                <w:szCs w:val="15"/>
              </w:rPr>
            </w:pPr>
            <w:r>
              <w:rPr>
                <w:rFonts w:ascii="Times New Roman"/>
                <w:sz w:val="15"/>
              </w:rPr>
              <w:t>2019/3/22</w:t>
            </w:r>
          </w:p>
        </w:tc>
        <w:tc>
          <w:tcPr>
            <w:tcW w:w="79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、领先采用先进的</w:t>
            </w:r>
            <w:r>
              <w:rPr>
                <w:rFonts w:ascii="Times New Roman" w:hAnsi="Times New Roman" w:cs="Times New Roman" w:eastAsia="Times New Roman" w:hint="default"/>
                <w:sz w:val="15"/>
                <w:szCs w:val="15"/>
              </w:rPr>
              <w:t>NB-IOT</w:t>
            </w:r>
            <w:r>
              <w:rPr>
                <w:rFonts w:ascii="宋体" w:hAnsi="宋体" w:cs="宋体" w:eastAsia="宋体" w:hint="default"/>
                <w:sz w:val="15"/>
                <w:szCs w:val="15"/>
              </w:rPr>
              <w:t>通讯技术，具有大连接、广覆盖、低功耗等特点，表具通讯更稳定，电池更耐用；</w:t>
            </w:r>
          </w:p>
          <w:p>
            <w:pPr>
              <w:pStyle w:val="TableParagraph"/>
              <w:spacing w:line="372" w:lineRule="auto" w:before="104"/>
              <w:ind w:left="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、采用现代电机阀技术、防外界电</w:t>
            </w:r>
            <w:r>
              <w:rPr>
                <w:rFonts w:ascii="Times New Roman" w:hAnsi="Times New Roman" w:cs="Times New Roman" w:eastAsia="Times New Roman" w:hint="default"/>
                <w:sz w:val="15"/>
                <w:szCs w:val="15"/>
              </w:rPr>
              <w:t>/</w:t>
            </w:r>
            <w:r>
              <w:rPr>
                <w:rFonts w:ascii="宋体" w:hAnsi="宋体" w:cs="宋体" w:eastAsia="宋体" w:hint="default"/>
                <w:sz w:val="15"/>
                <w:szCs w:val="15"/>
              </w:rPr>
              <w:t>磁攻击技术及全密封设计，并加入掉电欠压检测、燃气漏气检测机制，表具具有工作 稳定、压损小、异常自动切断关阀报警等特点； </w:t>
            </w:r>
            <w:r>
              <w:rPr>
                <w:rFonts w:ascii="Times New Roman" w:hAnsi="Times New Roman" w:cs="Times New Roman" w:eastAsia="Times New Roman" w:hint="default"/>
                <w:sz w:val="15"/>
                <w:szCs w:val="15"/>
              </w:rPr>
              <w:t>3</w:t>
            </w:r>
            <w:r>
              <w:rPr>
                <w:rFonts w:ascii="宋体" w:hAnsi="宋体" w:cs="宋体" w:eastAsia="宋体" w:hint="default"/>
                <w:sz w:val="15"/>
                <w:szCs w:val="15"/>
              </w:rPr>
              <w:t>、表具计量精度高，准确度等级为</w:t>
            </w:r>
            <w:r>
              <w:rPr>
                <w:rFonts w:ascii="Times New Roman" w:hAnsi="Times New Roman" w:cs="Times New Roman" w:eastAsia="Times New Roman" w:hint="default"/>
                <w:sz w:val="15"/>
                <w:szCs w:val="15"/>
              </w:rPr>
              <w:t>1.5</w:t>
            </w:r>
            <w:r>
              <w:rPr>
                <w:rFonts w:ascii="宋体" w:hAnsi="宋体" w:cs="宋体" w:eastAsia="宋体" w:hint="default"/>
                <w:sz w:val="15"/>
                <w:szCs w:val="15"/>
              </w:rPr>
              <w:t>级；具有阶梯计价、温压补偿等功能，交易更公平；</w:t>
            </w:r>
          </w:p>
          <w:p>
            <w:pPr>
              <w:pStyle w:val="TableParagraph"/>
              <w:spacing w:line="240" w:lineRule="auto" w:before="13"/>
              <w:ind w:left="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4</w:t>
            </w:r>
            <w:r>
              <w:rPr>
                <w:rFonts w:ascii="宋体" w:hAnsi="宋体" w:cs="宋体" w:eastAsia="宋体" w:hint="default"/>
                <w:sz w:val="15"/>
                <w:szCs w:val="15"/>
              </w:rPr>
              <w:t>、表具具有主动上报、异常报警、空中充值、远程控制等功能；</w:t>
            </w:r>
          </w:p>
          <w:p>
            <w:pPr>
              <w:pStyle w:val="TableParagraph"/>
              <w:spacing w:line="240" w:lineRule="auto" w:before="104"/>
              <w:ind w:left="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5</w:t>
            </w:r>
            <w:r>
              <w:rPr>
                <w:rFonts w:ascii="宋体" w:hAnsi="宋体" w:cs="宋体" w:eastAsia="宋体" w:hint="default"/>
                <w:sz w:val="15"/>
                <w:szCs w:val="15"/>
              </w:rPr>
              <w:t>、表具严格依照国家和行业标准进行设计、开发、测试，并要求完全达标；</w:t>
            </w:r>
          </w:p>
          <w:p>
            <w:pPr>
              <w:pStyle w:val="TableParagraph"/>
              <w:spacing w:line="360" w:lineRule="auto" w:before="104"/>
              <w:ind w:left="3" w:right="3"/>
              <w:jc w:val="left"/>
              <w:rPr>
                <w:rFonts w:ascii="宋体" w:hAnsi="宋体" w:cs="宋体" w:eastAsia="宋体" w:hint="default"/>
                <w:sz w:val="15"/>
                <w:szCs w:val="15"/>
              </w:rPr>
            </w:pPr>
            <w:r>
              <w:rPr>
                <w:rFonts w:ascii="Times New Roman" w:hAnsi="Times New Roman" w:cs="Times New Roman" w:eastAsia="Times New Roman" w:hint="default"/>
                <w:sz w:val="15"/>
                <w:szCs w:val="15"/>
              </w:rPr>
              <w:t>6</w:t>
            </w:r>
            <w:r>
              <w:rPr>
                <w:rFonts w:ascii="宋体" w:hAnsi="宋体" w:cs="宋体" w:eastAsia="宋体" w:hint="default"/>
                <w:sz w:val="15"/>
                <w:szCs w:val="15"/>
              </w:rPr>
              <w:t>、燃气物联网云平台可以实时监控表具用量、信号强度、电池电压、阀门状态等运行信息，并具有充值、阀控、平台计</w:t>
            </w:r>
            <w:r>
              <w:rPr>
                <w:rFonts w:ascii="宋体" w:hAnsi="宋体" w:cs="宋体" w:eastAsia="宋体" w:hint="default"/>
                <w:spacing w:val="-38"/>
                <w:sz w:val="15"/>
                <w:szCs w:val="15"/>
              </w:rPr>
              <w:t> </w:t>
            </w:r>
            <w:r>
              <w:rPr>
                <w:rFonts w:ascii="宋体" w:hAnsi="宋体" w:cs="宋体" w:eastAsia="宋体" w:hint="default"/>
                <w:spacing w:val="-38"/>
                <w:sz w:val="15"/>
                <w:szCs w:val="15"/>
              </w:rPr>
            </w:r>
            <w:r>
              <w:rPr>
                <w:rFonts w:ascii="宋体" w:hAnsi="宋体" w:cs="宋体" w:eastAsia="宋体" w:hint="default"/>
                <w:sz w:val="15"/>
                <w:szCs w:val="15"/>
              </w:rPr>
              <w:t>费、大数据分析等功能。</w:t>
            </w:r>
          </w:p>
        </w:tc>
      </w:tr>
      <w:tr>
        <w:trPr>
          <w:trHeight w:val="2219" w:hRule="exact"/>
        </w:trPr>
        <w:tc>
          <w:tcPr>
            <w:tcW w:w="7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2"/>
              <w:ind w:right="0"/>
              <w:jc w:val="left"/>
              <w:rPr>
                <w:rFonts w:ascii="Times New Roman" w:hAnsi="Times New Roman" w:cs="Times New Roman" w:eastAsia="Times New Roman" w:hint="default"/>
                <w:sz w:val="18"/>
                <w:szCs w:val="18"/>
              </w:rPr>
            </w:pPr>
          </w:p>
          <w:p>
            <w:pPr>
              <w:pStyle w:val="TableParagraph"/>
              <w:spacing w:line="240" w:lineRule="auto"/>
              <w:ind w:left="2" w:right="0"/>
              <w:jc w:val="center"/>
              <w:rPr>
                <w:rFonts w:ascii="Times New Roman" w:hAnsi="Times New Roman" w:cs="Times New Roman" w:eastAsia="Times New Roman" w:hint="default"/>
                <w:sz w:val="15"/>
                <w:szCs w:val="15"/>
              </w:rPr>
            </w:pPr>
            <w:r>
              <w:rPr>
                <w:rFonts w:ascii="Times New Roman"/>
                <w:sz w:val="15"/>
              </w:rPr>
              <w:t>13</w:t>
            </w:r>
          </w:p>
        </w:tc>
        <w:tc>
          <w:tcPr>
            <w:tcW w:w="18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8"/>
              <w:ind w:right="0"/>
              <w:jc w:val="left"/>
              <w:rPr>
                <w:rFonts w:ascii="Times New Roman" w:hAnsi="Times New Roman" w:cs="Times New Roman" w:eastAsia="Times New Roman" w:hint="default"/>
                <w:sz w:val="15"/>
                <w:szCs w:val="15"/>
              </w:rPr>
            </w:pPr>
          </w:p>
          <w:p>
            <w:pPr>
              <w:pStyle w:val="TableParagraph"/>
              <w:spacing w:line="381" w:lineRule="auto"/>
              <w:ind w:left="3" w:right="1"/>
              <w:jc w:val="left"/>
              <w:rPr>
                <w:rFonts w:ascii="宋体" w:hAnsi="宋体" w:cs="宋体" w:eastAsia="宋体" w:hint="default"/>
                <w:sz w:val="15"/>
                <w:szCs w:val="15"/>
              </w:rPr>
            </w:pPr>
            <w:r>
              <w:rPr>
                <w:rFonts w:ascii="宋体" w:hAnsi="宋体" w:cs="宋体" w:eastAsia="宋体" w:hint="default"/>
                <w:sz w:val="15"/>
                <w:szCs w:val="15"/>
              </w:rPr>
              <w:t>基于物联网技术的节水控制</w:t>
            </w:r>
            <w:r>
              <w:rPr>
                <w:rFonts w:ascii="宋体" w:hAnsi="宋体" w:cs="宋体" w:eastAsia="宋体" w:hint="default"/>
                <w:spacing w:val="-56"/>
                <w:sz w:val="15"/>
                <w:szCs w:val="15"/>
              </w:rPr>
              <w:t> </w:t>
            </w:r>
            <w:r>
              <w:rPr>
                <w:rFonts w:ascii="宋体" w:hAnsi="宋体" w:cs="宋体" w:eastAsia="宋体" w:hint="default"/>
                <w:spacing w:val="-56"/>
                <w:sz w:val="15"/>
                <w:szCs w:val="15"/>
              </w:rPr>
            </w:r>
            <w:r>
              <w:rPr>
                <w:rFonts w:ascii="宋体" w:hAnsi="宋体" w:cs="宋体" w:eastAsia="宋体" w:hint="default"/>
                <w:sz w:val="15"/>
                <w:szCs w:val="15"/>
              </w:rPr>
              <w:t>器</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3"/>
              <w:ind w:right="0"/>
              <w:jc w:val="left"/>
              <w:rPr>
                <w:rFonts w:ascii="Times New Roman" w:hAnsi="Times New Roman" w:cs="Times New Roman" w:eastAsia="Times New Roman" w:hint="default"/>
                <w:sz w:val="15"/>
                <w:szCs w:val="15"/>
              </w:rPr>
            </w:pPr>
          </w:p>
          <w:p>
            <w:pPr>
              <w:pStyle w:val="TableParagraph"/>
              <w:spacing w:line="240" w:lineRule="auto"/>
              <w:ind w:left="2" w:right="0"/>
              <w:jc w:val="left"/>
              <w:rPr>
                <w:rFonts w:ascii="宋体" w:hAnsi="宋体" w:cs="宋体" w:eastAsia="宋体" w:hint="default"/>
                <w:sz w:val="15"/>
                <w:szCs w:val="15"/>
              </w:rPr>
            </w:pPr>
            <w:r>
              <w:rPr>
                <w:rFonts w:ascii="宋体" w:hAnsi="宋体" w:cs="宋体" w:eastAsia="宋体" w:hint="default"/>
                <w:sz w:val="15"/>
                <w:szCs w:val="15"/>
              </w:rPr>
              <w:t>能源管控</w:t>
            </w:r>
          </w:p>
        </w:tc>
        <w:tc>
          <w:tcPr>
            <w:tcW w:w="18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3"/>
              <w:ind w:right="0"/>
              <w:jc w:val="left"/>
              <w:rPr>
                <w:rFonts w:ascii="Times New Roman" w:hAnsi="Times New Roman" w:cs="Times New Roman" w:eastAsia="Times New Roman" w:hint="default"/>
                <w:sz w:val="15"/>
                <w:szCs w:val="15"/>
              </w:rPr>
            </w:pPr>
          </w:p>
          <w:p>
            <w:pPr>
              <w:pStyle w:val="TableParagraph"/>
              <w:spacing w:line="240" w:lineRule="auto"/>
              <w:ind w:left="2" w:right="0"/>
              <w:jc w:val="left"/>
              <w:rPr>
                <w:rFonts w:ascii="宋体" w:hAnsi="宋体" w:cs="宋体" w:eastAsia="宋体" w:hint="default"/>
                <w:sz w:val="15"/>
                <w:szCs w:val="15"/>
              </w:rPr>
            </w:pPr>
            <w:r>
              <w:rPr>
                <w:rFonts w:ascii="宋体" w:hAnsi="宋体" w:cs="宋体" w:eastAsia="宋体" w:hint="default"/>
                <w:sz w:val="15"/>
                <w:szCs w:val="15"/>
              </w:rPr>
              <w:t>测试阶断</w:t>
            </w:r>
          </w:p>
        </w:tc>
        <w:tc>
          <w:tcPr>
            <w:tcW w:w="12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7"/>
              <w:ind w:right="0"/>
              <w:jc w:val="left"/>
              <w:rPr>
                <w:rFonts w:ascii="Times New Roman" w:hAnsi="Times New Roman" w:cs="Times New Roman" w:eastAsia="Times New Roman" w:hint="default"/>
                <w:sz w:val="18"/>
                <w:szCs w:val="18"/>
              </w:rPr>
            </w:pPr>
          </w:p>
          <w:p>
            <w:pPr>
              <w:pStyle w:val="TableParagraph"/>
              <w:spacing w:line="240" w:lineRule="auto"/>
              <w:ind w:left="2" w:right="0"/>
              <w:jc w:val="left"/>
              <w:rPr>
                <w:rFonts w:ascii="Times New Roman" w:hAnsi="Times New Roman" w:cs="Times New Roman" w:eastAsia="Times New Roman" w:hint="default"/>
                <w:sz w:val="15"/>
                <w:szCs w:val="15"/>
              </w:rPr>
            </w:pPr>
            <w:r>
              <w:rPr>
                <w:rFonts w:ascii="Times New Roman"/>
                <w:sz w:val="15"/>
              </w:rPr>
              <w:t>2018/3/5</w:t>
            </w:r>
          </w:p>
          <w:p>
            <w:pPr>
              <w:pStyle w:val="TableParagraph"/>
              <w:spacing w:line="240" w:lineRule="auto" w:before="2"/>
              <w:ind w:right="0"/>
              <w:jc w:val="left"/>
              <w:rPr>
                <w:rFonts w:ascii="Times New Roman" w:hAnsi="Times New Roman" w:cs="Times New Roman" w:eastAsia="Times New Roman" w:hint="default"/>
                <w:sz w:val="12"/>
                <w:szCs w:val="12"/>
              </w:rPr>
            </w:pPr>
          </w:p>
          <w:p>
            <w:pPr>
              <w:pStyle w:val="TableParagraph"/>
              <w:spacing w:line="240" w:lineRule="auto"/>
              <w:ind w:left="2" w:right="0"/>
              <w:jc w:val="left"/>
              <w:rPr>
                <w:rFonts w:ascii="Times New Roman" w:hAnsi="Times New Roman" w:cs="Times New Roman" w:eastAsia="Times New Roman" w:hint="default"/>
                <w:sz w:val="15"/>
                <w:szCs w:val="15"/>
              </w:rPr>
            </w:pPr>
            <w:r>
              <w:rPr>
                <w:rFonts w:ascii="Times New Roman"/>
                <w:sz w:val="15"/>
              </w:rPr>
              <w:t>2019/3/5</w:t>
            </w:r>
          </w:p>
        </w:tc>
        <w:tc>
          <w:tcPr>
            <w:tcW w:w="79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借鉴我公司对水类产品防水技术的积累，使用密封圈加螺钉方式实现防水；支持密封性测试，出线方式使用灌胶密封；</w:t>
            </w:r>
          </w:p>
          <w:p>
            <w:pPr>
              <w:pStyle w:val="TableParagraph"/>
              <w:spacing w:line="240" w:lineRule="auto" w:before="104"/>
              <w:ind w:left="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采用全新的光学原理防水按键，机械部分与电子部分分离，能够应用在潮湿淋水环境下，同时提高了按键寿命；</w:t>
            </w:r>
          </w:p>
          <w:p>
            <w:pPr>
              <w:pStyle w:val="TableParagraph"/>
              <w:spacing w:line="360" w:lineRule="auto" w:before="104"/>
              <w:ind w:left="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淋浴环境虚拟卡实现，通过手机</w:t>
            </w:r>
            <w:r>
              <w:rPr>
                <w:rFonts w:ascii="Times New Roman" w:hAnsi="Times New Roman" w:cs="Times New Roman" w:eastAsia="Times New Roman" w:hint="default"/>
                <w:sz w:val="15"/>
                <w:szCs w:val="15"/>
              </w:rPr>
              <w:t>App</w:t>
            </w:r>
            <w:r>
              <w:rPr>
                <w:rFonts w:ascii="宋体" w:hAnsi="宋体" w:cs="宋体" w:eastAsia="宋体" w:hint="default"/>
                <w:sz w:val="15"/>
                <w:szCs w:val="15"/>
              </w:rPr>
              <w:t>预约产生授权码，在水控终端输入授权码开始在线消费，这种方式很好的解决了浴</w:t>
            </w:r>
            <w:r>
              <w:rPr>
                <w:rFonts w:ascii="宋体" w:hAnsi="宋体" w:cs="宋体" w:eastAsia="宋体" w:hint="default"/>
                <w:spacing w:val="-37"/>
                <w:sz w:val="15"/>
                <w:szCs w:val="15"/>
              </w:rPr>
              <w:t> </w:t>
            </w:r>
            <w:r>
              <w:rPr>
                <w:rFonts w:ascii="宋体" w:hAnsi="宋体" w:cs="宋体" w:eastAsia="宋体" w:hint="default"/>
                <w:spacing w:val="-37"/>
                <w:sz w:val="15"/>
                <w:szCs w:val="15"/>
              </w:rPr>
            </w:r>
            <w:r>
              <w:rPr>
                <w:rFonts w:ascii="宋体" w:hAnsi="宋体" w:cs="宋体" w:eastAsia="宋体" w:hint="default"/>
                <w:sz w:val="15"/>
                <w:szCs w:val="15"/>
              </w:rPr>
              <w:t>室场合无法带入手机的问题；同时仍支持卡片及手机刷卡；开水场合，也可使用手机</w:t>
            </w:r>
            <w:r>
              <w:rPr>
                <w:rFonts w:ascii="Times New Roman" w:hAnsi="Times New Roman" w:cs="Times New Roman" w:eastAsia="Times New Roman" w:hint="default"/>
                <w:sz w:val="15"/>
                <w:szCs w:val="15"/>
              </w:rPr>
              <w:t>App</w:t>
            </w:r>
            <w:r>
              <w:rPr>
                <w:rFonts w:ascii="宋体" w:hAnsi="宋体" w:cs="宋体" w:eastAsia="宋体" w:hint="default"/>
                <w:sz w:val="15"/>
                <w:szCs w:val="15"/>
              </w:rPr>
              <w:t>扫码消费； </w:t>
            </w:r>
            <w:r>
              <w:rPr>
                <w:rFonts w:ascii="Times New Roman" w:hAnsi="Times New Roman" w:cs="Times New Roman" w:eastAsia="Times New Roman" w:hint="default"/>
                <w:sz w:val="15"/>
                <w:szCs w:val="15"/>
              </w:rPr>
              <w:t>4.</w:t>
            </w:r>
            <w:r>
              <w:rPr>
                <w:rFonts w:ascii="宋体" w:hAnsi="宋体" w:cs="宋体" w:eastAsia="宋体" w:hint="default"/>
                <w:sz w:val="15"/>
                <w:szCs w:val="15"/>
              </w:rPr>
              <w:t>重新设计产品外观，突破传统思维限制，美观大方、使用便捷、富含科技感；使用液晶屏显示，使人机交互界面更加丰</w:t>
            </w:r>
            <w:r>
              <w:rPr>
                <w:rFonts w:ascii="宋体" w:hAnsi="宋体" w:cs="宋体" w:eastAsia="宋体" w:hint="default"/>
                <w:spacing w:val="-71"/>
                <w:sz w:val="15"/>
                <w:szCs w:val="15"/>
              </w:rPr>
              <w:t> </w:t>
            </w:r>
            <w:r>
              <w:rPr>
                <w:rFonts w:ascii="宋体" w:hAnsi="宋体" w:cs="宋体" w:eastAsia="宋体" w:hint="default"/>
                <w:spacing w:val="-71"/>
                <w:sz w:val="15"/>
                <w:szCs w:val="15"/>
              </w:rPr>
            </w:r>
            <w:r>
              <w:rPr>
                <w:rFonts w:ascii="宋体" w:hAnsi="宋体" w:cs="宋体" w:eastAsia="宋体" w:hint="default"/>
                <w:sz w:val="15"/>
                <w:szCs w:val="15"/>
              </w:rPr>
              <w:t>富；</w:t>
            </w:r>
          </w:p>
          <w:p>
            <w:pPr>
              <w:pStyle w:val="TableParagraph"/>
              <w:spacing w:line="240" w:lineRule="auto" w:before="41"/>
              <w:ind w:left="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5.</w:t>
            </w:r>
            <w:r>
              <w:rPr>
                <w:rFonts w:ascii="宋体" w:hAnsi="宋体" w:cs="宋体" w:eastAsia="宋体" w:hint="default"/>
                <w:sz w:val="15"/>
                <w:szCs w:val="15"/>
              </w:rPr>
              <w:t>通讯方式改用</w:t>
            </w:r>
            <w:r>
              <w:rPr>
                <w:rFonts w:ascii="Times New Roman" w:hAnsi="Times New Roman" w:cs="Times New Roman" w:eastAsia="Times New Roman" w:hint="default"/>
                <w:sz w:val="15"/>
                <w:szCs w:val="15"/>
              </w:rPr>
              <w:t>CAN</w:t>
            </w:r>
            <w:r>
              <w:rPr>
                <w:rFonts w:ascii="宋体" w:hAnsi="宋体" w:cs="宋体" w:eastAsia="宋体" w:hint="default"/>
                <w:sz w:val="15"/>
                <w:szCs w:val="15"/>
              </w:rPr>
              <w:t>通讯，极大提高了通讯效率，同时支持了在线消费，领款、清欠等功能，用户体验更佳。</w:t>
            </w:r>
          </w:p>
        </w:tc>
      </w:tr>
      <w:tr>
        <w:trPr>
          <w:trHeight w:val="2220" w:hRule="exact"/>
        </w:trPr>
        <w:tc>
          <w:tcPr>
            <w:tcW w:w="7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2"/>
              <w:ind w:right="0"/>
              <w:jc w:val="left"/>
              <w:rPr>
                <w:rFonts w:ascii="Times New Roman" w:hAnsi="Times New Roman" w:cs="Times New Roman" w:eastAsia="Times New Roman" w:hint="default"/>
                <w:sz w:val="18"/>
                <w:szCs w:val="18"/>
              </w:rPr>
            </w:pPr>
          </w:p>
          <w:p>
            <w:pPr>
              <w:pStyle w:val="TableParagraph"/>
              <w:spacing w:line="240" w:lineRule="auto"/>
              <w:ind w:left="2" w:right="0"/>
              <w:jc w:val="center"/>
              <w:rPr>
                <w:rFonts w:ascii="Times New Roman" w:hAnsi="Times New Roman" w:cs="Times New Roman" w:eastAsia="Times New Roman" w:hint="default"/>
                <w:sz w:val="15"/>
                <w:szCs w:val="15"/>
              </w:rPr>
            </w:pPr>
            <w:r>
              <w:rPr>
                <w:rFonts w:ascii="Times New Roman"/>
                <w:sz w:val="15"/>
              </w:rPr>
              <w:t>14</w:t>
            </w:r>
          </w:p>
        </w:tc>
        <w:tc>
          <w:tcPr>
            <w:tcW w:w="18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8"/>
              <w:ind w:right="0"/>
              <w:jc w:val="left"/>
              <w:rPr>
                <w:rFonts w:ascii="Times New Roman" w:hAnsi="Times New Roman" w:cs="Times New Roman" w:eastAsia="Times New Roman" w:hint="default"/>
                <w:sz w:val="15"/>
                <w:szCs w:val="15"/>
              </w:rPr>
            </w:pPr>
          </w:p>
          <w:p>
            <w:pPr>
              <w:pStyle w:val="TableParagraph"/>
              <w:spacing w:line="381" w:lineRule="auto"/>
              <w:ind w:left="3" w:right="1"/>
              <w:jc w:val="left"/>
              <w:rPr>
                <w:rFonts w:ascii="宋体" w:hAnsi="宋体" w:cs="宋体" w:eastAsia="宋体" w:hint="default"/>
                <w:sz w:val="15"/>
                <w:szCs w:val="15"/>
              </w:rPr>
            </w:pPr>
            <w:r>
              <w:rPr>
                <w:rFonts w:ascii="宋体" w:hAnsi="宋体" w:cs="宋体" w:eastAsia="宋体" w:hint="default"/>
                <w:sz w:val="15"/>
                <w:szCs w:val="15"/>
              </w:rPr>
              <w:t>基于互联互通技术的高速载</w:t>
            </w:r>
            <w:r>
              <w:rPr>
                <w:rFonts w:ascii="宋体" w:hAnsi="宋体" w:cs="宋体" w:eastAsia="宋体" w:hint="default"/>
                <w:spacing w:val="-56"/>
                <w:sz w:val="15"/>
                <w:szCs w:val="15"/>
              </w:rPr>
              <w:t> </w:t>
            </w:r>
            <w:r>
              <w:rPr>
                <w:rFonts w:ascii="宋体" w:hAnsi="宋体" w:cs="宋体" w:eastAsia="宋体" w:hint="default"/>
                <w:spacing w:val="-56"/>
                <w:sz w:val="15"/>
                <w:szCs w:val="15"/>
              </w:rPr>
            </w:r>
            <w:r>
              <w:rPr>
                <w:rFonts w:ascii="宋体" w:hAnsi="宋体" w:cs="宋体" w:eastAsia="宋体" w:hint="default"/>
                <w:sz w:val="15"/>
                <w:szCs w:val="15"/>
              </w:rPr>
              <w:t>波芯片项目</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3"/>
              <w:ind w:right="0"/>
              <w:jc w:val="left"/>
              <w:rPr>
                <w:rFonts w:ascii="Times New Roman" w:hAnsi="Times New Roman" w:cs="Times New Roman" w:eastAsia="Times New Roman" w:hint="default"/>
                <w:sz w:val="15"/>
                <w:szCs w:val="15"/>
              </w:rPr>
            </w:pPr>
          </w:p>
          <w:p>
            <w:pPr>
              <w:pStyle w:val="TableParagraph"/>
              <w:spacing w:line="240" w:lineRule="auto"/>
              <w:ind w:left="2" w:right="0"/>
              <w:jc w:val="left"/>
              <w:rPr>
                <w:rFonts w:ascii="宋体" w:hAnsi="宋体" w:cs="宋体" w:eastAsia="宋体" w:hint="default"/>
                <w:sz w:val="15"/>
                <w:szCs w:val="15"/>
              </w:rPr>
            </w:pPr>
            <w:r>
              <w:rPr>
                <w:rFonts w:ascii="宋体" w:hAnsi="宋体" w:cs="宋体" w:eastAsia="宋体" w:hint="default"/>
                <w:sz w:val="15"/>
                <w:szCs w:val="15"/>
              </w:rPr>
              <w:t>电力集成</w:t>
            </w:r>
          </w:p>
        </w:tc>
        <w:tc>
          <w:tcPr>
            <w:tcW w:w="18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3"/>
              <w:ind w:right="0"/>
              <w:jc w:val="left"/>
              <w:rPr>
                <w:rFonts w:ascii="Times New Roman" w:hAnsi="Times New Roman" w:cs="Times New Roman" w:eastAsia="Times New Roman" w:hint="default"/>
                <w:sz w:val="15"/>
                <w:szCs w:val="15"/>
              </w:rPr>
            </w:pPr>
          </w:p>
          <w:p>
            <w:pPr>
              <w:pStyle w:val="TableParagraph"/>
              <w:spacing w:line="240" w:lineRule="auto"/>
              <w:ind w:left="2" w:right="0"/>
              <w:jc w:val="left"/>
              <w:rPr>
                <w:rFonts w:ascii="宋体" w:hAnsi="宋体" w:cs="宋体" w:eastAsia="宋体" w:hint="default"/>
                <w:sz w:val="15"/>
                <w:szCs w:val="15"/>
              </w:rPr>
            </w:pPr>
            <w:r>
              <w:rPr>
                <w:rFonts w:ascii="宋体" w:hAnsi="宋体" w:cs="宋体" w:eastAsia="宋体" w:hint="default"/>
                <w:sz w:val="15"/>
                <w:szCs w:val="15"/>
              </w:rPr>
              <w:t>开发阶段</w:t>
            </w:r>
          </w:p>
        </w:tc>
        <w:tc>
          <w:tcPr>
            <w:tcW w:w="12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7"/>
              <w:ind w:right="0"/>
              <w:jc w:val="left"/>
              <w:rPr>
                <w:rFonts w:ascii="Times New Roman" w:hAnsi="Times New Roman" w:cs="Times New Roman" w:eastAsia="Times New Roman" w:hint="default"/>
                <w:sz w:val="18"/>
                <w:szCs w:val="18"/>
              </w:rPr>
            </w:pPr>
          </w:p>
          <w:p>
            <w:pPr>
              <w:pStyle w:val="TableParagraph"/>
              <w:spacing w:line="240" w:lineRule="auto"/>
              <w:ind w:left="2" w:right="0"/>
              <w:jc w:val="left"/>
              <w:rPr>
                <w:rFonts w:ascii="Times New Roman" w:hAnsi="Times New Roman" w:cs="Times New Roman" w:eastAsia="Times New Roman" w:hint="default"/>
                <w:sz w:val="15"/>
                <w:szCs w:val="15"/>
              </w:rPr>
            </w:pPr>
            <w:r>
              <w:rPr>
                <w:rFonts w:ascii="Times New Roman"/>
                <w:sz w:val="15"/>
              </w:rPr>
              <w:t>2018/3/2</w:t>
            </w:r>
          </w:p>
          <w:p>
            <w:pPr>
              <w:pStyle w:val="TableParagraph"/>
              <w:spacing w:line="240" w:lineRule="auto" w:before="2"/>
              <w:ind w:right="0"/>
              <w:jc w:val="left"/>
              <w:rPr>
                <w:rFonts w:ascii="Times New Roman" w:hAnsi="Times New Roman" w:cs="Times New Roman" w:eastAsia="Times New Roman" w:hint="default"/>
                <w:sz w:val="12"/>
                <w:szCs w:val="12"/>
              </w:rPr>
            </w:pPr>
          </w:p>
          <w:p>
            <w:pPr>
              <w:pStyle w:val="TableParagraph"/>
              <w:spacing w:line="240" w:lineRule="auto"/>
              <w:ind w:left="2" w:right="0"/>
              <w:jc w:val="left"/>
              <w:rPr>
                <w:rFonts w:ascii="Times New Roman" w:hAnsi="Times New Roman" w:cs="Times New Roman" w:eastAsia="Times New Roman" w:hint="default"/>
                <w:sz w:val="15"/>
                <w:szCs w:val="15"/>
              </w:rPr>
            </w:pPr>
            <w:r>
              <w:rPr>
                <w:rFonts w:ascii="Times New Roman"/>
                <w:sz w:val="15"/>
              </w:rPr>
              <w:t>2019/12/31</w:t>
            </w:r>
          </w:p>
        </w:tc>
        <w:tc>
          <w:tcPr>
            <w:tcW w:w="7939" w:type="dxa"/>
            <w:tcBorders>
              <w:top w:val="single" w:sz="6" w:space="0" w:color="000000"/>
              <w:left w:val="single" w:sz="6" w:space="0" w:color="000000"/>
              <w:bottom w:val="single" w:sz="6" w:space="0" w:color="000000"/>
              <w:right w:val="single" w:sz="6" w:space="0" w:color="000000"/>
            </w:tcBorders>
          </w:tcPr>
          <w:p>
            <w:pPr>
              <w:pStyle w:val="TableParagraph"/>
              <w:spacing w:line="360" w:lineRule="auto" w:before="44"/>
              <w:ind w:left="3" w:right="1"/>
              <w:jc w:val="left"/>
              <w:rPr>
                <w:rFonts w:ascii="宋体" w:hAnsi="宋体" w:cs="宋体" w:eastAsia="宋体" w:hint="default"/>
                <w:sz w:val="15"/>
                <w:szCs w:val="15"/>
              </w:rPr>
            </w:pPr>
            <w:r>
              <w:rPr>
                <w:rFonts w:ascii="宋体" w:hAnsi="宋体" w:cs="宋体" w:eastAsia="宋体" w:hint="default"/>
                <w:spacing w:val="-1"/>
                <w:sz w:val="15"/>
                <w:szCs w:val="15"/>
              </w:rPr>
              <w:t>开发的</w:t>
            </w:r>
            <w:r>
              <w:rPr>
                <w:rFonts w:ascii="Times New Roman" w:hAnsi="Times New Roman" w:cs="Times New Roman" w:eastAsia="Times New Roman" w:hint="default"/>
                <w:spacing w:val="-1"/>
                <w:sz w:val="15"/>
                <w:szCs w:val="15"/>
              </w:rPr>
              <w:t>XKP362x</w:t>
            </w:r>
            <w:r>
              <w:rPr>
                <w:rFonts w:ascii="宋体" w:hAnsi="宋体" w:cs="宋体" w:eastAsia="宋体" w:hint="default"/>
                <w:spacing w:val="-1"/>
                <w:sz w:val="15"/>
                <w:szCs w:val="15"/>
              </w:rPr>
              <w:t>系列高速载波芯片，具有独立的自主版权，其对应的载波模块包括集中器模块、单、三相模块，具备如下</w:t>
            </w:r>
            <w:r>
              <w:rPr>
                <w:rFonts w:ascii="宋体" w:hAnsi="宋体" w:cs="宋体" w:eastAsia="宋体" w:hint="default"/>
                <w:spacing w:val="-55"/>
                <w:sz w:val="15"/>
                <w:szCs w:val="15"/>
              </w:rPr>
              <w:t> </w:t>
            </w:r>
            <w:r>
              <w:rPr>
                <w:rFonts w:ascii="宋体" w:hAnsi="宋体" w:cs="宋体" w:eastAsia="宋体" w:hint="default"/>
                <w:spacing w:val="-55"/>
                <w:sz w:val="15"/>
                <w:szCs w:val="15"/>
              </w:rPr>
            </w:r>
            <w:r>
              <w:rPr>
                <w:rFonts w:ascii="宋体" w:hAnsi="宋体" w:cs="宋体" w:eastAsia="宋体" w:hint="default"/>
                <w:sz w:val="15"/>
                <w:szCs w:val="15"/>
              </w:rPr>
              <w:t>特点：</w:t>
            </w:r>
          </w:p>
          <w:p>
            <w:pPr>
              <w:pStyle w:val="TableParagraph"/>
              <w:spacing w:line="240" w:lineRule="auto" w:before="40"/>
              <w:ind w:left="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、支持数据汇集、并发抄表机制，抄表效率高；</w:t>
            </w:r>
          </w:p>
          <w:p>
            <w:pPr>
              <w:pStyle w:val="TableParagraph"/>
              <w:spacing w:line="240" w:lineRule="auto" w:before="104"/>
              <w:ind w:left="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、多路径寻址，通信节点根据当前通信环境和状态自动快速组网，无需额外配置；</w:t>
            </w:r>
          </w:p>
          <w:p>
            <w:pPr>
              <w:pStyle w:val="TableParagraph"/>
              <w:spacing w:line="240" w:lineRule="auto" w:before="104"/>
              <w:ind w:left="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、频段自适应。低压电力线干扰在</w:t>
            </w:r>
            <w:r>
              <w:rPr>
                <w:rFonts w:ascii="Times New Roman" w:hAnsi="Times New Roman" w:cs="Times New Roman" w:eastAsia="Times New Roman" w:hint="default"/>
                <w:sz w:val="15"/>
                <w:szCs w:val="15"/>
              </w:rPr>
              <w:t>1MHz</w:t>
            </w:r>
            <w:r>
              <w:rPr>
                <w:rFonts w:ascii="宋体" w:hAnsi="宋体" w:cs="宋体" w:eastAsia="宋体" w:hint="default"/>
                <w:sz w:val="15"/>
                <w:szCs w:val="15"/>
              </w:rPr>
              <w:t>以下，能有效避免陈旧或缺陷电器设备带来的信号干扰；</w:t>
            </w:r>
          </w:p>
          <w:p>
            <w:pPr>
              <w:pStyle w:val="TableParagraph"/>
              <w:spacing w:line="240" w:lineRule="auto" w:before="104"/>
              <w:ind w:left="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4</w:t>
            </w:r>
            <w:r>
              <w:rPr>
                <w:rFonts w:ascii="宋体" w:hAnsi="宋体" w:cs="宋体" w:eastAsia="宋体" w:hint="default"/>
                <w:sz w:val="15"/>
                <w:szCs w:val="15"/>
              </w:rPr>
              <w:t>、子载波支持多种调制方式，能并行传输，有效解决信道拥堵情况；</w:t>
            </w:r>
          </w:p>
          <w:p>
            <w:pPr>
              <w:pStyle w:val="TableParagraph"/>
              <w:spacing w:line="240" w:lineRule="auto" w:before="104"/>
              <w:ind w:left="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5</w:t>
            </w:r>
            <w:r>
              <w:rPr>
                <w:rFonts w:ascii="宋体" w:hAnsi="宋体" w:cs="宋体" w:eastAsia="宋体" w:hint="default"/>
                <w:sz w:val="15"/>
                <w:szCs w:val="15"/>
              </w:rPr>
              <w:t>、基于电力线双向、实时、高速通讯方式，增强数据的实时性，提高费控的成功率，无需加装辅助设备；</w:t>
            </w:r>
          </w:p>
        </w:tc>
      </w:tr>
    </w:tbl>
    <w:p>
      <w:pPr>
        <w:spacing w:after="0" w:line="240" w:lineRule="auto"/>
        <w:jc w:val="left"/>
        <w:rPr>
          <w:rFonts w:ascii="宋体" w:hAnsi="宋体" w:cs="宋体" w:eastAsia="宋体" w:hint="default"/>
          <w:sz w:val="15"/>
          <w:szCs w:val="15"/>
        </w:rPr>
        <w:sectPr>
          <w:pgSz w:w="16840" w:h="11910" w:orient="landscape"/>
          <w:pgMar w:header="867" w:footer="979" w:top="1060" w:bottom="1240" w:left="920" w:right="920"/>
        </w:sectPr>
      </w:pPr>
    </w:p>
    <w:p>
      <w:pPr>
        <w:spacing w:line="240" w:lineRule="auto" w:before="0"/>
        <w:rPr>
          <w:rFonts w:ascii="Times New Roman" w:hAnsi="Times New Roman" w:cs="Times New Roman" w:eastAsia="Times New Roman" w:hint="default"/>
          <w:sz w:val="20"/>
          <w:szCs w:val="20"/>
        </w:rPr>
      </w:pPr>
      <w:r>
        <w:rPr/>
        <w:pict>
          <v:shape style="position:absolute;margin-left:51.959999pt;margin-top:55.260006pt;width:738.3pt;height:479pt;mso-position-horizontal-relative:page;mso-position-vertical-relative:page;z-index:121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710"/>
                    <w:gridCol w:w="1844"/>
                    <w:gridCol w:w="1134"/>
                    <w:gridCol w:w="1842"/>
                    <w:gridCol w:w="1276"/>
                    <w:gridCol w:w="7939"/>
                  </w:tblGrid>
                  <w:tr>
                    <w:trPr>
                      <w:trHeight w:val="674" w:hRule="exact"/>
                    </w:trPr>
                    <w:tc>
                      <w:tcPr>
                        <w:tcW w:w="710" w:type="dxa"/>
                        <w:tcBorders>
                          <w:top w:val="single" w:sz="17" w:space="0" w:color="000000"/>
                          <w:left w:val="single" w:sz="6" w:space="0" w:color="000000"/>
                          <w:bottom w:val="single" w:sz="6" w:space="0" w:color="000000"/>
                          <w:right w:val="single" w:sz="6" w:space="0" w:color="000000"/>
                        </w:tcBorders>
                      </w:tcPr>
                      <w:p>
                        <w:pPr/>
                      </w:p>
                    </w:tc>
                    <w:tc>
                      <w:tcPr>
                        <w:tcW w:w="1844" w:type="dxa"/>
                        <w:tcBorders>
                          <w:top w:val="single" w:sz="17" w:space="0" w:color="000000"/>
                          <w:left w:val="single" w:sz="6" w:space="0" w:color="000000"/>
                          <w:bottom w:val="single" w:sz="6" w:space="0" w:color="000000"/>
                          <w:right w:val="single" w:sz="6" w:space="0" w:color="000000"/>
                        </w:tcBorders>
                      </w:tcPr>
                      <w:p>
                        <w:pPr/>
                      </w:p>
                    </w:tc>
                    <w:tc>
                      <w:tcPr>
                        <w:tcW w:w="1134" w:type="dxa"/>
                        <w:tcBorders>
                          <w:top w:val="single" w:sz="17" w:space="0" w:color="000000"/>
                          <w:left w:val="single" w:sz="6" w:space="0" w:color="000000"/>
                          <w:bottom w:val="single" w:sz="6" w:space="0" w:color="000000"/>
                          <w:right w:val="single" w:sz="6" w:space="0" w:color="000000"/>
                        </w:tcBorders>
                      </w:tcPr>
                      <w:p>
                        <w:pPr/>
                      </w:p>
                    </w:tc>
                    <w:tc>
                      <w:tcPr>
                        <w:tcW w:w="1842" w:type="dxa"/>
                        <w:tcBorders>
                          <w:top w:val="single" w:sz="17" w:space="0" w:color="000000"/>
                          <w:left w:val="single" w:sz="6" w:space="0" w:color="000000"/>
                          <w:bottom w:val="single" w:sz="6" w:space="0" w:color="000000"/>
                          <w:right w:val="single" w:sz="6" w:space="0" w:color="000000"/>
                        </w:tcBorders>
                      </w:tcPr>
                      <w:p>
                        <w:pPr/>
                      </w:p>
                    </w:tc>
                    <w:tc>
                      <w:tcPr>
                        <w:tcW w:w="1276" w:type="dxa"/>
                        <w:tcBorders>
                          <w:top w:val="single" w:sz="17" w:space="0" w:color="000000"/>
                          <w:left w:val="single" w:sz="6" w:space="0" w:color="000000"/>
                          <w:bottom w:val="single" w:sz="6" w:space="0" w:color="000000"/>
                          <w:right w:val="single" w:sz="6" w:space="0" w:color="000000"/>
                        </w:tcBorders>
                      </w:tcPr>
                      <w:p>
                        <w:pPr/>
                      </w:p>
                    </w:tc>
                    <w:tc>
                      <w:tcPr>
                        <w:tcW w:w="7939" w:type="dxa"/>
                        <w:tcBorders>
                          <w:top w:val="single" w:sz="17" w:space="0" w:color="000000"/>
                          <w:left w:val="single" w:sz="6" w:space="0" w:color="000000"/>
                          <w:bottom w:val="single" w:sz="6" w:space="0" w:color="000000"/>
                          <w:right w:val="single" w:sz="6" w:space="0" w:color="000000"/>
                        </w:tcBorders>
                      </w:tcPr>
                      <w:p>
                        <w:pPr>
                          <w:pStyle w:val="TableParagraph"/>
                          <w:spacing w:line="240" w:lineRule="auto" w:before="44"/>
                          <w:ind w:left="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6</w:t>
                        </w:r>
                        <w:r>
                          <w:rPr>
                            <w:rFonts w:ascii="宋体" w:hAnsi="宋体" w:cs="宋体" w:eastAsia="宋体" w:hint="default"/>
                            <w:sz w:val="15"/>
                            <w:szCs w:val="15"/>
                          </w:rPr>
                          <w:t>、在线远程升级，支持带电单点或全网在线升级；</w:t>
                        </w:r>
                      </w:p>
                      <w:p>
                        <w:pPr>
                          <w:pStyle w:val="TableParagraph"/>
                          <w:spacing w:line="240" w:lineRule="auto" w:before="104"/>
                          <w:ind w:left="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7</w:t>
                        </w:r>
                        <w:r>
                          <w:rPr>
                            <w:rFonts w:ascii="宋体" w:hAnsi="宋体" w:cs="宋体" w:eastAsia="宋体" w:hint="default"/>
                            <w:sz w:val="15"/>
                            <w:szCs w:val="15"/>
                          </w:rPr>
                          <w:t>、完全兼容国网互联互通技术，拥有完善的网络数据通信协议集，应用范围更广。</w:t>
                        </w:r>
                      </w:p>
                    </w:tc>
                  </w:tr>
                  <w:tr>
                    <w:trPr>
                      <w:trHeight w:val="1907" w:hRule="exact"/>
                    </w:trPr>
                    <w:tc>
                      <w:tcPr>
                        <w:tcW w:w="7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5"/>
                          <w:ind w:left="2" w:right="0"/>
                          <w:jc w:val="center"/>
                          <w:rPr>
                            <w:rFonts w:ascii="Times New Roman" w:hAnsi="Times New Roman" w:cs="Times New Roman" w:eastAsia="Times New Roman" w:hint="default"/>
                            <w:sz w:val="15"/>
                            <w:szCs w:val="15"/>
                          </w:rPr>
                        </w:pPr>
                        <w:r>
                          <w:rPr>
                            <w:rFonts w:ascii="Times New Roman"/>
                            <w:sz w:val="15"/>
                          </w:rPr>
                          <w:t>15</w:t>
                        </w:r>
                      </w:p>
                    </w:tc>
                    <w:tc>
                      <w:tcPr>
                        <w:tcW w:w="18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3"/>
                          <w:ind w:right="0"/>
                          <w:jc w:val="left"/>
                          <w:rPr>
                            <w:rFonts w:ascii="宋体" w:hAnsi="宋体" w:cs="宋体" w:eastAsia="宋体" w:hint="default"/>
                            <w:sz w:val="20"/>
                            <w:szCs w:val="20"/>
                          </w:rPr>
                        </w:pPr>
                      </w:p>
                      <w:p>
                        <w:pPr>
                          <w:pStyle w:val="TableParagraph"/>
                          <w:spacing w:line="240" w:lineRule="auto"/>
                          <w:ind w:left="3" w:right="0"/>
                          <w:jc w:val="left"/>
                          <w:rPr>
                            <w:rFonts w:ascii="宋体" w:hAnsi="宋体" w:cs="宋体" w:eastAsia="宋体" w:hint="default"/>
                            <w:sz w:val="15"/>
                            <w:szCs w:val="15"/>
                          </w:rPr>
                        </w:pPr>
                        <w:r>
                          <w:rPr>
                            <w:rFonts w:ascii="宋体" w:hAnsi="宋体" w:cs="宋体" w:eastAsia="宋体" w:hint="default"/>
                            <w:sz w:val="15"/>
                            <w:szCs w:val="15"/>
                          </w:rPr>
                          <w:t>虚拟卡支付平台项目</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3"/>
                          <w:ind w:right="0"/>
                          <w:jc w:val="left"/>
                          <w:rPr>
                            <w:rFonts w:ascii="宋体" w:hAnsi="宋体" w:cs="宋体" w:eastAsia="宋体" w:hint="default"/>
                            <w:sz w:val="20"/>
                            <w:szCs w:val="20"/>
                          </w:rPr>
                        </w:pPr>
                      </w:p>
                      <w:p>
                        <w:pPr>
                          <w:pStyle w:val="TableParagraph"/>
                          <w:spacing w:line="240" w:lineRule="auto"/>
                          <w:ind w:left="2" w:right="0"/>
                          <w:jc w:val="left"/>
                          <w:rPr>
                            <w:rFonts w:ascii="宋体" w:hAnsi="宋体" w:cs="宋体" w:eastAsia="宋体" w:hint="default"/>
                            <w:sz w:val="15"/>
                            <w:szCs w:val="15"/>
                          </w:rPr>
                        </w:pPr>
                        <w:r>
                          <w:rPr>
                            <w:rFonts w:ascii="宋体" w:hAnsi="宋体" w:cs="宋体" w:eastAsia="宋体" w:hint="default"/>
                            <w:sz w:val="15"/>
                            <w:szCs w:val="15"/>
                          </w:rPr>
                          <w:t>智慧校园</w:t>
                        </w:r>
                      </w:p>
                    </w:tc>
                    <w:tc>
                      <w:tcPr>
                        <w:tcW w:w="18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3"/>
                          <w:ind w:right="0"/>
                          <w:jc w:val="left"/>
                          <w:rPr>
                            <w:rFonts w:ascii="宋体" w:hAnsi="宋体" w:cs="宋体" w:eastAsia="宋体" w:hint="default"/>
                            <w:sz w:val="20"/>
                            <w:szCs w:val="20"/>
                          </w:rPr>
                        </w:pPr>
                      </w:p>
                      <w:p>
                        <w:pPr>
                          <w:pStyle w:val="TableParagraph"/>
                          <w:spacing w:line="240" w:lineRule="auto"/>
                          <w:ind w:left="2" w:right="0"/>
                          <w:jc w:val="left"/>
                          <w:rPr>
                            <w:rFonts w:ascii="宋体" w:hAnsi="宋体" w:cs="宋体" w:eastAsia="宋体" w:hint="default"/>
                            <w:sz w:val="15"/>
                            <w:szCs w:val="15"/>
                          </w:rPr>
                        </w:pPr>
                        <w:r>
                          <w:rPr>
                            <w:rFonts w:ascii="宋体" w:hAnsi="宋体" w:cs="宋体" w:eastAsia="宋体" w:hint="default"/>
                            <w:sz w:val="15"/>
                            <w:szCs w:val="15"/>
                          </w:rPr>
                          <w:t>开发阶段</w:t>
                        </w:r>
                      </w:p>
                    </w:tc>
                    <w:tc>
                      <w:tcPr>
                        <w:tcW w:w="12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1"/>
                            <w:szCs w:val="11"/>
                          </w:rPr>
                        </w:pPr>
                      </w:p>
                      <w:p>
                        <w:pPr>
                          <w:pStyle w:val="TableParagraph"/>
                          <w:spacing w:line="240" w:lineRule="auto"/>
                          <w:ind w:left="2" w:right="0"/>
                          <w:jc w:val="left"/>
                          <w:rPr>
                            <w:rFonts w:ascii="Times New Roman" w:hAnsi="Times New Roman" w:cs="Times New Roman" w:eastAsia="Times New Roman" w:hint="default"/>
                            <w:sz w:val="15"/>
                            <w:szCs w:val="15"/>
                          </w:rPr>
                        </w:pPr>
                        <w:r>
                          <w:rPr>
                            <w:rFonts w:ascii="Times New Roman"/>
                            <w:sz w:val="15"/>
                          </w:rPr>
                          <w:t>2018/4/1</w:t>
                        </w: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left="2" w:right="0"/>
                          <w:jc w:val="left"/>
                          <w:rPr>
                            <w:rFonts w:ascii="Times New Roman" w:hAnsi="Times New Roman" w:cs="Times New Roman" w:eastAsia="Times New Roman" w:hint="default"/>
                            <w:sz w:val="15"/>
                            <w:szCs w:val="15"/>
                          </w:rPr>
                        </w:pPr>
                        <w:r>
                          <w:rPr>
                            <w:rFonts w:ascii="Times New Roman"/>
                            <w:sz w:val="15"/>
                          </w:rPr>
                          <w:t>2019/6/30</w:t>
                        </w:r>
                      </w:p>
                    </w:tc>
                    <w:tc>
                      <w:tcPr>
                        <w:tcW w:w="7939" w:type="dxa"/>
                        <w:tcBorders>
                          <w:top w:val="single" w:sz="6" w:space="0" w:color="000000"/>
                          <w:left w:val="single" w:sz="6" w:space="0" w:color="000000"/>
                          <w:bottom w:val="single" w:sz="6" w:space="0" w:color="000000"/>
                          <w:right w:val="single" w:sz="6" w:space="0" w:color="000000"/>
                        </w:tcBorders>
                      </w:tcPr>
                      <w:p>
                        <w:pPr>
                          <w:pStyle w:val="TableParagraph"/>
                          <w:spacing w:line="369" w:lineRule="auto" w:before="44"/>
                          <w:ind w:left="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行业唯一的面向校园的互联网金融支付云平台，结合一卡通线下体系和产品入口，提供便捷的签约银行支付通道、第三</w:t>
                        </w:r>
                        <w:r>
                          <w:rPr>
                            <w:rFonts w:ascii="宋体" w:hAnsi="宋体" w:cs="宋体" w:eastAsia="宋体" w:hint="default"/>
                            <w:spacing w:val="-71"/>
                            <w:sz w:val="15"/>
                            <w:szCs w:val="15"/>
                          </w:rPr>
                          <w:t> </w:t>
                        </w:r>
                        <w:r>
                          <w:rPr>
                            <w:rFonts w:ascii="宋体" w:hAnsi="宋体" w:cs="宋体" w:eastAsia="宋体" w:hint="default"/>
                            <w:spacing w:val="-71"/>
                            <w:sz w:val="15"/>
                            <w:szCs w:val="15"/>
                          </w:rPr>
                        </w:r>
                        <w:r>
                          <w:rPr>
                            <w:rFonts w:ascii="宋体" w:hAnsi="宋体" w:cs="宋体" w:eastAsia="宋体" w:hint="default"/>
                            <w:sz w:val="15"/>
                            <w:szCs w:val="15"/>
                          </w:rPr>
                          <w:t>方支付、移动支付通道等多种支付方式，帮助客户快速高效的搭建自己的支付系统，完成聚合支付； </w:t>
                        </w:r>
                        <w:r>
                          <w:rPr>
                            <w:rFonts w:ascii="Times New Roman" w:hAnsi="Times New Roman" w:cs="Times New Roman" w:eastAsia="Times New Roman" w:hint="default"/>
                            <w:spacing w:val="-1"/>
                            <w:sz w:val="15"/>
                            <w:szCs w:val="15"/>
                          </w:rPr>
                          <w:t>2.</w:t>
                        </w:r>
                        <w:r>
                          <w:rPr>
                            <w:rFonts w:ascii="宋体" w:hAnsi="宋体" w:cs="宋体" w:eastAsia="宋体" w:hint="default"/>
                            <w:spacing w:val="-1"/>
                            <w:sz w:val="15"/>
                            <w:szCs w:val="15"/>
                          </w:rPr>
                          <w:t>采用互联网</w:t>
                        </w:r>
                        <w:r>
                          <w:rPr>
                            <w:rFonts w:ascii="Times New Roman" w:hAnsi="Times New Roman" w:cs="Times New Roman" w:eastAsia="Times New Roman" w:hint="default"/>
                            <w:spacing w:val="-1"/>
                            <w:sz w:val="15"/>
                            <w:szCs w:val="15"/>
                          </w:rPr>
                          <w:t>+</w:t>
                        </w:r>
                        <w:r>
                          <w:rPr>
                            <w:rFonts w:ascii="宋体" w:hAnsi="宋体" w:cs="宋体" w:eastAsia="宋体" w:hint="default"/>
                            <w:spacing w:val="-1"/>
                            <w:sz w:val="15"/>
                            <w:szCs w:val="15"/>
                          </w:rPr>
                          <w:t>的理念，构建线下行业系统</w:t>
                        </w:r>
                        <w:r>
                          <w:rPr>
                            <w:rFonts w:ascii="Times New Roman" w:hAnsi="Times New Roman" w:cs="Times New Roman" w:eastAsia="Times New Roman" w:hint="default"/>
                            <w:spacing w:val="-1"/>
                            <w:sz w:val="15"/>
                            <w:szCs w:val="15"/>
                          </w:rPr>
                          <w:t>+</w:t>
                        </w:r>
                        <w:r>
                          <w:rPr>
                            <w:rFonts w:ascii="宋体" w:hAnsi="宋体" w:cs="宋体" w:eastAsia="宋体" w:hint="default"/>
                            <w:spacing w:val="-1"/>
                            <w:sz w:val="15"/>
                            <w:szCs w:val="15"/>
                          </w:rPr>
                          <w:t>互联网金融支付平台的产品形态，提供线上加线下、有卡加无卡，覆盖校园全</w:t>
                        </w:r>
                        <w:r>
                          <w:rPr>
                            <w:rFonts w:ascii="宋体" w:hAnsi="宋体" w:cs="宋体" w:eastAsia="宋体" w:hint="default"/>
                            <w:spacing w:val="-39"/>
                            <w:sz w:val="15"/>
                            <w:szCs w:val="15"/>
                          </w:rPr>
                          <w:t> </w:t>
                        </w:r>
                        <w:r>
                          <w:rPr>
                            <w:rFonts w:ascii="宋体" w:hAnsi="宋体" w:cs="宋体" w:eastAsia="宋体" w:hint="default"/>
                            <w:spacing w:val="-39"/>
                            <w:sz w:val="15"/>
                            <w:szCs w:val="15"/>
                          </w:rPr>
                        </w:r>
                        <w:r>
                          <w:rPr>
                            <w:rFonts w:ascii="宋体" w:hAnsi="宋体" w:cs="宋体" w:eastAsia="宋体" w:hint="default"/>
                            <w:sz w:val="15"/>
                            <w:szCs w:val="15"/>
                          </w:rPr>
                          <w:t>支付场景的解决方案； </w:t>
                        </w:r>
                        <w:r>
                          <w:rPr>
                            <w:rFonts w:ascii="Times New Roman" w:hAnsi="Times New Roman" w:cs="Times New Roman" w:eastAsia="Times New Roman" w:hint="default"/>
                            <w:spacing w:val="-2"/>
                            <w:sz w:val="15"/>
                            <w:szCs w:val="15"/>
                          </w:rPr>
                          <w:t>3.</w:t>
                        </w:r>
                        <w:r>
                          <w:rPr>
                            <w:rFonts w:ascii="宋体" w:hAnsi="宋体" w:cs="宋体" w:eastAsia="宋体" w:hint="default"/>
                            <w:spacing w:val="-2"/>
                            <w:sz w:val="15"/>
                            <w:szCs w:val="15"/>
                          </w:rPr>
                          <w:t>行业领先的使用扫一扫、二维码的在线消费记录，上传平台产生支付结算凭证，平台再对交易进行计费清算，生成商户</w:t>
                        </w:r>
                        <w:r>
                          <w:rPr>
                            <w:rFonts w:ascii="宋体" w:hAnsi="宋体" w:cs="宋体" w:eastAsia="宋体" w:hint="default"/>
                            <w:spacing w:val="-42"/>
                            <w:sz w:val="15"/>
                            <w:szCs w:val="15"/>
                          </w:rPr>
                          <w:t> </w:t>
                        </w:r>
                        <w:r>
                          <w:rPr>
                            <w:rFonts w:ascii="宋体" w:hAnsi="宋体" w:cs="宋体" w:eastAsia="宋体" w:hint="default"/>
                            <w:spacing w:val="-42"/>
                            <w:sz w:val="15"/>
                            <w:szCs w:val="15"/>
                          </w:rPr>
                        </w:r>
                        <w:r>
                          <w:rPr>
                            <w:rFonts w:ascii="宋体" w:hAnsi="宋体" w:cs="宋体" w:eastAsia="宋体" w:hint="default"/>
                            <w:sz w:val="15"/>
                            <w:szCs w:val="15"/>
                          </w:rPr>
                          <w:t>受理机构的清算金额，完成资金结算和划拨，并提供对账服务。</w:t>
                        </w:r>
                      </w:p>
                    </w:tc>
                  </w:tr>
                  <w:tr>
                    <w:trPr>
                      <w:trHeight w:val="3155" w:hRule="exact"/>
                    </w:trPr>
                    <w:tc>
                      <w:tcPr>
                        <w:tcW w:w="7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left="2" w:right="0"/>
                          <w:jc w:val="center"/>
                          <w:rPr>
                            <w:rFonts w:ascii="Times New Roman" w:hAnsi="Times New Roman" w:cs="Times New Roman" w:eastAsia="Times New Roman" w:hint="default"/>
                            <w:sz w:val="15"/>
                            <w:szCs w:val="15"/>
                          </w:rPr>
                        </w:pPr>
                        <w:r>
                          <w:rPr>
                            <w:rFonts w:ascii="Times New Roman"/>
                            <w:sz w:val="15"/>
                          </w:rPr>
                          <w:t>16</w:t>
                        </w:r>
                      </w:p>
                    </w:tc>
                    <w:tc>
                      <w:tcPr>
                        <w:tcW w:w="18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14"/>
                            <w:szCs w:val="14"/>
                          </w:rPr>
                        </w:pPr>
                      </w:p>
                      <w:p>
                        <w:pPr>
                          <w:pStyle w:val="TableParagraph"/>
                          <w:spacing w:line="381" w:lineRule="auto"/>
                          <w:ind w:left="3" w:right="1"/>
                          <w:jc w:val="left"/>
                          <w:rPr>
                            <w:rFonts w:ascii="宋体" w:hAnsi="宋体" w:cs="宋体" w:eastAsia="宋体" w:hint="default"/>
                            <w:sz w:val="15"/>
                            <w:szCs w:val="15"/>
                          </w:rPr>
                        </w:pPr>
                        <w:r>
                          <w:rPr>
                            <w:rFonts w:ascii="宋体" w:hAnsi="宋体" w:cs="宋体" w:eastAsia="宋体" w:hint="default"/>
                            <w:sz w:val="15"/>
                            <w:szCs w:val="15"/>
                          </w:rPr>
                          <w:t>高校学生行为轨迹研究与开</w:t>
                        </w:r>
                        <w:r>
                          <w:rPr>
                            <w:rFonts w:ascii="宋体" w:hAnsi="宋体" w:cs="宋体" w:eastAsia="宋体" w:hint="default"/>
                            <w:spacing w:val="-56"/>
                            <w:sz w:val="15"/>
                            <w:szCs w:val="15"/>
                          </w:rPr>
                          <w:t> </w:t>
                        </w:r>
                        <w:r>
                          <w:rPr>
                            <w:rFonts w:ascii="宋体" w:hAnsi="宋体" w:cs="宋体" w:eastAsia="宋体" w:hint="default"/>
                            <w:spacing w:val="-56"/>
                            <w:sz w:val="15"/>
                            <w:szCs w:val="15"/>
                          </w:rPr>
                        </w:r>
                        <w:r>
                          <w:rPr>
                            <w:rFonts w:ascii="宋体" w:hAnsi="宋体" w:cs="宋体" w:eastAsia="宋体" w:hint="default"/>
                            <w:sz w:val="15"/>
                            <w:szCs w:val="15"/>
                          </w:rPr>
                          <w:t>发</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2" w:right="0"/>
                          <w:jc w:val="left"/>
                          <w:rPr>
                            <w:rFonts w:ascii="宋体" w:hAnsi="宋体" w:cs="宋体" w:eastAsia="宋体" w:hint="default"/>
                            <w:sz w:val="15"/>
                            <w:szCs w:val="15"/>
                          </w:rPr>
                        </w:pPr>
                        <w:r>
                          <w:rPr>
                            <w:rFonts w:ascii="宋体" w:hAnsi="宋体" w:cs="宋体" w:eastAsia="宋体" w:hint="default"/>
                            <w:sz w:val="15"/>
                            <w:szCs w:val="15"/>
                          </w:rPr>
                          <w:t>智慧校园</w:t>
                        </w:r>
                      </w:p>
                    </w:tc>
                    <w:tc>
                      <w:tcPr>
                        <w:tcW w:w="18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2" w:right="0"/>
                          <w:jc w:val="left"/>
                          <w:rPr>
                            <w:rFonts w:ascii="宋体" w:hAnsi="宋体" w:cs="宋体" w:eastAsia="宋体" w:hint="default"/>
                            <w:sz w:val="15"/>
                            <w:szCs w:val="15"/>
                          </w:rPr>
                        </w:pPr>
                        <w:r>
                          <w:rPr>
                            <w:rFonts w:ascii="宋体" w:hAnsi="宋体" w:cs="宋体" w:eastAsia="宋体" w:hint="default"/>
                            <w:sz w:val="15"/>
                            <w:szCs w:val="15"/>
                          </w:rPr>
                          <w:t>测试阶段</w:t>
                        </w:r>
                      </w:p>
                    </w:tc>
                    <w:tc>
                      <w:tcPr>
                        <w:tcW w:w="12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2" w:right="0"/>
                          <w:jc w:val="left"/>
                          <w:rPr>
                            <w:rFonts w:ascii="Times New Roman" w:hAnsi="Times New Roman" w:cs="Times New Roman" w:eastAsia="Times New Roman" w:hint="default"/>
                            <w:sz w:val="15"/>
                            <w:szCs w:val="15"/>
                          </w:rPr>
                        </w:pPr>
                        <w:r>
                          <w:rPr>
                            <w:rFonts w:ascii="Times New Roman"/>
                            <w:sz w:val="15"/>
                          </w:rPr>
                          <w:t>2018/4/5</w:t>
                        </w: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left="2" w:right="0"/>
                          <w:jc w:val="left"/>
                          <w:rPr>
                            <w:rFonts w:ascii="Times New Roman" w:hAnsi="Times New Roman" w:cs="Times New Roman" w:eastAsia="Times New Roman" w:hint="default"/>
                            <w:sz w:val="15"/>
                            <w:szCs w:val="15"/>
                          </w:rPr>
                        </w:pPr>
                        <w:r>
                          <w:rPr>
                            <w:rFonts w:ascii="Times New Roman"/>
                            <w:sz w:val="15"/>
                          </w:rPr>
                          <w:t>2019/3/31</w:t>
                        </w:r>
                      </w:p>
                    </w:tc>
                    <w:tc>
                      <w:tcPr>
                        <w:tcW w:w="7939" w:type="dxa"/>
                        <w:tcBorders>
                          <w:top w:val="single" w:sz="6" w:space="0" w:color="000000"/>
                          <w:left w:val="single" w:sz="6" w:space="0" w:color="000000"/>
                          <w:bottom w:val="single" w:sz="6" w:space="0" w:color="000000"/>
                          <w:right w:val="single" w:sz="6" w:space="0" w:color="000000"/>
                        </w:tcBorders>
                      </w:tcPr>
                      <w:p>
                        <w:pPr>
                          <w:pStyle w:val="TableParagraph"/>
                          <w:spacing w:line="381" w:lineRule="auto" w:before="44"/>
                          <w:ind w:left="3" w:right="1"/>
                          <w:jc w:val="left"/>
                          <w:rPr>
                            <w:rFonts w:ascii="宋体" w:hAnsi="宋体" w:cs="宋体" w:eastAsia="宋体" w:hint="default"/>
                            <w:sz w:val="15"/>
                            <w:szCs w:val="15"/>
                          </w:rPr>
                        </w:pPr>
                        <w:r>
                          <w:rPr>
                            <w:rFonts w:ascii="宋体" w:hAnsi="宋体" w:cs="宋体" w:eastAsia="宋体" w:hint="default"/>
                            <w:spacing w:val="-1"/>
                            <w:sz w:val="15"/>
                            <w:szCs w:val="15"/>
                          </w:rPr>
                          <w:t>高校学生行为轨迹研究项目是针对在校生学生所有行为产生的日志记录进行挖掘分析的一款数据决策产品。此项目主要有</w:t>
                        </w:r>
                        <w:r>
                          <w:rPr>
                            <w:rFonts w:ascii="宋体" w:hAnsi="宋体" w:cs="宋体" w:eastAsia="宋体" w:hint="default"/>
                            <w:spacing w:val="-55"/>
                            <w:sz w:val="15"/>
                            <w:szCs w:val="15"/>
                          </w:rPr>
                          <w:t> </w:t>
                        </w:r>
                        <w:r>
                          <w:rPr>
                            <w:rFonts w:ascii="宋体" w:hAnsi="宋体" w:cs="宋体" w:eastAsia="宋体" w:hint="default"/>
                            <w:spacing w:val="-55"/>
                            <w:sz w:val="15"/>
                            <w:szCs w:val="15"/>
                          </w:rPr>
                        </w:r>
                        <w:r>
                          <w:rPr>
                            <w:rFonts w:ascii="宋体" w:hAnsi="宋体" w:cs="宋体" w:eastAsia="宋体" w:hint="default"/>
                            <w:sz w:val="15"/>
                            <w:szCs w:val="15"/>
                          </w:rPr>
                          <w:t>如下几个技术特征：</w:t>
                        </w:r>
                      </w:p>
                      <w:p>
                        <w:pPr>
                          <w:pStyle w:val="TableParagraph"/>
                          <w:spacing w:line="240" w:lineRule="auto" w:before="27"/>
                          <w:ind w:left="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教育行业首次以全覆盖行为日志记录进行综合挖掘分析；</w:t>
                        </w:r>
                      </w:p>
                      <w:p>
                        <w:pPr>
                          <w:pStyle w:val="TableParagraph"/>
                          <w:spacing w:line="240" w:lineRule="auto" w:before="104"/>
                          <w:ind w:left="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教育行业首次采用机器学习算法真正落地的一款基于人工智能技术产品；</w:t>
                        </w:r>
                      </w:p>
                      <w:p>
                        <w:pPr>
                          <w:pStyle w:val="TableParagraph"/>
                          <w:spacing w:line="240" w:lineRule="auto" w:before="104"/>
                          <w:ind w:left="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产品架构首次采用成熟的模型</w:t>
                        </w:r>
                        <w:r>
                          <w:rPr>
                            <w:rFonts w:ascii="Times New Roman" w:hAnsi="Times New Roman" w:cs="Times New Roman" w:eastAsia="Times New Roman" w:hint="default"/>
                            <w:sz w:val="15"/>
                            <w:szCs w:val="15"/>
                          </w:rPr>
                          <w:t>+BI+</w:t>
                        </w:r>
                        <w:r>
                          <w:rPr>
                            <w:rFonts w:ascii="宋体" w:hAnsi="宋体" w:cs="宋体" w:eastAsia="宋体" w:hint="default"/>
                            <w:sz w:val="15"/>
                            <w:szCs w:val="15"/>
                          </w:rPr>
                          <w:t>平台的方式，让开发人员更多的精力用在模型上；</w:t>
                        </w:r>
                      </w:p>
                      <w:p>
                        <w:pPr>
                          <w:pStyle w:val="TableParagraph"/>
                          <w:spacing w:line="372" w:lineRule="auto" w:before="104"/>
                          <w:ind w:left="3" w:right="1431"/>
                          <w:jc w:val="left"/>
                          <w:rPr>
                            <w:rFonts w:ascii="宋体" w:hAnsi="宋体" w:cs="宋体" w:eastAsia="宋体" w:hint="default"/>
                            <w:sz w:val="15"/>
                            <w:szCs w:val="15"/>
                          </w:rPr>
                        </w:pPr>
                        <w:r>
                          <w:rPr>
                            <w:rFonts w:ascii="Times New Roman" w:hAnsi="Times New Roman" w:cs="Times New Roman" w:eastAsia="Times New Roman" w:hint="default"/>
                            <w:sz w:val="15"/>
                            <w:szCs w:val="15"/>
                          </w:rPr>
                          <w:t>4.</w:t>
                        </w:r>
                        <w:r>
                          <w:rPr>
                            <w:rFonts w:ascii="宋体" w:hAnsi="宋体" w:cs="宋体" w:eastAsia="宋体" w:hint="default"/>
                            <w:sz w:val="15"/>
                            <w:szCs w:val="15"/>
                          </w:rPr>
                          <w:t>产品中第一次包含了离线计算和实时计算，根据不同的场景采用不同的计算模式。 另外，此项目还有几个产品特点： </w:t>
                        </w:r>
                        <w:r>
                          <w:rPr>
                            <w:rFonts w:ascii="Times New Roman" w:hAnsi="Times New Roman" w:cs="Times New Roman" w:eastAsia="Times New Roman" w:hint="default"/>
                            <w:sz w:val="15"/>
                            <w:szCs w:val="15"/>
                          </w:rPr>
                          <w:t>1.</w:t>
                        </w:r>
                        <w:r>
                          <w:rPr>
                            <w:rFonts w:ascii="宋体" w:hAnsi="宋体" w:cs="宋体" w:eastAsia="宋体" w:hint="default"/>
                            <w:sz w:val="15"/>
                            <w:szCs w:val="15"/>
                          </w:rPr>
                          <w:t>产品细节设计达到极致，菜单不超过</w:t>
                        </w:r>
                        <w:r>
                          <w:rPr>
                            <w:rFonts w:ascii="Times New Roman" w:hAnsi="Times New Roman" w:cs="Times New Roman" w:eastAsia="Times New Roman" w:hint="default"/>
                            <w:sz w:val="15"/>
                            <w:szCs w:val="15"/>
                          </w:rPr>
                          <w:t>2</w:t>
                        </w:r>
                        <w:r>
                          <w:rPr>
                            <w:rFonts w:ascii="宋体" w:hAnsi="宋体" w:cs="宋体" w:eastAsia="宋体" w:hint="default"/>
                            <w:sz w:val="15"/>
                            <w:szCs w:val="15"/>
                          </w:rPr>
                          <w:t>级，每个图表右上角都提供帮助等，用户免培训即可使用；</w:t>
                        </w:r>
                      </w:p>
                      <w:p>
                        <w:pPr>
                          <w:pStyle w:val="TableParagraph"/>
                          <w:spacing w:line="240" w:lineRule="auto" w:before="13"/>
                          <w:ind w:left="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、产品实施周期短、效果体现快；</w:t>
                        </w:r>
                      </w:p>
                      <w:p>
                        <w:pPr>
                          <w:pStyle w:val="TableParagraph"/>
                          <w:spacing w:line="240" w:lineRule="auto" w:before="104"/>
                          <w:ind w:left="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、实现</w:t>
                        </w:r>
                        <w:r>
                          <w:rPr>
                            <w:rFonts w:ascii="Times New Roman" w:hAnsi="Times New Roman" w:cs="Times New Roman" w:eastAsia="Times New Roman" w:hint="default"/>
                            <w:sz w:val="15"/>
                            <w:szCs w:val="15"/>
                          </w:rPr>
                          <w:t>360°</w:t>
                        </w:r>
                        <w:r>
                          <w:rPr>
                            <w:rFonts w:ascii="宋体" w:hAnsi="宋体" w:cs="宋体" w:eastAsia="宋体" w:hint="default"/>
                            <w:sz w:val="15"/>
                            <w:szCs w:val="15"/>
                          </w:rPr>
                          <w:t>无死角辅助学校管理。</w:t>
                        </w:r>
                      </w:p>
                    </w:tc>
                  </w:tr>
                  <w:tr>
                    <w:trPr>
                      <w:trHeight w:val="2220" w:hRule="exact"/>
                    </w:trPr>
                    <w:tc>
                      <w:tcPr>
                        <w:tcW w:w="7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8"/>
                          <w:ind w:left="2" w:right="0"/>
                          <w:jc w:val="center"/>
                          <w:rPr>
                            <w:rFonts w:ascii="Times New Roman" w:hAnsi="Times New Roman" w:cs="Times New Roman" w:eastAsia="Times New Roman" w:hint="default"/>
                            <w:sz w:val="15"/>
                            <w:szCs w:val="15"/>
                          </w:rPr>
                        </w:pPr>
                        <w:r>
                          <w:rPr>
                            <w:rFonts w:ascii="Times New Roman"/>
                            <w:sz w:val="15"/>
                          </w:rPr>
                          <w:t>17</w:t>
                        </w:r>
                      </w:p>
                    </w:tc>
                    <w:tc>
                      <w:tcPr>
                        <w:tcW w:w="18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3"/>
                          <w:ind w:right="0"/>
                          <w:jc w:val="left"/>
                          <w:rPr>
                            <w:rFonts w:ascii="宋体" w:hAnsi="宋体" w:cs="宋体" w:eastAsia="宋体" w:hint="default"/>
                            <w:sz w:val="20"/>
                            <w:szCs w:val="20"/>
                          </w:rPr>
                        </w:pPr>
                      </w:p>
                      <w:p>
                        <w:pPr>
                          <w:pStyle w:val="TableParagraph"/>
                          <w:spacing w:line="381" w:lineRule="auto"/>
                          <w:ind w:left="3" w:right="1"/>
                          <w:jc w:val="left"/>
                          <w:rPr>
                            <w:rFonts w:ascii="宋体" w:hAnsi="宋体" w:cs="宋体" w:eastAsia="宋体" w:hint="default"/>
                            <w:sz w:val="15"/>
                            <w:szCs w:val="15"/>
                          </w:rPr>
                        </w:pPr>
                        <w:r>
                          <w:rPr>
                            <w:rFonts w:ascii="宋体" w:hAnsi="宋体" w:cs="宋体" w:eastAsia="宋体" w:hint="default"/>
                            <w:sz w:val="15"/>
                            <w:szCs w:val="15"/>
                          </w:rPr>
                          <w:t>基于智能操作系统的聚合支</w:t>
                        </w:r>
                        <w:r>
                          <w:rPr>
                            <w:rFonts w:ascii="宋体" w:hAnsi="宋体" w:cs="宋体" w:eastAsia="宋体" w:hint="default"/>
                            <w:spacing w:val="-56"/>
                            <w:sz w:val="15"/>
                            <w:szCs w:val="15"/>
                          </w:rPr>
                          <w:t> </w:t>
                        </w:r>
                        <w:r>
                          <w:rPr>
                            <w:rFonts w:ascii="宋体" w:hAnsi="宋体" w:cs="宋体" w:eastAsia="宋体" w:hint="default"/>
                            <w:spacing w:val="-56"/>
                            <w:sz w:val="15"/>
                            <w:szCs w:val="15"/>
                          </w:rPr>
                        </w:r>
                        <w:r>
                          <w:rPr>
                            <w:rFonts w:ascii="宋体" w:hAnsi="宋体" w:cs="宋体" w:eastAsia="宋体" w:hint="default"/>
                            <w:sz w:val="15"/>
                            <w:szCs w:val="15"/>
                          </w:rPr>
                          <w:t>付终端</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 w:right="0"/>
                          <w:jc w:val="left"/>
                          <w:rPr>
                            <w:rFonts w:ascii="宋体" w:hAnsi="宋体" w:cs="宋体" w:eastAsia="宋体" w:hint="default"/>
                            <w:sz w:val="15"/>
                            <w:szCs w:val="15"/>
                          </w:rPr>
                        </w:pPr>
                        <w:r>
                          <w:rPr>
                            <w:rFonts w:ascii="宋体" w:hAnsi="宋体" w:cs="宋体" w:eastAsia="宋体" w:hint="default"/>
                            <w:sz w:val="15"/>
                            <w:szCs w:val="15"/>
                          </w:rPr>
                          <w:t>电子支付</w:t>
                        </w:r>
                      </w:p>
                    </w:tc>
                    <w:tc>
                      <w:tcPr>
                        <w:tcW w:w="18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 w:right="0"/>
                          <w:jc w:val="left"/>
                          <w:rPr>
                            <w:rFonts w:ascii="宋体" w:hAnsi="宋体" w:cs="宋体" w:eastAsia="宋体" w:hint="default"/>
                            <w:sz w:val="15"/>
                            <w:szCs w:val="15"/>
                          </w:rPr>
                        </w:pPr>
                        <w:r>
                          <w:rPr>
                            <w:rFonts w:ascii="宋体" w:hAnsi="宋体" w:cs="宋体" w:eastAsia="宋体" w:hint="default"/>
                            <w:sz w:val="15"/>
                            <w:szCs w:val="15"/>
                          </w:rPr>
                          <w:t>测试阶段</w:t>
                        </w:r>
                      </w:p>
                    </w:tc>
                    <w:tc>
                      <w:tcPr>
                        <w:tcW w:w="12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5"/>
                          <w:ind w:left="2" w:right="0"/>
                          <w:jc w:val="left"/>
                          <w:rPr>
                            <w:rFonts w:ascii="Times New Roman" w:hAnsi="Times New Roman" w:cs="Times New Roman" w:eastAsia="Times New Roman" w:hint="default"/>
                            <w:sz w:val="15"/>
                            <w:szCs w:val="15"/>
                          </w:rPr>
                        </w:pPr>
                        <w:r>
                          <w:rPr>
                            <w:rFonts w:ascii="Times New Roman"/>
                            <w:sz w:val="15"/>
                          </w:rPr>
                          <w:t>2018/4/1</w:t>
                        </w: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left="2" w:right="0"/>
                          <w:jc w:val="left"/>
                          <w:rPr>
                            <w:rFonts w:ascii="Times New Roman" w:hAnsi="Times New Roman" w:cs="Times New Roman" w:eastAsia="Times New Roman" w:hint="default"/>
                            <w:sz w:val="15"/>
                            <w:szCs w:val="15"/>
                          </w:rPr>
                        </w:pPr>
                        <w:r>
                          <w:rPr>
                            <w:rFonts w:ascii="Times New Roman"/>
                            <w:sz w:val="15"/>
                          </w:rPr>
                          <w:t>2019/3/10</w:t>
                        </w:r>
                      </w:p>
                    </w:tc>
                    <w:tc>
                      <w:tcPr>
                        <w:tcW w:w="7939" w:type="dxa"/>
                        <w:tcBorders>
                          <w:top w:val="single" w:sz="6" w:space="0" w:color="000000"/>
                          <w:left w:val="single" w:sz="6" w:space="0" w:color="000000"/>
                          <w:bottom w:val="single" w:sz="6" w:space="0" w:color="000000"/>
                          <w:right w:val="single" w:sz="6" w:space="0" w:color="000000"/>
                        </w:tcBorders>
                      </w:tcPr>
                      <w:p>
                        <w:pPr>
                          <w:pStyle w:val="TableParagraph"/>
                          <w:spacing w:line="360" w:lineRule="auto" w:before="44"/>
                          <w:ind w:left="3" w:right="0"/>
                          <w:jc w:val="left"/>
                          <w:rPr>
                            <w:rFonts w:ascii="宋体" w:hAnsi="宋体" w:cs="宋体" w:eastAsia="宋体" w:hint="default"/>
                            <w:sz w:val="15"/>
                            <w:szCs w:val="15"/>
                          </w:rPr>
                        </w:pPr>
                        <w:r>
                          <w:rPr>
                            <w:rFonts w:ascii="Times New Roman" w:hAnsi="Times New Roman" w:cs="Times New Roman" w:eastAsia="Times New Roman" w:hint="default"/>
                            <w:spacing w:val="-2"/>
                            <w:sz w:val="15"/>
                            <w:szCs w:val="15"/>
                          </w:rPr>
                          <w:t>1</w:t>
                        </w:r>
                        <w:r>
                          <w:rPr>
                            <w:rFonts w:ascii="宋体" w:hAnsi="宋体" w:cs="宋体" w:eastAsia="宋体" w:hint="default"/>
                            <w:spacing w:val="-2"/>
                            <w:sz w:val="15"/>
                            <w:szCs w:val="15"/>
                          </w:rPr>
                          <w:t>、智能</w:t>
                        </w:r>
                        <w:r>
                          <w:rPr>
                            <w:rFonts w:ascii="Times New Roman" w:hAnsi="Times New Roman" w:cs="Times New Roman" w:eastAsia="Times New Roman" w:hint="default"/>
                            <w:spacing w:val="-2"/>
                            <w:sz w:val="15"/>
                            <w:szCs w:val="15"/>
                          </w:rPr>
                          <w:t>POS</w:t>
                        </w:r>
                        <w:r>
                          <w:rPr>
                            <w:rFonts w:ascii="宋体" w:hAnsi="宋体" w:cs="宋体" w:eastAsia="宋体" w:hint="default"/>
                            <w:spacing w:val="-2"/>
                            <w:sz w:val="15"/>
                            <w:szCs w:val="15"/>
                          </w:rPr>
                          <w:t>领域首家基于</w:t>
                        </w:r>
                        <w:r>
                          <w:rPr>
                            <w:rFonts w:ascii="Times New Roman" w:hAnsi="Times New Roman" w:cs="Times New Roman" w:eastAsia="Times New Roman" w:hint="default"/>
                            <w:spacing w:val="-2"/>
                            <w:sz w:val="15"/>
                            <w:szCs w:val="15"/>
                          </w:rPr>
                          <w:t>Android</w:t>
                        </w:r>
                        <w:r>
                          <w:rPr>
                            <w:rFonts w:ascii="宋体" w:hAnsi="宋体" w:cs="宋体" w:eastAsia="宋体" w:hint="default"/>
                            <w:spacing w:val="-2"/>
                            <w:sz w:val="15"/>
                            <w:szCs w:val="15"/>
                          </w:rPr>
                          <w:t>操作系统深度定制产品。针对</w:t>
                        </w:r>
                        <w:r>
                          <w:rPr>
                            <w:rFonts w:ascii="Times New Roman" w:hAnsi="Times New Roman" w:cs="Times New Roman" w:eastAsia="Times New Roman" w:hint="default"/>
                            <w:spacing w:val="-2"/>
                            <w:sz w:val="15"/>
                            <w:szCs w:val="15"/>
                          </w:rPr>
                          <w:t>NFC</w:t>
                        </w:r>
                        <w:r>
                          <w:rPr>
                            <w:rFonts w:ascii="宋体" w:hAnsi="宋体" w:cs="宋体" w:eastAsia="宋体" w:hint="default"/>
                            <w:spacing w:val="-2"/>
                            <w:sz w:val="15"/>
                            <w:szCs w:val="15"/>
                          </w:rPr>
                          <w:t>、接触式</w:t>
                        </w:r>
                        <w:r>
                          <w:rPr>
                            <w:rFonts w:ascii="Times New Roman" w:hAnsi="Times New Roman" w:cs="Times New Roman" w:eastAsia="Times New Roman" w:hint="default"/>
                            <w:spacing w:val="-2"/>
                            <w:sz w:val="15"/>
                            <w:szCs w:val="15"/>
                          </w:rPr>
                          <w:t>IC</w:t>
                        </w:r>
                        <w:r>
                          <w:rPr>
                            <w:rFonts w:ascii="宋体" w:hAnsi="宋体" w:cs="宋体" w:eastAsia="宋体" w:hint="default"/>
                            <w:spacing w:val="-2"/>
                            <w:sz w:val="15"/>
                            <w:szCs w:val="15"/>
                          </w:rPr>
                          <w:t>、摄像头等</w:t>
                        </w:r>
                        <w:r>
                          <w:rPr>
                            <w:rFonts w:ascii="Times New Roman" w:hAnsi="Times New Roman" w:cs="Times New Roman" w:eastAsia="Times New Roman" w:hint="default"/>
                            <w:spacing w:val="-2"/>
                            <w:sz w:val="15"/>
                            <w:szCs w:val="15"/>
                          </w:rPr>
                          <w:t>API</w:t>
                        </w:r>
                        <w:r>
                          <w:rPr>
                            <w:rFonts w:ascii="宋体" w:hAnsi="宋体" w:cs="宋体" w:eastAsia="宋体" w:hint="default"/>
                            <w:spacing w:val="-2"/>
                            <w:sz w:val="15"/>
                            <w:szCs w:val="15"/>
                          </w:rPr>
                          <w:t>进行开发，封装了基于国际</w:t>
                        </w:r>
                        <w:r>
                          <w:rPr>
                            <w:rFonts w:ascii="宋体" w:hAnsi="宋体" w:cs="宋体" w:eastAsia="宋体" w:hint="default"/>
                            <w:spacing w:val="-28"/>
                            <w:sz w:val="15"/>
                            <w:szCs w:val="15"/>
                          </w:rPr>
                          <w:t> </w:t>
                        </w:r>
                        <w:r>
                          <w:rPr>
                            <w:rFonts w:ascii="宋体" w:hAnsi="宋体" w:cs="宋体" w:eastAsia="宋体" w:hint="default"/>
                            <w:spacing w:val="-28"/>
                            <w:sz w:val="15"/>
                            <w:szCs w:val="15"/>
                          </w:rPr>
                        </w:r>
                        <w:r>
                          <w:rPr>
                            <w:rFonts w:ascii="宋体" w:hAnsi="宋体" w:cs="宋体" w:eastAsia="宋体" w:hint="default"/>
                            <w:sz w:val="15"/>
                            <w:szCs w:val="15"/>
                          </w:rPr>
                          <w:t>标准</w:t>
                        </w:r>
                        <w:r>
                          <w:rPr>
                            <w:rFonts w:ascii="Times New Roman" w:hAnsi="Times New Roman" w:cs="Times New Roman" w:eastAsia="Times New Roman" w:hint="default"/>
                            <w:sz w:val="15"/>
                            <w:szCs w:val="15"/>
                          </w:rPr>
                          <w:t>ISO14443</w:t>
                        </w:r>
                        <w:r>
                          <w:rPr>
                            <w:rFonts w:ascii="宋体" w:hAnsi="宋体" w:cs="宋体" w:eastAsia="宋体" w:hint="default"/>
                            <w:sz w:val="15"/>
                            <w:szCs w:val="15"/>
                          </w:rPr>
                          <w:t>和</w:t>
                        </w:r>
                        <w:r>
                          <w:rPr>
                            <w:rFonts w:ascii="Times New Roman" w:hAnsi="Times New Roman" w:cs="Times New Roman" w:eastAsia="Times New Roman" w:hint="default"/>
                            <w:sz w:val="15"/>
                            <w:szCs w:val="15"/>
                          </w:rPr>
                          <w:t>ISO7816</w:t>
                        </w:r>
                        <w:r>
                          <w:rPr>
                            <w:rFonts w:ascii="宋体" w:hAnsi="宋体" w:cs="宋体" w:eastAsia="宋体" w:hint="default"/>
                            <w:sz w:val="15"/>
                            <w:szCs w:val="15"/>
                          </w:rPr>
                          <w:t>的库文件，实现接触卡、非接触卡、二维码识别、人脸识别的功能；</w:t>
                        </w:r>
                        <w:r>
                          <w:rPr>
                            <w:rFonts w:ascii="宋体" w:hAnsi="宋体" w:cs="宋体" w:eastAsia="宋体" w:hint="default"/>
                            <w:w w:val="99"/>
                            <w:sz w:val="15"/>
                            <w:szCs w:val="15"/>
                          </w:rPr>
                          <w:t> </w:t>
                        </w:r>
                        <w:r>
                          <w:rPr>
                            <w:rFonts w:ascii="Times New Roman" w:hAnsi="Times New Roman" w:cs="Times New Roman" w:eastAsia="Times New Roman" w:hint="default"/>
                            <w:sz w:val="15"/>
                            <w:szCs w:val="15"/>
                          </w:rPr>
                          <w:t>2</w:t>
                        </w:r>
                        <w:r>
                          <w:rPr>
                            <w:rFonts w:ascii="宋体" w:hAnsi="宋体" w:cs="宋体" w:eastAsia="宋体" w:hint="default"/>
                            <w:sz w:val="15"/>
                            <w:szCs w:val="15"/>
                          </w:rPr>
                          <w:t>、采用行业领先的分布签名验证和拆机自毁机制，防止非法侵入及盗窃数据，确保支付安全；</w:t>
                        </w:r>
                      </w:p>
                      <w:p>
                        <w:pPr>
                          <w:pStyle w:val="TableParagraph"/>
                          <w:spacing w:line="240" w:lineRule="auto" w:before="21"/>
                          <w:ind w:left="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、具有核心知识产权二维码</w:t>
                        </w:r>
                        <w:r>
                          <w:rPr>
                            <w:rFonts w:ascii="Times New Roman" w:hAnsi="Times New Roman" w:cs="Times New Roman" w:eastAsia="Times New Roman" w:hint="default"/>
                            <w:sz w:val="15"/>
                            <w:szCs w:val="15"/>
                          </w:rPr>
                          <w:t>/</w:t>
                        </w:r>
                        <w:r>
                          <w:rPr>
                            <w:rFonts w:ascii="宋体" w:hAnsi="宋体" w:cs="宋体" w:eastAsia="宋体" w:hint="default"/>
                            <w:sz w:val="15"/>
                            <w:szCs w:val="15"/>
                          </w:rPr>
                          <w:t>条码扫描和识别算法，保证对二维码快速准确识别；</w:t>
                        </w:r>
                      </w:p>
                      <w:p>
                        <w:pPr>
                          <w:pStyle w:val="TableParagraph"/>
                          <w:spacing w:line="240" w:lineRule="auto" w:before="104"/>
                          <w:ind w:left="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4</w:t>
                        </w:r>
                        <w:r>
                          <w:rPr>
                            <w:rFonts w:ascii="宋体" w:hAnsi="宋体" w:cs="宋体" w:eastAsia="宋体" w:hint="default"/>
                            <w:sz w:val="15"/>
                            <w:szCs w:val="15"/>
                          </w:rPr>
                          <w:t>、通过终端管理系统和物联网平台，首次实现联网</w:t>
                        </w:r>
                        <w:r>
                          <w:rPr>
                            <w:rFonts w:ascii="Times New Roman" w:hAnsi="Times New Roman" w:cs="Times New Roman" w:eastAsia="Times New Roman" w:hint="default"/>
                            <w:sz w:val="15"/>
                            <w:szCs w:val="15"/>
                          </w:rPr>
                          <w:t>POS</w:t>
                        </w:r>
                        <w:r>
                          <w:rPr>
                            <w:rFonts w:ascii="宋体" w:hAnsi="宋体" w:cs="宋体" w:eastAsia="宋体" w:hint="default"/>
                            <w:sz w:val="15"/>
                            <w:szCs w:val="15"/>
                          </w:rPr>
                          <w:t>的固件升级、应用升级、换机移机等智能操作；</w:t>
                        </w:r>
                      </w:p>
                      <w:p>
                        <w:pPr>
                          <w:pStyle w:val="TableParagraph"/>
                          <w:spacing w:line="240" w:lineRule="auto" w:before="104"/>
                          <w:ind w:left="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5</w:t>
                        </w:r>
                        <w:r>
                          <w:rPr>
                            <w:rFonts w:ascii="宋体" w:hAnsi="宋体" w:cs="宋体" w:eastAsia="宋体" w:hint="default"/>
                            <w:sz w:val="15"/>
                            <w:szCs w:val="15"/>
                          </w:rPr>
                          <w:t>、标准开放式开发平台，提供</w:t>
                        </w:r>
                        <w:r>
                          <w:rPr>
                            <w:rFonts w:ascii="Times New Roman" w:hAnsi="Times New Roman" w:cs="Times New Roman" w:eastAsia="Times New Roman" w:hint="default"/>
                            <w:sz w:val="15"/>
                            <w:szCs w:val="15"/>
                          </w:rPr>
                          <w:t>SDK</w:t>
                        </w:r>
                        <w:r>
                          <w:rPr>
                            <w:rFonts w:ascii="宋体" w:hAnsi="宋体" w:cs="宋体" w:eastAsia="宋体" w:hint="default"/>
                            <w:sz w:val="15"/>
                            <w:szCs w:val="15"/>
                          </w:rPr>
                          <w:t>包、</w:t>
                        </w:r>
                        <w:r>
                          <w:rPr>
                            <w:rFonts w:ascii="Times New Roman" w:hAnsi="Times New Roman" w:cs="Times New Roman" w:eastAsia="Times New Roman" w:hint="default"/>
                            <w:sz w:val="15"/>
                            <w:szCs w:val="15"/>
                          </w:rPr>
                          <w:t>API</w:t>
                        </w:r>
                        <w:r>
                          <w:rPr>
                            <w:rFonts w:ascii="宋体" w:hAnsi="宋体" w:cs="宋体" w:eastAsia="宋体" w:hint="default"/>
                            <w:sz w:val="15"/>
                            <w:szCs w:val="15"/>
                          </w:rPr>
                          <w:t>接口及开发工具供第三方集成开发使用，解决用户开发的技术难题；</w:t>
                        </w:r>
                      </w:p>
                      <w:p>
                        <w:pPr>
                          <w:pStyle w:val="TableParagraph"/>
                          <w:spacing w:line="240" w:lineRule="auto" w:before="104"/>
                          <w:ind w:left="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6</w:t>
                        </w:r>
                        <w:r>
                          <w:rPr>
                            <w:rFonts w:ascii="宋体" w:hAnsi="宋体" w:cs="宋体" w:eastAsia="宋体" w:hint="default"/>
                            <w:sz w:val="15"/>
                            <w:szCs w:val="15"/>
                          </w:rPr>
                          <w:t>、国内首家实现银行卡非接</w:t>
                        </w:r>
                        <w:r>
                          <w:rPr>
                            <w:rFonts w:ascii="Times New Roman" w:hAnsi="Times New Roman" w:cs="Times New Roman" w:eastAsia="Times New Roman" w:hint="default"/>
                            <w:sz w:val="15"/>
                            <w:szCs w:val="15"/>
                          </w:rPr>
                          <w:t>/ODA/</w:t>
                        </w:r>
                        <w:r>
                          <w:rPr>
                            <w:rFonts w:ascii="宋体" w:hAnsi="宋体" w:cs="宋体" w:eastAsia="宋体" w:hint="default"/>
                            <w:sz w:val="15"/>
                            <w:szCs w:val="15"/>
                          </w:rPr>
                          <w:t>小额免密支付、微信</w:t>
                        </w:r>
                        <w:r>
                          <w:rPr>
                            <w:rFonts w:ascii="Times New Roman" w:hAnsi="Times New Roman" w:cs="Times New Roman" w:eastAsia="Times New Roman" w:hint="default"/>
                            <w:sz w:val="15"/>
                            <w:szCs w:val="15"/>
                          </w:rPr>
                          <w:t>/</w:t>
                        </w:r>
                        <w:r>
                          <w:rPr>
                            <w:rFonts w:ascii="宋体" w:hAnsi="宋体" w:cs="宋体" w:eastAsia="宋体" w:hint="default"/>
                            <w:sz w:val="15"/>
                            <w:szCs w:val="15"/>
                          </w:rPr>
                          <w:t>支付宝支付等为一体的聚合支付</w:t>
                        </w:r>
                        <w:r>
                          <w:rPr>
                            <w:rFonts w:ascii="Times New Roman" w:hAnsi="Times New Roman" w:cs="Times New Roman" w:eastAsia="Times New Roman" w:hint="default"/>
                            <w:sz w:val="15"/>
                            <w:szCs w:val="15"/>
                          </w:rPr>
                          <w:t>POS</w:t>
                        </w:r>
                        <w:r>
                          <w:rPr>
                            <w:rFonts w:ascii="宋体" w:hAnsi="宋体" w:cs="宋体" w:eastAsia="宋体" w:hint="default"/>
                            <w:sz w:val="15"/>
                            <w:szCs w:val="15"/>
                          </w:rPr>
                          <w:t>。</w:t>
                        </w:r>
                      </w:p>
                    </w:tc>
                  </w:tr>
                  <w:tr>
                    <w:trPr>
                      <w:trHeight w:val="1595" w:hRule="exact"/>
                    </w:trPr>
                    <w:tc>
                      <w:tcPr>
                        <w:tcW w:w="7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8"/>
                          <w:ind w:right="0"/>
                          <w:jc w:val="left"/>
                          <w:rPr>
                            <w:rFonts w:ascii="宋体" w:hAnsi="宋体" w:cs="宋体" w:eastAsia="宋体" w:hint="default"/>
                            <w:sz w:val="11"/>
                            <w:szCs w:val="11"/>
                          </w:rPr>
                        </w:pPr>
                      </w:p>
                      <w:p>
                        <w:pPr>
                          <w:pStyle w:val="TableParagraph"/>
                          <w:spacing w:line="240" w:lineRule="auto"/>
                          <w:ind w:left="2" w:right="0"/>
                          <w:jc w:val="center"/>
                          <w:rPr>
                            <w:rFonts w:ascii="Times New Roman" w:hAnsi="Times New Roman" w:cs="Times New Roman" w:eastAsia="Times New Roman" w:hint="default"/>
                            <w:sz w:val="15"/>
                            <w:szCs w:val="15"/>
                          </w:rPr>
                        </w:pPr>
                        <w:r>
                          <w:rPr>
                            <w:rFonts w:ascii="Times New Roman"/>
                            <w:sz w:val="15"/>
                          </w:rPr>
                          <w:t>18</w:t>
                        </w:r>
                      </w:p>
                    </w:tc>
                    <w:tc>
                      <w:tcPr>
                        <w:tcW w:w="18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7"/>
                          <w:ind w:left="3" w:right="0"/>
                          <w:jc w:val="left"/>
                          <w:rPr>
                            <w:rFonts w:ascii="宋体" w:hAnsi="宋体" w:cs="宋体" w:eastAsia="宋体" w:hint="default"/>
                            <w:sz w:val="15"/>
                            <w:szCs w:val="15"/>
                          </w:rPr>
                        </w:pPr>
                        <w:r>
                          <w:rPr>
                            <w:rFonts w:ascii="宋体" w:hAnsi="宋体" w:cs="宋体" w:eastAsia="宋体" w:hint="default"/>
                            <w:sz w:val="15"/>
                            <w:szCs w:val="15"/>
                          </w:rPr>
                          <w:t>河长制云平台</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7"/>
                          <w:ind w:left="2" w:right="0"/>
                          <w:jc w:val="left"/>
                          <w:rPr>
                            <w:rFonts w:ascii="宋体" w:hAnsi="宋体" w:cs="宋体" w:eastAsia="宋体" w:hint="default"/>
                            <w:sz w:val="15"/>
                            <w:szCs w:val="15"/>
                          </w:rPr>
                        </w:pPr>
                        <w:r>
                          <w:rPr>
                            <w:rFonts w:ascii="宋体" w:hAnsi="宋体" w:cs="宋体" w:eastAsia="宋体" w:hint="default"/>
                            <w:sz w:val="15"/>
                            <w:szCs w:val="15"/>
                          </w:rPr>
                          <w:t>智慧水利</w:t>
                        </w:r>
                      </w:p>
                    </w:tc>
                    <w:tc>
                      <w:tcPr>
                        <w:tcW w:w="18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7"/>
                          <w:ind w:left="2" w:right="0"/>
                          <w:jc w:val="left"/>
                          <w:rPr>
                            <w:rFonts w:ascii="宋体" w:hAnsi="宋体" w:cs="宋体" w:eastAsia="宋体" w:hint="default"/>
                            <w:sz w:val="15"/>
                            <w:szCs w:val="15"/>
                          </w:rPr>
                        </w:pPr>
                        <w:r>
                          <w:rPr>
                            <w:rFonts w:ascii="宋体" w:hAnsi="宋体" w:cs="宋体" w:eastAsia="宋体" w:hint="default"/>
                            <w:sz w:val="15"/>
                            <w:szCs w:val="15"/>
                          </w:rPr>
                          <w:t>开发阶段</w:t>
                        </w:r>
                      </w:p>
                    </w:tc>
                    <w:tc>
                      <w:tcPr>
                        <w:tcW w:w="12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left="2" w:right="0"/>
                          <w:jc w:val="left"/>
                          <w:rPr>
                            <w:rFonts w:ascii="Times New Roman" w:hAnsi="Times New Roman" w:cs="Times New Roman" w:eastAsia="Times New Roman" w:hint="default"/>
                            <w:sz w:val="15"/>
                            <w:szCs w:val="15"/>
                          </w:rPr>
                        </w:pPr>
                        <w:r>
                          <w:rPr>
                            <w:rFonts w:ascii="Times New Roman"/>
                            <w:sz w:val="15"/>
                          </w:rPr>
                          <w:t>2018/5/1</w:t>
                        </w: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left="2" w:right="0"/>
                          <w:jc w:val="left"/>
                          <w:rPr>
                            <w:rFonts w:ascii="Times New Roman" w:hAnsi="Times New Roman" w:cs="Times New Roman" w:eastAsia="Times New Roman" w:hint="default"/>
                            <w:sz w:val="15"/>
                            <w:szCs w:val="15"/>
                          </w:rPr>
                        </w:pPr>
                        <w:r>
                          <w:rPr>
                            <w:rFonts w:ascii="Times New Roman"/>
                            <w:sz w:val="15"/>
                          </w:rPr>
                          <w:t>2019/12/30</w:t>
                        </w:r>
                      </w:p>
                    </w:tc>
                    <w:tc>
                      <w:tcPr>
                        <w:tcW w:w="79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3"/>
                          <w:ind w:left="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行业内首个基于</w:t>
                        </w:r>
                        <w:r>
                          <w:rPr>
                            <w:rFonts w:ascii="Times New Roman" w:hAnsi="Times New Roman" w:cs="Times New Roman" w:eastAsia="Times New Roman" w:hint="default"/>
                            <w:sz w:val="15"/>
                            <w:szCs w:val="15"/>
                          </w:rPr>
                          <w:t>SAAS</w:t>
                        </w:r>
                        <w:r>
                          <w:rPr>
                            <w:rFonts w:ascii="宋体" w:hAnsi="宋体" w:cs="宋体" w:eastAsia="宋体" w:hint="default"/>
                            <w:sz w:val="15"/>
                            <w:szCs w:val="15"/>
                          </w:rPr>
                          <w:t>云平台部署方案，实现统一部署统一管理，各个行政县根据使用情况配置功能；</w:t>
                        </w:r>
                      </w:p>
                      <w:p>
                        <w:pPr>
                          <w:pStyle w:val="TableParagraph"/>
                          <w:spacing w:line="240" w:lineRule="auto" w:before="104"/>
                          <w:ind w:left="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基于</w:t>
                        </w:r>
                        <w:r>
                          <w:rPr>
                            <w:rFonts w:ascii="Times New Roman" w:hAnsi="Times New Roman" w:cs="Times New Roman" w:eastAsia="Times New Roman" w:hint="default"/>
                            <w:sz w:val="15"/>
                            <w:szCs w:val="15"/>
                          </w:rPr>
                          <w:t>Hadoop</w:t>
                        </w:r>
                        <w:r>
                          <w:rPr>
                            <w:rFonts w:ascii="宋体" w:hAnsi="宋体" w:cs="宋体" w:eastAsia="宋体" w:hint="default"/>
                            <w:sz w:val="15"/>
                            <w:szCs w:val="15"/>
                          </w:rPr>
                          <w:t>和</w:t>
                        </w:r>
                        <w:r>
                          <w:rPr>
                            <w:rFonts w:ascii="Times New Roman" w:hAnsi="Times New Roman" w:cs="Times New Roman" w:eastAsia="Times New Roman" w:hint="default"/>
                            <w:sz w:val="15"/>
                            <w:szCs w:val="15"/>
                          </w:rPr>
                          <w:t>HBASE</w:t>
                        </w:r>
                        <w:r>
                          <w:rPr>
                            <w:rFonts w:ascii="宋体" w:hAnsi="宋体" w:cs="宋体" w:eastAsia="宋体" w:hint="default"/>
                            <w:sz w:val="15"/>
                            <w:szCs w:val="15"/>
                          </w:rPr>
                          <w:t>分布式架构，实现运行环境可</w:t>
                        </w:r>
                        <w:r>
                          <w:rPr>
                            <w:rFonts w:ascii="Times New Roman" w:hAnsi="Times New Roman" w:cs="Times New Roman" w:eastAsia="Times New Roman" w:hint="default"/>
                            <w:sz w:val="15"/>
                            <w:szCs w:val="15"/>
                          </w:rPr>
                          <w:t>“</w:t>
                        </w:r>
                        <w:r>
                          <w:rPr>
                            <w:rFonts w:ascii="宋体" w:hAnsi="宋体" w:cs="宋体" w:eastAsia="宋体" w:hint="default"/>
                            <w:sz w:val="15"/>
                            <w:szCs w:val="15"/>
                          </w:rPr>
                          <w:t>拔插</w:t>
                        </w:r>
                        <w:r>
                          <w:rPr>
                            <w:rFonts w:ascii="Times New Roman" w:hAnsi="Times New Roman" w:cs="Times New Roman" w:eastAsia="Times New Roman" w:hint="default"/>
                            <w:sz w:val="15"/>
                            <w:szCs w:val="15"/>
                          </w:rPr>
                          <w:t>”</w:t>
                        </w:r>
                        <w:r>
                          <w:rPr>
                            <w:rFonts w:ascii="宋体" w:hAnsi="宋体" w:cs="宋体" w:eastAsia="宋体" w:hint="default"/>
                            <w:sz w:val="15"/>
                            <w:szCs w:val="15"/>
                          </w:rPr>
                          <w:t>。具有高扩展性和稳定性；</w:t>
                        </w:r>
                      </w:p>
                      <w:p>
                        <w:pPr>
                          <w:pStyle w:val="TableParagraph"/>
                          <w:spacing w:line="240" w:lineRule="auto" w:before="104"/>
                          <w:ind w:left="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采用</w:t>
                        </w:r>
                        <w:r>
                          <w:rPr>
                            <w:rFonts w:ascii="Times New Roman" w:hAnsi="Times New Roman" w:cs="Times New Roman" w:eastAsia="Times New Roman" w:hint="default"/>
                            <w:sz w:val="15"/>
                            <w:szCs w:val="15"/>
                          </w:rPr>
                          <w:t>AOP</w:t>
                        </w:r>
                        <w:r>
                          <w:rPr>
                            <w:rFonts w:ascii="宋体" w:hAnsi="宋体" w:cs="宋体" w:eastAsia="宋体" w:hint="default"/>
                            <w:sz w:val="15"/>
                            <w:szCs w:val="15"/>
                          </w:rPr>
                          <w:t>、</w:t>
                        </w:r>
                        <w:r>
                          <w:rPr>
                            <w:rFonts w:ascii="Times New Roman" w:hAnsi="Times New Roman" w:cs="Times New Roman" w:eastAsia="Times New Roman" w:hint="default"/>
                            <w:sz w:val="15"/>
                            <w:szCs w:val="15"/>
                          </w:rPr>
                          <w:t>EF</w:t>
                        </w:r>
                        <w:r>
                          <w:rPr>
                            <w:rFonts w:ascii="宋体" w:hAnsi="宋体" w:cs="宋体" w:eastAsia="宋体" w:hint="default"/>
                            <w:sz w:val="15"/>
                            <w:szCs w:val="15"/>
                          </w:rPr>
                          <w:t>、</w:t>
                        </w:r>
                        <w:r>
                          <w:rPr>
                            <w:rFonts w:ascii="Times New Roman" w:hAnsi="Times New Roman" w:cs="Times New Roman" w:eastAsia="Times New Roman" w:hint="default"/>
                            <w:sz w:val="15"/>
                            <w:szCs w:val="15"/>
                          </w:rPr>
                          <w:t>SOA</w:t>
                        </w:r>
                        <w:r>
                          <w:rPr>
                            <w:rFonts w:ascii="宋体" w:hAnsi="宋体" w:cs="宋体" w:eastAsia="宋体" w:hint="default"/>
                            <w:sz w:val="15"/>
                            <w:szCs w:val="15"/>
                          </w:rPr>
                          <w:t>、</w:t>
                        </w:r>
                        <w:r>
                          <w:rPr>
                            <w:rFonts w:ascii="Times New Roman" w:hAnsi="Times New Roman" w:cs="Times New Roman" w:eastAsia="Times New Roman" w:hint="default"/>
                            <w:sz w:val="15"/>
                            <w:szCs w:val="15"/>
                          </w:rPr>
                          <w:t>MVC</w:t>
                        </w:r>
                        <w:r>
                          <w:rPr>
                            <w:rFonts w:ascii="宋体" w:hAnsi="宋体" w:cs="宋体" w:eastAsia="宋体" w:hint="default"/>
                            <w:sz w:val="15"/>
                            <w:szCs w:val="15"/>
                          </w:rPr>
                          <w:t>开放技术架构，提升系统的易用性、扩展性、开放性；</w:t>
                        </w:r>
                      </w:p>
                      <w:p>
                        <w:pPr>
                          <w:pStyle w:val="TableParagraph"/>
                          <w:spacing w:line="240" w:lineRule="auto" w:before="104"/>
                          <w:ind w:left="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4.</w:t>
                        </w:r>
                        <w:r>
                          <w:rPr>
                            <w:rFonts w:ascii="宋体" w:hAnsi="宋体" w:cs="宋体" w:eastAsia="宋体" w:hint="default"/>
                            <w:sz w:val="15"/>
                            <w:szCs w:val="15"/>
                          </w:rPr>
                          <w:t>实时双向通信：完全对等网络，可实现远程实时双向通信，保证费控操作及告警信息的实时性；</w:t>
                        </w:r>
                      </w:p>
                      <w:p>
                        <w:pPr>
                          <w:pStyle w:val="TableParagraph"/>
                          <w:spacing w:line="240" w:lineRule="auto" w:before="104"/>
                          <w:ind w:left="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5.</w:t>
                        </w:r>
                        <w:r>
                          <w:rPr>
                            <w:rFonts w:ascii="宋体" w:hAnsi="宋体" w:cs="宋体" w:eastAsia="宋体" w:hint="default"/>
                            <w:sz w:val="15"/>
                            <w:szCs w:val="15"/>
                          </w:rPr>
                          <w:t>在线升级：支持带电单点或全网在线升级，方便及时更新最新版本程序。</w:t>
                        </w:r>
                      </w:p>
                    </w:tc>
                  </w:tr>
                </w:tbl>
                <w:p>
                  <w:pPr/>
                </w:p>
              </w:txbxContent>
            </v:textbox>
            <w10:wrap type="none"/>
          </v:shape>
        </w:pict>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9"/>
        <w:rPr>
          <w:rFonts w:ascii="Times New Roman" w:hAnsi="Times New Roman" w:cs="Times New Roman" w:eastAsia="Times New Roman" w:hint="default"/>
          <w:sz w:val="16"/>
          <w:szCs w:val="16"/>
        </w:rPr>
      </w:pPr>
    </w:p>
    <w:p>
      <w:pPr>
        <w:spacing w:before="0"/>
        <w:ind w:left="0" w:right="101" w:firstLine="0"/>
        <w:jc w:val="right"/>
        <w:rPr>
          <w:rFonts w:ascii="宋体" w:hAnsi="宋体" w:cs="宋体" w:eastAsia="宋体" w:hint="default"/>
          <w:sz w:val="15"/>
          <w:szCs w:val="15"/>
        </w:rPr>
      </w:pPr>
      <w:r>
        <w:rPr>
          <w:rFonts w:ascii="宋体" w:hAnsi="宋体" w:cs="宋体" w:eastAsia="宋体" w:hint="default"/>
          <w:sz w:val="15"/>
          <w:szCs w:val="15"/>
        </w:rPr>
        <w:t>、</w:t>
      </w:r>
    </w:p>
    <w:p>
      <w:pPr>
        <w:spacing w:after="0"/>
        <w:jc w:val="right"/>
        <w:rPr>
          <w:rFonts w:ascii="宋体" w:hAnsi="宋体" w:cs="宋体" w:eastAsia="宋体" w:hint="default"/>
          <w:sz w:val="15"/>
          <w:szCs w:val="15"/>
        </w:rPr>
        <w:sectPr>
          <w:pgSz w:w="16840" w:h="11910" w:orient="landscape"/>
          <w:pgMar w:header="867" w:footer="979" w:top="1060" w:bottom="1220" w:left="920" w:right="880"/>
        </w:sectPr>
      </w:pPr>
    </w:p>
    <w:p>
      <w:pPr>
        <w:spacing w:line="240" w:lineRule="auto" w:before="4"/>
        <w:rPr>
          <w:rFonts w:ascii="Times New Roman" w:hAnsi="Times New Roman" w:cs="Times New Roman" w:eastAsia="Times New Roman" w:hint="default"/>
          <w:sz w:val="3"/>
          <w:szCs w:val="3"/>
        </w:rPr>
      </w:pPr>
    </w:p>
    <w:tbl>
      <w:tblPr>
        <w:tblW w:w="0" w:type="auto"/>
        <w:jc w:val="left"/>
        <w:tblInd w:w="119" w:type="dxa"/>
        <w:tblLayout w:type="fixed"/>
        <w:tblCellMar>
          <w:top w:w="0" w:type="dxa"/>
          <w:left w:w="0" w:type="dxa"/>
          <w:bottom w:w="0" w:type="dxa"/>
          <w:right w:w="0" w:type="dxa"/>
        </w:tblCellMar>
        <w:tblLook w:val="01E0"/>
      </w:tblPr>
      <w:tblGrid>
        <w:gridCol w:w="710"/>
        <w:gridCol w:w="1844"/>
        <w:gridCol w:w="1134"/>
        <w:gridCol w:w="1842"/>
        <w:gridCol w:w="1276"/>
        <w:gridCol w:w="7939"/>
      </w:tblGrid>
      <w:tr>
        <w:trPr>
          <w:trHeight w:val="3795" w:hRule="exact"/>
        </w:trPr>
        <w:tc>
          <w:tcPr>
            <w:tcW w:w="710" w:type="dxa"/>
            <w:tcBorders>
              <w:top w:val="single" w:sz="17"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1"/>
              <w:ind w:right="0"/>
              <w:jc w:val="left"/>
              <w:rPr>
                <w:rFonts w:ascii="Times New Roman" w:hAnsi="Times New Roman" w:cs="Times New Roman" w:eastAsia="Times New Roman" w:hint="default"/>
                <w:sz w:val="16"/>
                <w:szCs w:val="16"/>
              </w:rPr>
            </w:pPr>
          </w:p>
          <w:p>
            <w:pPr>
              <w:pStyle w:val="TableParagraph"/>
              <w:spacing w:line="240" w:lineRule="auto"/>
              <w:ind w:left="2" w:right="0"/>
              <w:jc w:val="center"/>
              <w:rPr>
                <w:rFonts w:ascii="Times New Roman" w:hAnsi="Times New Roman" w:cs="Times New Roman" w:eastAsia="Times New Roman" w:hint="default"/>
                <w:sz w:val="15"/>
                <w:szCs w:val="15"/>
              </w:rPr>
            </w:pPr>
            <w:r>
              <w:rPr>
                <w:rFonts w:ascii="Times New Roman"/>
                <w:sz w:val="15"/>
              </w:rPr>
              <w:t>19</w:t>
            </w:r>
          </w:p>
        </w:tc>
        <w:tc>
          <w:tcPr>
            <w:tcW w:w="1844" w:type="dxa"/>
            <w:tcBorders>
              <w:top w:val="single" w:sz="17"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1"/>
              <w:ind w:right="0"/>
              <w:jc w:val="left"/>
              <w:rPr>
                <w:rFonts w:ascii="Times New Roman" w:hAnsi="Times New Roman" w:cs="Times New Roman" w:eastAsia="Times New Roman" w:hint="default"/>
                <w:sz w:val="13"/>
                <w:szCs w:val="13"/>
              </w:rPr>
            </w:pPr>
          </w:p>
          <w:p>
            <w:pPr>
              <w:pStyle w:val="TableParagraph"/>
              <w:spacing w:line="240" w:lineRule="auto"/>
              <w:ind w:left="3" w:right="0"/>
              <w:jc w:val="left"/>
              <w:rPr>
                <w:rFonts w:ascii="宋体" w:hAnsi="宋体" w:cs="宋体" w:eastAsia="宋体" w:hint="default"/>
                <w:sz w:val="15"/>
                <w:szCs w:val="15"/>
              </w:rPr>
            </w:pPr>
            <w:r>
              <w:rPr>
                <w:rFonts w:ascii="宋体" w:hAnsi="宋体" w:cs="宋体" w:eastAsia="宋体" w:hint="default"/>
                <w:sz w:val="15"/>
                <w:szCs w:val="15"/>
              </w:rPr>
              <w:t>中职智慧校园平台</w:t>
            </w:r>
          </w:p>
        </w:tc>
        <w:tc>
          <w:tcPr>
            <w:tcW w:w="1134" w:type="dxa"/>
            <w:tcBorders>
              <w:top w:val="single" w:sz="17"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1"/>
              <w:ind w:right="0"/>
              <w:jc w:val="left"/>
              <w:rPr>
                <w:rFonts w:ascii="Times New Roman" w:hAnsi="Times New Roman" w:cs="Times New Roman" w:eastAsia="Times New Roman" w:hint="default"/>
                <w:sz w:val="13"/>
                <w:szCs w:val="13"/>
              </w:rPr>
            </w:pPr>
          </w:p>
          <w:p>
            <w:pPr>
              <w:pStyle w:val="TableParagraph"/>
              <w:spacing w:line="240" w:lineRule="auto"/>
              <w:ind w:left="2" w:right="0"/>
              <w:jc w:val="left"/>
              <w:rPr>
                <w:rFonts w:ascii="宋体" w:hAnsi="宋体" w:cs="宋体" w:eastAsia="宋体" w:hint="default"/>
                <w:sz w:val="15"/>
                <w:szCs w:val="15"/>
              </w:rPr>
            </w:pPr>
            <w:r>
              <w:rPr>
                <w:rFonts w:ascii="宋体" w:hAnsi="宋体" w:cs="宋体" w:eastAsia="宋体" w:hint="default"/>
                <w:sz w:val="15"/>
                <w:szCs w:val="15"/>
              </w:rPr>
              <w:t>智慧校园</w:t>
            </w:r>
          </w:p>
        </w:tc>
        <w:tc>
          <w:tcPr>
            <w:tcW w:w="1842" w:type="dxa"/>
            <w:tcBorders>
              <w:top w:val="single" w:sz="17"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1"/>
              <w:ind w:right="0"/>
              <w:jc w:val="left"/>
              <w:rPr>
                <w:rFonts w:ascii="Times New Roman" w:hAnsi="Times New Roman" w:cs="Times New Roman" w:eastAsia="Times New Roman" w:hint="default"/>
                <w:sz w:val="13"/>
                <w:szCs w:val="13"/>
              </w:rPr>
            </w:pPr>
          </w:p>
          <w:p>
            <w:pPr>
              <w:pStyle w:val="TableParagraph"/>
              <w:spacing w:line="240" w:lineRule="auto"/>
              <w:ind w:left="2" w:right="0"/>
              <w:jc w:val="left"/>
              <w:rPr>
                <w:rFonts w:ascii="宋体" w:hAnsi="宋体" w:cs="宋体" w:eastAsia="宋体" w:hint="default"/>
                <w:sz w:val="15"/>
                <w:szCs w:val="15"/>
              </w:rPr>
            </w:pPr>
            <w:r>
              <w:rPr>
                <w:rFonts w:ascii="宋体" w:hAnsi="宋体" w:cs="宋体" w:eastAsia="宋体" w:hint="default"/>
                <w:sz w:val="15"/>
                <w:szCs w:val="15"/>
              </w:rPr>
              <w:t>开发阶段</w:t>
            </w:r>
          </w:p>
        </w:tc>
        <w:tc>
          <w:tcPr>
            <w:tcW w:w="1276" w:type="dxa"/>
            <w:tcBorders>
              <w:top w:val="single" w:sz="17"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2" w:right="0"/>
              <w:jc w:val="left"/>
              <w:rPr>
                <w:rFonts w:ascii="Times New Roman" w:hAnsi="Times New Roman" w:cs="Times New Roman" w:eastAsia="Times New Roman" w:hint="default"/>
                <w:sz w:val="15"/>
                <w:szCs w:val="15"/>
              </w:rPr>
            </w:pPr>
            <w:r>
              <w:rPr>
                <w:rFonts w:ascii="Times New Roman"/>
                <w:sz w:val="15"/>
              </w:rPr>
              <w:t>2018/5/1</w:t>
            </w:r>
          </w:p>
          <w:p>
            <w:pPr>
              <w:pStyle w:val="TableParagraph"/>
              <w:spacing w:line="240" w:lineRule="auto" w:before="2"/>
              <w:ind w:right="0"/>
              <w:jc w:val="left"/>
              <w:rPr>
                <w:rFonts w:ascii="Times New Roman" w:hAnsi="Times New Roman" w:cs="Times New Roman" w:eastAsia="Times New Roman" w:hint="default"/>
                <w:sz w:val="12"/>
                <w:szCs w:val="12"/>
              </w:rPr>
            </w:pPr>
          </w:p>
          <w:p>
            <w:pPr>
              <w:pStyle w:val="TableParagraph"/>
              <w:spacing w:line="240" w:lineRule="auto"/>
              <w:ind w:left="2" w:right="0"/>
              <w:jc w:val="left"/>
              <w:rPr>
                <w:rFonts w:ascii="Times New Roman" w:hAnsi="Times New Roman" w:cs="Times New Roman" w:eastAsia="Times New Roman" w:hint="default"/>
                <w:sz w:val="15"/>
                <w:szCs w:val="15"/>
              </w:rPr>
            </w:pPr>
            <w:r>
              <w:rPr>
                <w:rFonts w:ascii="Times New Roman"/>
                <w:sz w:val="15"/>
              </w:rPr>
              <w:t>2018/6/5</w:t>
            </w:r>
          </w:p>
        </w:tc>
        <w:tc>
          <w:tcPr>
            <w:tcW w:w="7939" w:type="dxa"/>
            <w:tcBorders>
              <w:top w:val="single" w:sz="17" w:space="0" w:color="000000"/>
              <w:left w:val="single" w:sz="6" w:space="0" w:color="000000"/>
              <w:bottom w:val="single" w:sz="6" w:space="0" w:color="000000"/>
              <w:right w:val="single" w:sz="6" w:space="0" w:color="000000"/>
            </w:tcBorders>
          </w:tcPr>
          <w:p>
            <w:pPr>
              <w:pStyle w:val="TableParagraph"/>
              <w:spacing w:line="379" w:lineRule="auto" w:before="44"/>
              <w:ind w:left="3" w:right="-30"/>
              <w:jc w:val="left"/>
              <w:rPr>
                <w:rFonts w:ascii="宋体" w:hAnsi="宋体" w:cs="宋体" w:eastAsia="宋体" w:hint="default"/>
                <w:sz w:val="15"/>
                <w:szCs w:val="15"/>
              </w:rPr>
            </w:pPr>
            <w:r>
              <w:rPr>
                <w:rFonts w:ascii="宋体" w:hAnsi="宋体" w:cs="宋体" w:eastAsia="宋体" w:hint="default"/>
                <w:spacing w:val="-1"/>
                <w:sz w:val="15"/>
                <w:szCs w:val="15"/>
              </w:rPr>
              <w:t>智慧校园是数字校园发展的新阶段，是综合应用物联网、云计算、移动互联等智能化、信息化、网络化技术手段，以师生</w:t>
            </w:r>
            <w:r>
              <w:rPr>
                <w:rFonts w:ascii="宋体" w:hAnsi="宋体" w:cs="宋体" w:eastAsia="宋体" w:hint="default"/>
                <w:spacing w:val="-56"/>
                <w:sz w:val="15"/>
                <w:szCs w:val="15"/>
              </w:rPr>
              <w:t> </w:t>
            </w:r>
            <w:r>
              <w:rPr>
                <w:rFonts w:ascii="宋体" w:hAnsi="宋体" w:cs="宋体" w:eastAsia="宋体" w:hint="default"/>
                <w:spacing w:val="-56"/>
                <w:sz w:val="15"/>
                <w:szCs w:val="15"/>
              </w:rPr>
            </w:r>
            <w:r>
              <w:rPr>
                <w:rFonts w:ascii="宋体" w:hAnsi="宋体" w:cs="宋体" w:eastAsia="宋体" w:hint="default"/>
                <w:spacing w:val="-1"/>
                <w:sz w:val="15"/>
                <w:szCs w:val="15"/>
              </w:rPr>
              <w:t>个性化活动为中心，以提供及时双向信息交流的平台为媒介，构建融网络、技术、服务为一体的智能个性化综合信息服务</w:t>
            </w:r>
            <w:r>
              <w:rPr>
                <w:rFonts w:ascii="宋体" w:hAnsi="宋体" w:cs="宋体" w:eastAsia="宋体" w:hint="default"/>
                <w:spacing w:val="-57"/>
                <w:sz w:val="15"/>
                <w:szCs w:val="15"/>
              </w:rPr>
              <w:t> </w:t>
            </w:r>
            <w:r>
              <w:rPr>
                <w:rFonts w:ascii="宋体" w:hAnsi="宋体" w:cs="宋体" w:eastAsia="宋体" w:hint="default"/>
                <w:spacing w:val="-57"/>
                <w:sz w:val="15"/>
                <w:szCs w:val="15"/>
              </w:rPr>
            </w:r>
            <w:r>
              <w:rPr>
                <w:rFonts w:ascii="宋体" w:hAnsi="宋体" w:cs="宋体" w:eastAsia="宋体" w:hint="default"/>
                <w:sz w:val="15"/>
                <w:szCs w:val="15"/>
              </w:rPr>
              <w:t>体系，构建具有感知全面、响应及时、智能综合、随需应变、高校运行等特征的新一代学校环境，从而实现学校中的人、 设备、环境、资源与社会的有机整合的一种独特校园形态。 </w:t>
            </w:r>
            <w:r>
              <w:rPr>
                <w:rFonts w:ascii="Times New Roman" w:hAnsi="Times New Roman" w:cs="Times New Roman" w:eastAsia="Times New Roman" w:hint="default"/>
                <w:sz w:val="15"/>
                <w:szCs w:val="15"/>
              </w:rPr>
              <w:t>1.</w:t>
            </w:r>
            <w:r>
              <w:rPr>
                <w:rFonts w:ascii="宋体" w:hAnsi="宋体" w:cs="宋体" w:eastAsia="宋体" w:hint="default"/>
                <w:sz w:val="15"/>
                <w:szCs w:val="15"/>
              </w:rPr>
              <w:t>整体采用多客户方案设计，可部署在云端，也适用于多个子学校统一集中管理的情况，填补了市场上数字化只适用于是</w:t>
            </w:r>
            <w:r>
              <w:rPr>
                <w:rFonts w:ascii="宋体" w:hAnsi="宋体" w:cs="宋体" w:eastAsia="宋体" w:hint="default"/>
                <w:spacing w:val="-71"/>
                <w:sz w:val="15"/>
                <w:szCs w:val="15"/>
              </w:rPr>
              <w:t> </w:t>
            </w:r>
            <w:r>
              <w:rPr>
                <w:rFonts w:ascii="宋体" w:hAnsi="宋体" w:cs="宋体" w:eastAsia="宋体" w:hint="default"/>
                <w:spacing w:val="-71"/>
                <w:sz w:val="15"/>
                <w:szCs w:val="15"/>
              </w:rPr>
            </w:r>
            <w:r>
              <w:rPr>
                <w:rFonts w:ascii="宋体" w:hAnsi="宋体" w:cs="宋体" w:eastAsia="宋体" w:hint="default"/>
                <w:sz w:val="15"/>
                <w:szCs w:val="15"/>
              </w:rPr>
              <w:t>单客户情况的空白。 </w:t>
            </w:r>
            <w:r>
              <w:rPr>
                <w:rFonts w:ascii="Times New Roman" w:hAnsi="Times New Roman" w:cs="Times New Roman" w:eastAsia="Times New Roman" w:hint="default"/>
                <w:sz w:val="15"/>
                <w:szCs w:val="15"/>
              </w:rPr>
              <w:t>2.</w:t>
            </w:r>
            <w:r>
              <w:rPr>
                <w:rFonts w:ascii="宋体" w:hAnsi="宋体" w:cs="宋体" w:eastAsia="宋体" w:hint="default"/>
                <w:sz w:val="15"/>
                <w:szCs w:val="15"/>
              </w:rPr>
              <w:t>组件化管理，业务系统由一个个微服务组成，可自由组合，灵活配置，方便后续功能拓展和个性化开发。</w:t>
            </w:r>
          </w:p>
          <w:p>
            <w:pPr>
              <w:pStyle w:val="TableParagraph"/>
              <w:spacing w:line="240" w:lineRule="auto" w:before="8"/>
              <w:ind w:left="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支持个性化页面和内容定制，可以自定义维护权限使用的应用和服务。</w:t>
            </w:r>
          </w:p>
          <w:p>
            <w:pPr>
              <w:pStyle w:val="TableParagraph"/>
              <w:spacing w:line="240" w:lineRule="auto" w:before="104"/>
              <w:ind w:left="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4.</w:t>
            </w:r>
            <w:r>
              <w:rPr>
                <w:rFonts w:ascii="宋体" w:hAnsi="宋体" w:cs="宋体" w:eastAsia="宋体" w:hint="default"/>
                <w:sz w:val="15"/>
                <w:szCs w:val="15"/>
              </w:rPr>
              <w:t>提供资源监控功能，同时针对服务器信息、应用服务访问情况进行实时监控。</w:t>
            </w:r>
          </w:p>
          <w:p>
            <w:pPr>
              <w:pStyle w:val="TableParagraph"/>
              <w:spacing w:line="372" w:lineRule="auto" w:before="104"/>
              <w:ind w:left="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5.</w:t>
            </w:r>
            <w:r>
              <w:rPr>
                <w:rFonts w:ascii="宋体" w:hAnsi="宋体" w:cs="宋体" w:eastAsia="宋体" w:hint="default"/>
                <w:sz w:val="15"/>
                <w:szCs w:val="15"/>
              </w:rPr>
              <w:t>实现了网上项目审核和审批，避免了召集会议的各项资金成本、人员成本、时间成本等，即节约了经费，又客观上实现</w:t>
            </w:r>
            <w:r>
              <w:rPr>
                <w:rFonts w:ascii="宋体" w:hAnsi="宋体" w:cs="宋体" w:eastAsia="宋体" w:hint="default"/>
                <w:spacing w:val="-71"/>
                <w:sz w:val="15"/>
                <w:szCs w:val="15"/>
              </w:rPr>
              <w:t> </w:t>
            </w:r>
            <w:r>
              <w:rPr>
                <w:rFonts w:ascii="宋体" w:hAnsi="宋体" w:cs="宋体" w:eastAsia="宋体" w:hint="default"/>
                <w:spacing w:val="-71"/>
                <w:sz w:val="15"/>
                <w:szCs w:val="15"/>
              </w:rPr>
            </w:r>
            <w:r>
              <w:rPr>
                <w:rFonts w:ascii="宋体" w:hAnsi="宋体" w:cs="宋体" w:eastAsia="宋体" w:hint="default"/>
                <w:sz w:val="15"/>
                <w:szCs w:val="15"/>
              </w:rPr>
              <w:t>了科研评审的公开、公正、公平。 </w:t>
            </w:r>
            <w:r>
              <w:rPr>
                <w:rFonts w:ascii="Times New Roman" w:hAnsi="Times New Roman" w:cs="Times New Roman" w:eastAsia="Times New Roman" w:hint="default"/>
                <w:sz w:val="15"/>
                <w:szCs w:val="15"/>
              </w:rPr>
              <w:t>6.</w:t>
            </w:r>
            <w:r>
              <w:rPr>
                <w:rFonts w:ascii="宋体" w:hAnsi="宋体" w:cs="宋体" w:eastAsia="宋体" w:hint="default"/>
                <w:sz w:val="15"/>
                <w:szCs w:val="15"/>
              </w:rPr>
              <w:t>提供强大的权限管理机制，为不同级别的管理者和各种使用者分配不同的软件访问权限，以加强软件管理。</w:t>
            </w:r>
          </w:p>
        </w:tc>
      </w:tr>
    </w:tbl>
    <w:p>
      <w:pPr>
        <w:spacing w:after="0" w:line="372" w:lineRule="auto"/>
        <w:jc w:val="left"/>
        <w:rPr>
          <w:rFonts w:ascii="宋体" w:hAnsi="宋体" w:cs="宋体" w:eastAsia="宋体" w:hint="default"/>
          <w:sz w:val="15"/>
          <w:szCs w:val="15"/>
        </w:rPr>
        <w:sectPr>
          <w:pgSz w:w="16840" w:h="11910" w:orient="landscape"/>
          <w:pgMar w:header="867" w:footer="979" w:top="1060" w:bottom="1160" w:left="920" w:right="920"/>
        </w:sectPr>
      </w:pPr>
    </w:p>
    <w:p>
      <w:pPr>
        <w:spacing w:line="240" w:lineRule="auto" w:before="7"/>
        <w:rPr>
          <w:rFonts w:ascii="Times New Roman" w:hAnsi="Times New Roman" w:cs="Times New Roman" w:eastAsia="Times New Roman" w:hint="default"/>
          <w:sz w:val="29"/>
          <w:szCs w:val="29"/>
        </w:rPr>
      </w:pPr>
    </w:p>
    <w:p>
      <w:pPr>
        <w:spacing w:before="44"/>
        <w:ind w:left="154" w:right="1117" w:firstLine="0"/>
        <w:jc w:val="left"/>
        <w:rPr>
          <w:rFonts w:ascii="宋体" w:hAnsi="宋体" w:cs="宋体" w:eastAsia="宋体" w:hint="default"/>
          <w:sz w:val="18"/>
          <w:szCs w:val="18"/>
        </w:rPr>
      </w:pPr>
      <w:r>
        <w:rPr>
          <w:rFonts w:ascii="宋体" w:hAnsi="宋体" w:cs="宋体" w:eastAsia="宋体" w:hint="default"/>
          <w:sz w:val="18"/>
          <w:szCs w:val="18"/>
        </w:rPr>
        <w:t>近三年公司研发投入金额及占营业收入的比例</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2369"/>
        <w:gridCol w:w="2405"/>
        <w:gridCol w:w="2392"/>
        <w:gridCol w:w="2392"/>
      </w:tblGrid>
      <w:tr>
        <w:trPr>
          <w:trHeight w:val="402"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4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r>
      <w:tr>
        <w:trPr>
          <w:trHeight w:val="402"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研发人员数量（人）</w:t>
            </w:r>
          </w:p>
        </w:tc>
        <w:tc>
          <w:tcPr>
            <w:tcW w:w="240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853</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788</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675</w:t>
            </w:r>
          </w:p>
        </w:tc>
      </w:tr>
      <w:tr>
        <w:trPr>
          <w:trHeight w:val="402"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研发人员数量占比</w:t>
            </w:r>
          </w:p>
        </w:tc>
        <w:tc>
          <w:tcPr>
            <w:tcW w:w="240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39.27%</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38.65%</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37.29%</w:t>
            </w:r>
          </w:p>
        </w:tc>
      </w:tr>
      <w:tr>
        <w:trPr>
          <w:trHeight w:val="402"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研发投入金额（元）</w:t>
            </w:r>
          </w:p>
        </w:tc>
        <w:tc>
          <w:tcPr>
            <w:tcW w:w="240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128,134,601.99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105,051,851.48</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79,375,999.56</w:t>
            </w:r>
          </w:p>
        </w:tc>
      </w:tr>
      <w:tr>
        <w:trPr>
          <w:trHeight w:val="402"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研发投入占营业收入比例</w:t>
            </w:r>
          </w:p>
        </w:tc>
        <w:tc>
          <w:tcPr>
            <w:tcW w:w="240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15.30%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13.65%</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2"/>
                <w:sz w:val="18"/>
              </w:rPr>
              <w:t>11.61%</w:t>
            </w:r>
          </w:p>
        </w:tc>
      </w:tr>
      <w:tr>
        <w:trPr>
          <w:trHeight w:val="402"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研发支出资本化的金额（元）</w:t>
            </w:r>
          </w:p>
        </w:tc>
        <w:tc>
          <w:tcPr>
            <w:tcW w:w="240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13,907,413.62</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5,729,165.17</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4,917,592.20</w:t>
            </w:r>
          </w:p>
        </w:tc>
      </w:tr>
      <w:tr>
        <w:trPr>
          <w:trHeight w:val="714"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1" w:right="186"/>
              <w:jc w:val="left"/>
              <w:rPr>
                <w:rFonts w:ascii="宋体" w:hAnsi="宋体" w:cs="宋体" w:eastAsia="宋体" w:hint="default"/>
                <w:sz w:val="18"/>
                <w:szCs w:val="18"/>
              </w:rPr>
            </w:pPr>
            <w:r>
              <w:rPr>
                <w:rFonts w:ascii="宋体" w:hAnsi="宋体" w:cs="宋体" w:eastAsia="宋体" w:hint="default"/>
                <w:sz w:val="18"/>
                <w:szCs w:val="18"/>
              </w:rPr>
              <w:t>资本化研发支出占研发投入 的比例</w:t>
            </w:r>
          </w:p>
        </w:tc>
        <w:tc>
          <w:tcPr>
            <w:tcW w:w="240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10.85%</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5.45%</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6.60%</w:t>
            </w:r>
          </w:p>
        </w:tc>
      </w:tr>
      <w:tr>
        <w:trPr>
          <w:trHeight w:val="715"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1" w:right="186"/>
              <w:jc w:val="left"/>
              <w:rPr>
                <w:rFonts w:ascii="宋体" w:hAnsi="宋体" w:cs="宋体" w:eastAsia="宋体" w:hint="default"/>
                <w:sz w:val="18"/>
                <w:szCs w:val="18"/>
              </w:rPr>
            </w:pPr>
            <w:r>
              <w:rPr>
                <w:rFonts w:ascii="宋体" w:hAnsi="宋体" w:cs="宋体" w:eastAsia="宋体" w:hint="default"/>
                <w:sz w:val="18"/>
                <w:szCs w:val="18"/>
              </w:rPr>
              <w:t>资本化研发支出占当期净利 润的比重</w:t>
            </w:r>
          </w:p>
        </w:tc>
        <w:tc>
          <w:tcPr>
            <w:tcW w:w="240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14.47%</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4.79%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5.80%</w:t>
            </w:r>
          </w:p>
        </w:tc>
      </w:tr>
    </w:tbl>
    <w:p>
      <w:pPr>
        <w:spacing w:before="51"/>
        <w:ind w:left="154" w:right="1117" w:firstLine="0"/>
        <w:jc w:val="left"/>
        <w:rPr>
          <w:rFonts w:ascii="宋体" w:hAnsi="宋体" w:cs="宋体" w:eastAsia="宋体" w:hint="default"/>
          <w:sz w:val="18"/>
          <w:szCs w:val="18"/>
        </w:rPr>
      </w:pPr>
      <w:r>
        <w:rPr>
          <w:rFonts w:ascii="宋体" w:hAnsi="宋体" w:cs="宋体" w:eastAsia="宋体" w:hint="default"/>
          <w:sz w:val="18"/>
          <w:szCs w:val="18"/>
        </w:rPr>
        <w:t>研发投入总额占营业收入的比重较上年发生显著变化的原因</w:t>
      </w:r>
    </w:p>
    <w:p>
      <w:pPr>
        <w:spacing w:line="340" w:lineRule="auto" w:before="116"/>
        <w:ind w:left="154" w:right="679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研发投入资本化率大幅变动的原因及其合理性说明</w:t>
      </w:r>
    </w:p>
    <w:p>
      <w:pPr>
        <w:spacing w:before="40"/>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9"/>
        <w:rPr>
          <w:rFonts w:ascii="宋体" w:hAnsi="宋体" w:cs="宋体" w:eastAsia="宋体" w:hint="default"/>
          <w:sz w:val="25"/>
          <w:szCs w:val="25"/>
        </w:rPr>
      </w:pPr>
    </w:p>
    <w:p>
      <w:pPr>
        <w:pStyle w:val="Heading4"/>
        <w:spacing w:line="240" w:lineRule="auto"/>
        <w:ind w:right="1117"/>
        <w:jc w:val="left"/>
        <w:rPr>
          <w:b w:val="0"/>
          <w:bCs w:val="0"/>
        </w:rPr>
      </w:pPr>
      <w:bookmarkStart w:name="5、现金流" w:id="37"/>
      <w:bookmarkEnd w:id="37"/>
      <w:r>
        <w:rPr>
          <w:b w:val="0"/>
          <w:bCs w:val="0"/>
        </w:rPr>
      </w:r>
      <w:r>
        <w:rPr>
          <w:rFonts w:ascii="Times New Roman" w:hAnsi="Times New Roman" w:cs="Times New Roman" w:eastAsia="Times New Roman" w:hint="default"/>
        </w:rPr>
        <w:t>5</w:t>
      </w:r>
      <w:r>
        <w:rPr/>
        <w:t>、现金流</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2369"/>
        <w:gridCol w:w="2405"/>
        <w:gridCol w:w="2392"/>
        <w:gridCol w:w="2392"/>
      </w:tblGrid>
      <w:tr>
        <w:trPr>
          <w:trHeight w:val="402"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4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1"/>
              <w:jc w:val="center"/>
              <w:rPr>
                <w:rFonts w:ascii="宋体" w:hAnsi="宋体" w:cs="宋体" w:eastAsia="宋体" w:hint="default"/>
                <w:sz w:val="18"/>
                <w:szCs w:val="18"/>
              </w:rPr>
            </w:pPr>
            <w:r>
              <w:rPr>
                <w:rFonts w:ascii="宋体" w:hAnsi="宋体" w:cs="宋体" w:eastAsia="宋体" w:hint="default"/>
                <w:sz w:val="18"/>
                <w:szCs w:val="18"/>
              </w:rPr>
              <w:t>同比增减</w:t>
            </w:r>
          </w:p>
        </w:tc>
      </w:tr>
      <w:tr>
        <w:trPr>
          <w:trHeight w:val="402"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240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912,581,337.41</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823,288,856.64</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10.85%</w:t>
            </w:r>
          </w:p>
        </w:tc>
      </w:tr>
      <w:tr>
        <w:trPr>
          <w:trHeight w:val="402"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240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882,134,872.89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757,877,371.08</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16.40%</w:t>
            </w:r>
          </w:p>
        </w:tc>
      </w:tr>
      <w:tr>
        <w:trPr>
          <w:trHeight w:val="714"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1" w:right="186"/>
              <w:jc w:val="left"/>
              <w:rPr>
                <w:rFonts w:ascii="宋体" w:hAnsi="宋体" w:cs="宋体" w:eastAsia="宋体" w:hint="default"/>
                <w:sz w:val="18"/>
                <w:szCs w:val="18"/>
              </w:rPr>
            </w:pPr>
            <w:r>
              <w:rPr>
                <w:rFonts w:ascii="宋体" w:hAnsi="宋体" w:cs="宋体" w:eastAsia="宋体" w:hint="default"/>
                <w:sz w:val="18"/>
                <w:szCs w:val="18"/>
              </w:rPr>
              <w:t>经营活动产生的现金流量净 额</w:t>
            </w:r>
          </w:p>
        </w:tc>
        <w:tc>
          <w:tcPr>
            <w:tcW w:w="240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30,446,464.52</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65,411,485.56</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-53.45%</w:t>
            </w:r>
          </w:p>
        </w:tc>
      </w:tr>
      <w:tr>
        <w:trPr>
          <w:trHeight w:val="402"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240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376,561,777.22</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578,883,553.27</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-34.95%</w:t>
            </w:r>
          </w:p>
        </w:tc>
      </w:tr>
      <w:tr>
        <w:trPr>
          <w:trHeight w:val="402"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240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527,049,211.14</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736,290,671.38</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-28.42%</w:t>
            </w:r>
          </w:p>
        </w:tc>
      </w:tr>
      <w:tr>
        <w:trPr>
          <w:trHeight w:val="714"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1" w:right="186"/>
              <w:jc w:val="left"/>
              <w:rPr>
                <w:rFonts w:ascii="宋体" w:hAnsi="宋体" w:cs="宋体" w:eastAsia="宋体" w:hint="default"/>
                <w:sz w:val="18"/>
                <w:szCs w:val="18"/>
              </w:rPr>
            </w:pPr>
            <w:r>
              <w:rPr>
                <w:rFonts w:ascii="宋体" w:hAnsi="宋体" w:cs="宋体" w:eastAsia="宋体" w:hint="default"/>
                <w:sz w:val="18"/>
                <w:szCs w:val="18"/>
              </w:rPr>
              <w:t>投资活动产生的现金流量净 额</w:t>
            </w:r>
          </w:p>
        </w:tc>
        <w:tc>
          <w:tcPr>
            <w:tcW w:w="240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-150,487,433.92</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2"/>
                <w:sz w:val="18"/>
              </w:rPr>
              <w:t>-157,407,118.11</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-4.40%</w:t>
            </w:r>
          </w:p>
        </w:tc>
      </w:tr>
      <w:tr>
        <w:trPr>
          <w:trHeight w:val="402"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240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209,640,000.00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162,600,000.00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28.93%</w:t>
            </w:r>
          </w:p>
        </w:tc>
      </w:tr>
      <w:tr>
        <w:trPr>
          <w:trHeight w:val="402"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240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325,818,331.55</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63,553,897.29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412.66%</w:t>
            </w:r>
          </w:p>
        </w:tc>
      </w:tr>
      <w:tr>
        <w:trPr>
          <w:trHeight w:val="714"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1" w:right="186"/>
              <w:jc w:val="left"/>
              <w:rPr>
                <w:rFonts w:ascii="宋体" w:hAnsi="宋体" w:cs="宋体" w:eastAsia="宋体" w:hint="default"/>
                <w:sz w:val="18"/>
                <w:szCs w:val="18"/>
              </w:rPr>
            </w:pPr>
            <w:r>
              <w:rPr>
                <w:rFonts w:ascii="宋体" w:hAnsi="宋体" w:cs="宋体" w:eastAsia="宋体" w:hint="default"/>
                <w:sz w:val="18"/>
                <w:szCs w:val="18"/>
              </w:rPr>
              <w:t>筹资活动产生的现金流量净 额</w:t>
            </w:r>
          </w:p>
        </w:tc>
        <w:tc>
          <w:tcPr>
            <w:tcW w:w="240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-116,178,331.55</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99,046,102.71</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-217.30%</w:t>
            </w:r>
            <w:r>
              <w:rPr>
                <w:rFonts w:ascii="Times New Roman"/>
                <w:sz w:val="18"/>
              </w:rPr>
            </w:r>
          </w:p>
        </w:tc>
      </w:tr>
      <w:tr>
        <w:trPr>
          <w:trHeight w:val="403"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现金及现金等价物净增加额</w:t>
            </w:r>
          </w:p>
        </w:tc>
        <w:tc>
          <w:tcPr>
            <w:tcW w:w="240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-236,219,300.95</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7,050,470.16</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w w:val="95"/>
                <w:sz w:val="18"/>
              </w:rPr>
              <w:t>-3,450.40%</w:t>
            </w:r>
            <w:r>
              <w:rPr>
                <w:rFonts w:ascii="Times New Roman"/>
                <w:sz w:val="18"/>
              </w:rPr>
            </w:r>
          </w:p>
        </w:tc>
      </w:tr>
    </w:tbl>
    <w:p>
      <w:pPr>
        <w:spacing w:before="51"/>
        <w:ind w:left="154" w:right="1117" w:firstLine="0"/>
        <w:jc w:val="left"/>
        <w:rPr>
          <w:rFonts w:ascii="宋体" w:hAnsi="宋体" w:cs="宋体" w:eastAsia="宋体" w:hint="default"/>
          <w:sz w:val="18"/>
          <w:szCs w:val="18"/>
        </w:rPr>
      </w:pPr>
      <w:r>
        <w:rPr>
          <w:rFonts w:ascii="宋体" w:hAnsi="宋体" w:cs="宋体" w:eastAsia="宋体" w:hint="default"/>
          <w:sz w:val="18"/>
          <w:szCs w:val="18"/>
        </w:rPr>
        <w:t>相关数据同比发生重大变动的主要影响因素说明</w:t>
      </w:r>
    </w:p>
    <w:p>
      <w:pPr>
        <w:spacing w:before="116"/>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pStyle w:val="BodyText"/>
        <w:spacing w:line="386" w:lineRule="auto" w:before="155"/>
        <w:ind w:right="1119" w:firstLine="480"/>
        <w:jc w:val="left"/>
      </w:pPr>
      <w:r>
        <w:rPr/>
        <w:t>（</w:t>
      </w:r>
      <w:r>
        <w:rPr>
          <w:rFonts w:ascii="Times New Roman" w:hAnsi="Times New Roman" w:cs="Times New Roman" w:eastAsia="Times New Roman" w:hint="default"/>
        </w:rPr>
        <w:t>1</w:t>
      </w:r>
      <w:r>
        <w:rPr/>
        <w:t>）经营活动现金流入小计同比增长</w:t>
      </w:r>
      <w:r>
        <w:rPr>
          <w:rFonts w:ascii="Times New Roman" w:hAnsi="Times New Roman" w:cs="Times New Roman" w:eastAsia="Times New Roman" w:hint="default"/>
        </w:rPr>
        <w:t>10.85%</w:t>
      </w:r>
      <w:r>
        <w:rPr/>
        <w:t>，主要系本报告期收到销售商品提供劳务收到的现金较 上期增加；</w:t>
      </w:r>
    </w:p>
    <w:p>
      <w:pPr>
        <w:spacing w:after="0" w:line="386" w:lineRule="auto"/>
        <w:jc w:val="left"/>
        <w:sectPr>
          <w:headerReference w:type="default" r:id="rId33"/>
          <w:footerReference w:type="default" r:id="rId34"/>
          <w:pgSz w:w="11910" w:h="16840"/>
          <w:pgMar w:header="877" w:footer="979" w:top="1060" w:bottom="1160" w:left="980" w:right="0"/>
          <w:pgNumType w:start="52"/>
        </w:sectPr>
      </w:pPr>
    </w:p>
    <w:p>
      <w:pPr>
        <w:spacing w:line="240" w:lineRule="auto" w:before="8"/>
        <w:rPr>
          <w:rFonts w:ascii="宋体" w:hAnsi="宋体" w:cs="宋体" w:eastAsia="宋体" w:hint="default"/>
          <w:sz w:val="26"/>
          <w:szCs w:val="26"/>
        </w:rPr>
      </w:pPr>
    </w:p>
    <w:p>
      <w:pPr>
        <w:pStyle w:val="BodyText"/>
        <w:spacing w:line="386" w:lineRule="auto" w:before="35"/>
        <w:ind w:right="1117" w:firstLine="480"/>
        <w:jc w:val="left"/>
      </w:pPr>
      <w:r>
        <w:rPr/>
        <w:t>（</w:t>
      </w:r>
      <w:r>
        <w:rPr>
          <w:rFonts w:ascii="Times New Roman" w:hAnsi="Times New Roman" w:cs="Times New Roman" w:eastAsia="Times New Roman" w:hint="default"/>
        </w:rPr>
        <w:t>2</w:t>
      </w:r>
      <w:r>
        <w:rPr/>
        <w:t>）经营活动现金流出小计同比增长</w:t>
      </w:r>
      <w:r>
        <w:rPr>
          <w:rFonts w:ascii="Times New Roman" w:hAnsi="Times New Roman" w:cs="Times New Roman" w:eastAsia="Times New Roman" w:hint="default"/>
        </w:rPr>
        <w:t>16.40%</w:t>
      </w:r>
      <w:r>
        <w:rPr/>
        <w:t>，主要原因：</w:t>
      </w:r>
      <w:r>
        <w:rPr>
          <w:rFonts w:ascii="Times New Roman" w:hAnsi="Times New Roman" w:cs="Times New Roman" w:eastAsia="Times New Roman" w:hint="default"/>
        </w:rPr>
        <w:t>A</w:t>
      </w:r>
      <w:r>
        <w:rPr/>
        <w:t>、系随着公司规模扩大，购买商品接受 劳务支付的现金增加较快，</w:t>
      </w:r>
      <w:r>
        <w:rPr>
          <w:rFonts w:ascii="Times New Roman" w:hAnsi="Times New Roman" w:cs="Times New Roman" w:eastAsia="Times New Roman" w:hint="default"/>
        </w:rPr>
        <w:t>B</w:t>
      </w:r>
      <w:r>
        <w:rPr/>
        <w:t>、支付给职工以及为职工支付的现金增加，</w:t>
      </w:r>
      <w:r>
        <w:rPr>
          <w:rFonts w:ascii="Times New Roman" w:hAnsi="Times New Roman" w:cs="Times New Roman" w:eastAsia="Times New Roman" w:hint="default"/>
        </w:rPr>
        <w:t>C</w:t>
      </w:r>
      <w:r>
        <w:rPr/>
        <w:t>、付现费用支出的现金增加；</w:t>
      </w:r>
    </w:p>
    <w:p>
      <w:pPr>
        <w:pStyle w:val="BodyText"/>
        <w:spacing w:line="386" w:lineRule="auto" w:before="35"/>
        <w:ind w:right="1119" w:firstLine="480"/>
        <w:jc w:val="left"/>
      </w:pPr>
      <w:r>
        <w:rPr/>
        <w:t>（</w:t>
      </w:r>
      <w:r>
        <w:rPr>
          <w:rFonts w:ascii="Times New Roman" w:hAnsi="Times New Roman" w:cs="Times New Roman" w:eastAsia="Times New Roman" w:hint="default"/>
        </w:rPr>
        <w:t>3</w:t>
      </w:r>
      <w:r>
        <w:rPr/>
        <w:t>）投资活动现金流入小计较上年同期下降</w:t>
      </w:r>
      <w:r>
        <w:rPr>
          <w:rFonts w:ascii="Times New Roman" w:hAnsi="Times New Roman" w:cs="Times New Roman" w:eastAsia="Times New Roman" w:hint="default"/>
        </w:rPr>
        <w:t>34.95%</w:t>
      </w:r>
      <w:r>
        <w:rPr/>
        <w:t>，主要系本报告期公司进行现金管理到期的理财 本金及理财投资收益较上年同期减少；</w:t>
      </w:r>
    </w:p>
    <w:p>
      <w:pPr>
        <w:pStyle w:val="BodyText"/>
        <w:spacing w:line="386" w:lineRule="auto" w:before="65"/>
        <w:ind w:right="1119" w:firstLine="480"/>
        <w:jc w:val="left"/>
      </w:pPr>
      <w:r>
        <w:rPr/>
        <w:t>（</w:t>
      </w:r>
      <w:r>
        <w:rPr>
          <w:rFonts w:ascii="Times New Roman" w:hAnsi="Times New Roman" w:cs="Times New Roman" w:eastAsia="Times New Roman" w:hint="default"/>
        </w:rPr>
        <w:t>4</w:t>
      </w:r>
      <w:r>
        <w:rPr/>
        <w:t>）投资活动现金流出小计较上年同期下降</w:t>
      </w:r>
      <w:r>
        <w:rPr>
          <w:rFonts w:ascii="Times New Roman" w:hAnsi="Times New Roman" w:cs="Times New Roman" w:eastAsia="Times New Roman" w:hint="default"/>
        </w:rPr>
        <w:t>28.42%</w:t>
      </w:r>
      <w:r>
        <w:rPr/>
        <w:t>，主要系报告期内进行现金管理流出的资金较上 年同期减少；</w:t>
      </w:r>
    </w:p>
    <w:p>
      <w:pPr>
        <w:pStyle w:val="BodyText"/>
        <w:spacing w:line="240" w:lineRule="auto" w:before="65"/>
        <w:ind w:left="634" w:right="1117"/>
        <w:jc w:val="left"/>
      </w:pPr>
      <w:r>
        <w:rPr/>
        <w:t>（</w:t>
      </w:r>
      <w:r>
        <w:rPr>
          <w:rFonts w:ascii="Times New Roman" w:hAnsi="Times New Roman" w:cs="Times New Roman" w:eastAsia="Times New Roman" w:hint="default"/>
        </w:rPr>
        <w:t>5</w:t>
      </w:r>
      <w:r>
        <w:rPr/>
        <w:t>）筹资活动现金流入小计较上年同期增加</w:t>
      </w:r>
      <w:r>
        <w:rPr>
          <w:rFonts w:ascii="Times New Roman" w:hAnsi="Times New Roman" w:cs="Times New Roman" w:eastAsia="Times New Roman" w:hint="default"/>
        </w:rPr>
        <w:t>28.93%</w:t>
      </w:r>
      <w:r>
        <w:rPr/>
        <w:t>，系报告期内银行流资贷款较上年同期增加；</w:t>
      </w:r>
    </w:p>
    <w:p>
      <w:pPr>
        <w:pStyle w:val="BodyText"/>
        <w:spacing w:line="386" w:lineRule="auto" w:before="177"/>
        <w:ind w:right="1117" w:firstLine="480"/>
        <w:jc w:val="left"/>
      </w:pPr>
      <w:r>
        <w:rPr>
          <w:spacing w:val="-3"/>
        </w:rPr>
        <w:t>（</w:t>
      </w:r>
      <w:r>
        <w:rPr>
          <w:rFonts w:ascii="Times New Roman" w:hAnsi="Times New Roman" w:cs="Times New Roman" w:eastAsia="Times New Roman" w:hint="default"/>
          <w:spacing w:val="-3"/>
        </w:rPr>
        <w:t>6</w:t>
      </w:r>
      <w:r>
        <w:rPr>
          <w:spacing w:val="-3"/>
        </w:rPr>
        <w:t>）筹资活动现金流出小计较上年同期增加</w:t>
      </w:r>
      <w:r>
        <w:rPr>
          <w:rFonts w:ascii="Times New Roman" w:hAnsi="Times New Roman" w:cs="Times New Roman" w:eastAsia="Times New Roman" w:hint="default"/>
          <w:spacing w:val="-3"/>
        </w:rPr>
        <w:t>412.66%</w:t>
      </w:r>
      <w:r>
        <w:rPr>
          <w:spacing w:val="-3"/>
        </w:rPr>
        <w:t>，主要系本报告期内偿还银行借款及支付限制性</w:t>
      </w:r>
      <w:r>
        <w:rPr/>
        <w:t> 股票回购款。</w:t>
      </w:r>
    </w:p>
    <w:p>
      <w:pPr>
        <w:spacing w:line="240" w:lineRule="auto" w:before="12"/>
        <w:rPr>
          <w:rFonts w:ascii="宋体" w:hAnsi="宋体" w:cs="宋体" w:eastAsia="宋体" w:hint="default"/>
          <w:sz w:val="27"/>
          <w:szCs w:val="27"/>
        </w:rPr>
      </w:pPr>
    </w:p>
    <w:p>
      <w:pPr>
        <w:spacing w:before="0"/>
        <w:ind w:left="154" w:right="1117" w:firstLine="0"/>
        <w:jc w:val="left"/>
        <w:rPr>
          <w:rFonts w:ascii="宋体" w:hAnsi="宋体" w:cs="宋体" w:eastAsia="宋体" w:hint="default"/>
          <w:sz w:val="18"/>
          <w:szCs w:val="18"/>
        </w:rPr>
      </w:pPr>
      <w:r>
        <w:rPr>
          <w:rFonts w:ascii="宋体" w:hAnsi="宋体" w:cs="宋体" w:eastAsia="宋体" w:hint="default"/>
          <w:sz w:val="18"/>
          <w:szCs w:val="18"/>
        </w:rPr>
        <w:t>报告期内公司经营活动产生的现金净流量与本年度净利润存在重大差异的原因说明</w:t>
      </w:r>
    </w:p>
    <w:p>
      <w:pPr>
        <w:spacing w:before="117"/>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2"/>
        <w:rPr>
          <w:rFonts w:ascii="宋体" w:hAnsi="宋体" w:cs="宋体" w:eastAsia="宋体" w:hint="default"/>
          <w:sz w:val="23"/>
          <w:szCs w:val="23"/>
        </w:rPr>
      </w:pPr>
    </w:p>
    <w:p>
      <w:pPr>
        <w:pStyle w:val="Heading2"/>
        <w:spacing w:line="240" w:lineRule="auto"/>
        <w:ind w:right="1117"/>
        <w:jc w:val="left"/>
        <w:rPr>
          <w:b w:val="0"/>
          <w:bCs w:val="0"/>
        </w:rPr>
      </w:pPr>
      <w:bookmarkStart w:name="三、非主营业务情况" w:id="38"/>
      <w:bookmarkEnd w:id="38"/>
      <w:r>
        <w:rPr>
          <w:b w:val="0"/>
          <w:bCs w:val="0"/>
        </w:rPr>
      </w:r>
      <w:r>
        <w:rPr/>
        <w:t>三、非主营业务情况</w:t>
      </w:r>
      <w:r>
        <w:rPr>
          <w:b w:val="0"/>
          <w:bCs w:val="0"/>
        </w:rPr>
      </w:r>
    </w:p>
    <w:p>
      <w:pPr>
        <w:spacing w:line="240" w:lineRule="auto" w:before="3"/>
        <w:rPr>
          <w:rFonts w:ascii="宋体" w:hAnsi="宋体" w:cs="宋体" w:eastAsia="宋体" w:hint="default"/>
          <w:b/>
          <w:bCs/>
          <w:sz w:val="23"/>
          <w:szCs w:val="23"/>
        </w:rPr>
      </w:pPr>
    </w:p>
    <w:p>
      <w:pPr>
        <w:spacing w:before="44"/>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before="102"/>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0"/>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512"/>
        <w:gridCol w:w="1916"/>
        <w:gridCol w:w="1623"/>
        <w:gridCol w:w="2166"/>
        <w:gridCol w:w="2340"/>
      </w:tblGrid>
      <w:tr>
        <w:trPr>
          <w:trHeight w:val="402" w:hRule="exact"/>
        </w:trPr>
        <w:tc>
          <w:tcPr>
            <w:tcW w:w="151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16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76" w:right="0"/>
              <w:jc w:val="left"/>
              <w:rPr>
                <w:rFonts w:ascii="宋体" w:hAnsi="宋体" w:cs="宋体" w:eastAsia="宋体" w:hint="default"/>
                <w:sz w:val="18"/>
                <w:szCs w:val="18"/>
              </w:rPr>
            </w:pPr>
            <w:r>
              <w:rPr>
                <w:rFonts w:ascii="宋体" w:hAnsi="宋体" w:cs="宋体" w:eastAsia="宋体" w:hint="default"/>
                <w:sz w:val="18"/>
                <w:szCs w:val="18"/>
              </w:rPr>
              <w:t>占利润总额比例</w:t>
            </w:r>
          </w:p>
        </w:tc>
        <w:tc>
          <w:tcPr>
            <w:tcW w:w="21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537"/>
              <w:jc w:val="right"/>
              <w:rPr>
                <w:rFonts w:ascii="宋体" w:hAnsi="宋体" w:cs="宋体" w:eastAsia="宋体" w:hint="default"/>
                <w:sz w:val="18"/>
                <w:szCs w:val="18"/>
              </w:rPr>
            </w:pPr>
            <w:r>
              <w:rPr>
                <w:rFonts w:ascii="宋体" w:hAnsi="宋体" w:cs="宋体" w:eastAsia="宋体" w:hint="default"/>
                <w:sz w:val="18"/>
                <w:szCs w:val="18"/>
              </w:rPr>
              <w:t>形成原因说明</w:t>
            </w:r>
          </w:p>
        </w:tc>
        <w:tc>
          <w:tcPr>
            <w:tcW w:w="23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45" w:right="0"/>
              <w:jc w:val="left"/>
              <w:rPr>
                <w:rFonts w:ascii="宋体" w:hAnsi="宋体" w:cs="宋体" w:eastAsia="宋体" w:hint="default"/>
                <w:sz w:val="18"/>
                <w:szCs w:val="18"/>
              </w:rPr>
            </w:pPr>
            <w:r>
              <w:rPr>
                <w:rFonts w:ascii="宋体" w:hAnsi="宋体" w:cs="宋体" w:eastAsia="宋体" w:hint="default"/>
                <w:sz w:val="18"/>
                <w:szCs w:val="18"/>
              </w:rPr>
              <w:t>是否具有可持续性</w:t>
            </w:r>
          </w:p>
        </w:tc>
      </w:tr>
      <w:tr>
        <w:trPr>
          <w:trHeight w:val="162" w:hRule="exact"/>
        </w:trPr>
        <w:tc>
          <w:tcPr>
            <w:tcW w:w="1512" w:type="dxa"/>
            <w:tcBorders>
              <w:top w:val="single" w:sz="4" w:space="0" w:color="000000"/>
              <w:left w:val="single" w:sz="4" w:space="0" w:color="000000"/>
              <w:bottom w:val="nil" w:sz="6" w:space="0" w:color="auto"/>
              <w:right w:val="single" w:sz="4" w:space="0" w:color="000000"/>
            </w:tcBorders>
            <w:shd w:val="clear" w:color="auto" w:fill="D2D2D2"/>
          </w:tcPr>
          <w:p>
            <w:pPr/>
          </w:p>
        </w:tc>
        <w:tc>
          <w:tcPr>
            <w:tcW w:w="1916" w:type="dxa"/>
            <w:vMerge w:val="restart"/>
            <w:tcBorders>
              <w:top w:val="single" w:sz="4" w:space="0" w:color="000000"/>
              <w:left w:val="single" w:sz="9" w:space="0" w:color="D2D2D2"/>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841" w:right="0"/>
              <w:jc w:val="left"/>
              <w:rPr>
                <w:rFonts w:ascii="Times New Roman" w:hAnsi="Times New Roman" w:cs="Times New Roman" w:eastAsia="Times New Roman" w:hint="default"/>
                <w:sz w:val="18"/>
                <w:szCs w:val="18"/>
              </w:rPr>
            </w:pPr>
            <w:r>
              <w:rPr>
                <w:rFonts w:ascii="Times New Roman"/>
                <w:sz w:val="18"/>
              </w:rPr>
              <w:t>10,104,366.95</w:t>
            </w:r>
          </w:p>
        </w:tc>
        <w:tc>
          <w:tcPr>
            <w:tcW w:w="1623"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9.24%</w:t>
            </w:r>
          </w:p>
        </w:tc>
        <w:tc>
          <w:tcPr>
            <w:tcW w:w="2166" w:type="dxa"/>
            <w:vMerge w:val="restart"/>
            <w:tcBorders>
              <w:top w:val="single" w:sz="4" w:space="0" w:color="000000"/>
              <w:left w:val="single" w:sz="4" w:space="0" w:color="000000"/>
              <w:right w:val="single" w:sz="4" w:space="0" w:color="000000"/>
            </w:tcBorders>
          </w:tcPr>
          <w:p>
            <w:pPr>
              <w:pStyle w:val="TableParagraph"/>
              <w:spacing w:line="300" w:lineRule="auto" w:before="52"/>
              <w:ind w:left="23" w:right="6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）对外投资项目取得收 </w:t>
            </w:r>
            <w:r>
              <w:rPr>
                <w:rFonts w:ascii="宋体" w:hAnsi="宋体" w:cs="宋体" w:eastAsia="宋体" w:hint="default"/>
                <w:spacing w:val="-8"/>
                <w:sz w:val="18"/>
                <w:szCs w:val="18"/>
              </w:rPr>
              <w:t>益；（</w:t>
            </w:r>
            <w:r>
              <w:rPr>
                <w:rFonts w:ascii="Times New Roman" w:hAnsi="Times New Roman" w:cs="Times New Roman" w:eastAsia="Times New Roman" w:hint="default"/>
                <w:spacing w:val="-8"/>
                <w:sz w:val="18"/>
                <w:szCs w:val="18"/>
              </w:rPr>
              <w:t>2</w:t>
            </w:r>
            <w:r>
              <w:rPr>
                <w:rFonts w:ascii="宋体" w:hAnsi="宋体" w:cs="宋体" w:eastAsia="宋体" w:hint="default"/>
                <w:spacing w:val="-8"/>
                <w:sz w:val="18"/>
                <w:szCs w:val="18"/>
              </w:rPr>
              <w:t>）现金管理的收益</w:t>
            </w:r>
          </w:p>
        </w:tc>
        <w:tc>
          <w:tcPr>
            <w:tcW w:w="2340"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391" w:hRule="exact"/>
        </w:trPr>
        <w:tc>
          <w:tcPr>
            <w:tcW w:w="151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投资收益</w:t>
            </w:r>
          </w:p>
        </w:tc>
        <w:tc>
          <w:tcPr>
            <w:tcW w:w="1916" w:type="dxa"/>
            <w:vMerge/>
            <w:tcBorders>
              <w:left w:val="single" w:sz="9" w:space="0" w:color="D2D2D2"/>
              <w:right w:val="single" w:sz="4" w:space="0" w:color="000000"/>
            </w:tcBorders>
          </w:tcPr>
          <w:p>
            <w:pPr/>
          </w:p>
        </w:tc>
        <w:tc>
          <w:tcPr>
            <w:tcW w:w="1623" w:type="dxa"/>
            <w:vMerge/>
            <w:tcBorders>
              <w:left w:val="single" w:sz="4" w:space="0" w:color="000000"/>
              <w:right w:val="single" w:sz="4" w:space="0" w:color="000000"/>
            </w:tcBorders>
          </w:tcPr>
          <w:p>
            <w:pPr/>
          </w:p>
        </w:tc>
        <w:tc>
          <w:tcPr>
            <w:tcW w:w="2166" w:type="dxa"/>
            <w:vMerge/>
            <w:tcBorders>
              <w:left w:val="single" w:sz="4" w:space="0" w:color="000000"/>
              <w:right w:val="single" w:sz="4" w:space="0" w:color="000000"/>
            </w:tcBorders>
          </w:tcPr>
          <w:p>
            <w:pPr/>
          </w:p>
        </w:tc>
        <w:tc>
          <w:tcPr>
            <w:tcW w:w="2340" w:type="dxa"/>
            <w:vMerge/>
            <w:tcBorders>
              <w:left w:val="single" w:sz="4" w:space="0" w:color="000000"/>
              <w:right w:val="single" w:sz="4" w:space="0" w:color="000000"/>
            </w:tcBorders>
          </w:tcPr>
          <w:p>
            <w:pPr/>
          </w:p>
        </w:tc>
      </w:tr>
      <w:tr>
        <w:trPr>
          <w:trHeight w:val="161" w:hRule="exact"/>
        </w:trPr>
        <w:tc>
          <w:tcPr>
            <w:tcW w:w="1512" w:type="dxa"/>
            <w:tcBorders>
              <w:top w:val="nil" w:sz="6" w:space="0" w:color="auto"/>
              <w:left w:val="single" w:sz="4" w:space="0" w:color="000000"/>
              <w:bottom w:val="single" w:sz="4" w:space="0" w:color="000000"/>
              <w:right w:val="single" w:sz="4" w:space="0" w:color="000000"/>
            </w:tcBorders>
            <w:shd w:val="clear" w:color="auto" w:fill="D2D2D2"/>
          </w:tcPr>
          <w:p>
            <w:pPr/>
          </w:p>
        </w:tc>
        <w:tc>
          <w:tcPr>
            <w:tcW w:w="1916" w:type="dxa"/>
            <w:vMerge/>
            <w:tcBorders>
              <w:left w:val="single" w:sz="9" w:space="0" w:color="D2D2D2"/>
              <w:bottom w:val="single" w:sz="4" w:space="0" w:color="000000"/>
              <w:right w:val="single" w:sz="4" w:space="0" w:color="000000"/>
            </w:tcBorders>
          </w:tcPr>
          <w:p>
            <w:pPr/>
          </w:p>
        </w:tc>
        <w:tc>
          <w:tcPr>
            <w:tcW w:w="1623" w:type="dxa"/>
            <w:vMerge/>
            <w:tcBorders>
              <w:left w:val="single" w:sz="4" w:space="0" w:color="000000"/>
              <w:bottom w:val="single" w:sz="4" w:space="0" w:color="000000"/>
              <w:right w:val="single" w:sz="4" w:space="0" w:color="000000"/>
            </w:tcBorders>
          </w:tcPr>
          <w:p>
            <w:pPr/>
          </w:p>
        </w:tc>
        <w:tc>
          <w:tcPr>
            <w:tcW w:w="2166" w:type="dxa"/>
            <w:vMerge/>
            <w:tcBorders>
              <w:left w:val="single" w:sz="4" w:space="0" w:color="000000"/>
              <w:bottom w:val="single" w:sz="4" w:space="0" w:color="000000"/>
              <w:right w:val="single" w:sz="4" w:space="0" w:color="000000"/>
            </w:tcBorders>
          </w:tcPr>
          <w:p>
            <w:pPr/>
          </w:p>
        </w:tc>
        <w:tc>
          <w:tcPr>
            <w:tcW w:w="2340" w:type="dxa"/>
            <w:vMerge/>
            <w:tcBorders>
              <w:left w:val="single" w:sz="4" w:space="0" w:color="000000"/>
              <w:bottom w:val="single" w:sz="4" w:space="0" w:color="000000"/>
              <w:right w:val="single" w:sz="4" w:space="0" w:color="000000"/>
            </w:tcBorders>
          </w:tcPr>
          <w:p>
            <w:pPr/>
          </w:p>
        </w:tc>
      </w:tr>
      <w:tr>
        <w:trPr>
          <w:trHeight w:val="402" w:hRule="exact"/>
        </w:trPr>
        <w:tc>
          <w:tcPr>
            <w:tcW w:w="15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公允价值变动损益</w:t>
            </w:r>
          </w:p>
        </w:tc>
        <w:tc>
          <w:tcPr>
            <w:tcW w:w="191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left="926" w:right="0"/>
              <w:jc w:val="left"/>
              <w:rPr>
                <w:rFonts w:ascii="Times New Roman" w:hAnsi="Times New Roman" w:cs="Times New Roman" w:eastAsia="Times New Roman" w:hint="default"/>
                <w:sz w:val="18"/>
                <w:szCs w:val="18"/>
              </w:rPr>
            </w:pPr>
            <w:r>
              <w:rPr>
                <w:rFonts w:ascii="Times New Roman"/>
                <w:sz w:val="18"/>
              </w:rPr>
              <w:t>3,402,000.00</w:t>
            </w:r>
          </w:p>
        </w:tc>
        <w:tc>
          <w:tcPr>
            <w:tcW w:w="1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2"/>
                <w:sz w:val="18"/>
              </w:rPr>
              <w:t>3.11%</w:t>
            </w:r>
          </w:p>
        </w:tc>
        <w:tc>
          <w:tcPr>
            <w:tcW w:w="21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510"/>
              <w:jc w:val="right"/>
              <w:rPr>
                <w:rFonts w:ascii="宋体" w:hAnsi="宋体" w:cs="宋体" w:eastAsia="宋体" w:hint="default"/>
                <w:sz w:val="18"/>
                <w:szCs w:val="18"/>
              </w:rPr>
            </w:pPr>
            <w:r>
              <w:rPr>
                <w:rFonts w:ascii="宋体" w:hAnsi="宋体" w:cs="宋体" w:eastAsia="宋体" w:hint="default"/>
                <w:sz w:val="18"/>
                <w:szCs w:val="18"/>
              </w:rPr>
              <w:t>对外投资业绩补偿款</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162" w:hRule="exact"/>
        </w:trPr>
        <w:tc>
          <w:tcPr>
            <w:tcW w:w="1512" w:type="dxa"/>
            <w:tcBorders>
              <w:top w:val="single" w:sz="4" w:space="0" w:color="000000"/>
              <w:left w:val="single" w:sz="4" w:space="0" w:color="000000"/>
              <w:bottom w:val="nil" w:sz="6" w:space="0" w:color="auto"/>
              <w:right w:val="single" w:sz="4" w:space="0" w:color="000000"/>
            </w:tcBorders>
            <w:shd w:val="clear" w:color="auto" w:fill="D2D2D2"/>
          </w:tcPr>
          <w:p>
            <w:pPr/>
          </w:p>
        </w:tc>
        <w:tc>
          <w:tcPr>
            <w:tcW w:w="1916" w:type="dxa"/>
            <w:vMerge w:val="restart"/>
            <w:tcBorders>
              <w:top w:val="single" w:sz="4" w:space="0" w:color="000000"/>
              <w:left w:val="single" w:sz="9" w:space="0" w:color="D2D2D2"/>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841" w:right="0"/>
              <w:jc w:val="left"/>
              <w:rPr>
                <w:rFonts w:ascii="Times New Roman" w:hAnsi="Times New Roman" w:cs="Times New Roman" w:eastAsia="Times New Roman" w:hint="default"/>
                <w:sz w:val="18"/>
                <w:szCs w:val="18"/>
              </w:rPr>
            </w:pPr>
            <w:r>
              <w:rPr>
                <w:rFonts w:ascii="Times New Roman"/>
                <w:sz w:val="18"/>
              </w:rPr>
              <w:t>17,642,393.30</w:t>
            </w:r>
          </w:p>
        </w:tc>
        <w:tc>
          <w:tcPr>
            <w:tcW w:w="1623"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036" w:right="0"/>
              <w:jc w:val="left"/>
              <w:rPr>
                <w:rFonts w:ascii="Times New Roman" w:hAnsi="Times New Roman" w:cs="Times New Roman" w:eastAsia="Times New Roman" w:hint="default"/>
                <w:sz w:val="18"/>
                <w:szCs w:val="18"/>
              </w:rPr>
            </w:pPr>
            <w:r>
              <w:rPr>
                <w:rFonts w:ascii="Times New Roman"/>
                <w:sz w:val="18"/>
              </w:rPr>
              <w:t>16.14%</w:t>
            </w:r>
          </w:p>
        </w:tc>
        <w:tc>
          <w:tcPr>
            <w:tcW w:w="2166" w:type="dxa"/>
            <w:vMerge w:val="restart"/>
            <w:tcBorders>
              <w:top w:val="single" w:sz="4" w:space="0" w:color="000000"/>
              <w:left w:val="single" w:sz="4" w:space="0" w:color="000000"/>
              <w:right w:val="single" w:sz="4" w:space="0" w:color="000000"/>
            </w:tcBorders>
          </w:tcPr>
          <w:p>
            <w:pPr>
              <w:pStyle w:val="TableParagraph"/>
              <w:spacing w:line="316" w:lineRule="auto" w:before="52"/>
              <w:ind w:left="23" w:right="150"/>
              <w:jc w:val="left"/>
              <w:rPr>
                <w:rFonts w:ascii="宋体" w:hAnsi="宋体" w:cs="宋体" w:eastAsia="宋体" w:hint="default"/>
                <w:sz w:val="18"/>
                <w:szCs w:val="18"/>
              </w:rPr>
            </w:pPr>
            <w:r>
              <w:rPr>
                <w:rFonts w:ascii="宋体" w:hAnsi="宋体" w:cs="宋体" w:eastAsia="宋体" w:hint="default"/>
                <w:sz w:val="18"/>
                <w:szCs w:val="18"/>
              </w:rPr>
              <w:t>主要系计提应收款项坏账 准备</w:t>
            </w:r>
          </w:p>
        </w:tc>
        <w:tc>
          <w:tcPr>
            <w:tcW w:w="2340"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391" w:hRule="exact"/>
        </w:trPr>
        <w:tc>
          <w:tcPr>
            <w:tcW w:w="151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资产减值</w:t>
            </w:r>
          </w:p>
        </w:tc>
        <w:tc>
          <w:tcPr>
            <w:tcW w:w="1916" w:type="dxa"/>
            <w:vMerge/>
            <w:tcBorders>
              <w:left w:val="single" w:sz="9" w:space="0" w:color="D2D2D2"/>
              <w:right w:val="single" w:sz="4" w:space="0" w:color="000000"/>
            </w:tcBorders>
          </w:tcPr>
          <w:p>
            <w:pPr/>
          </w:p>
        </w:tc>
        <w:tc>
          <w:tcPr>
            <w:tcW w:w="1623" w:type="dxa"/>
            <w:vMerge/>
            <w:tcBorders>
              <w:left w:val="single" w:sz="4" w:space="0" w:color="000000"/>
              <w:right w:val="single" w:sz="4" w:space="0" w:color="000000"/>
            </w:tcBorders>
          </w:tcPr>
          <w:p>
            <w:pPr/>
          </w:p>
        </w:tc>
        <w:tc>
          <w:tcPr>
            <w:tcW w:w="2166" w:type="dxa"/>
            <w:vMerge/>
            <w:tcBorders>
              <w:left w:val="single" w:sz="4" w:space="0" w:color="000000"/>
              <w:right w:val="single" w:sz="4" w:space="0" w:color="000000"/>
            </w:tcBorders>
          </w:tcPr>
          <w:p>
            <w:pPr/>
          </w:p>
        </w:tc>
        <w:tc>
          <w:tcPr>
            <w:tcW w:w="2340" w:type="dxa"/>
            <w:vMerge/>
            <w:tcBorders>
              <w:left w:val="single" w:sz="4" w:space="0" w:color="000000"/>
              <w:right w:val="single" w:sz="4" w:space="0" w:color="000000"/>
            </w:tcBorders>
          </w:tcPr>
          <w:p>
            <w:pPr/>
          </w:p>
        </w:tc>
      </w:tr>
      <w:tr>
        <w:trPr>
          <w:trHeight w:val="161" w:hRule="exact"/>
        </w:trPr>
        <w:tc>
          <w:tcPr>
            <w:tcW w:w="1512" w:type="dxa"/>
            <w:tcBorders>
              <w:top w:val="nil" w:sz="6" w:space="0" w:color="auto"/>
              <w:left w:val="single" w:sz="4" w:space="0" w:color="000000"/>
              <w:bottom w:val="single" w:sz="4" w:space="0" w:color="000000"/>
              <w:right w:val="single" w:sz="4" w:space="0" w:color="000000"/>
            </w:tcBorders>
            <w:shd w:val="clear" w:color="auto" w:fill="D2D2D2"/>
          </w:tcPr>
          <w:p>
            <w:pPr/>
          </w:p>
        </w:tc>
        <w:tc>
          <w:tcPr>
            <w:tcW w:w="1916" w:type="dxa"/>
            <w:vMerge/>
            <w:tcBorders>
              <w:left w:val="single" w:sz="9" w:space="0" w:color="D2D2D2"/>
              <w:bottom w:val="single" w:sz="4" w:space="0" w:color="000000"/>
              <w:right w:val="single" w:sz="4" w:space="0" w:color="000000"/>
            </w:tcBorders>
          </w:tcPr>
          <w:p>
            <w:pPr/>
          </w:p>
        </w:tc>
        <w:tc>
          <w:tcPr>
            <w:tcW w:w="1623" w:type="dxa"/>
            <w:vMerge/>
            <w:tcBorders>
              <w:left w:val="single" w:sz="4" w:space="0" w:color="000000"/>
              <w:bottom w:val="single" w:sz="4" w:space="0" w:color="000000"/>
              <w:right w:val="single" w:sz="4" w:space="0" w:color="000000"/>
            </w:tcBorders>
          </w:tcPr>
          <w:p>
            <w:pPr/>
          </w:p>
        </w:tc>
        <w:tc>
          <w:tcPr>
            <w:tcW w:w="2166" w:type="dxa"/>
            <w:vMerge/>
            <w:tcBorders>
              <w:left w:val="single" w:sz="4" w:space="0" w:color="000000"/>
              <w:bottom w:val="single" w:sz="4" w:space="0" w:color="000000"/>
              <w:right w:val="single" w:sz="4" w:space="0" w:color="000000"/>
            </w:tcBorders>
          </w:tcPr>
          <w:p>
            <w:pPr/>
          </w:p>
        </w:tc>
        <w:tc>
          <w:tcPr>
            <w:tcW w:w="2340" w:type="dxa"/>
            <w:vMerge/>
            <w:tcBorders>
              <w:left w:val="single" w:sz="4" w:space="0" w:color="000000"/>
              <w:bottom w:val="single" w:sz="4" w:space="0" w:color="000000"/>
              <w:right w:val="single" w:sz="4" w:space="0" w:color="000000"/>
            </w:tcBorders>
          </w:tcPr>
          <w:p>
            <w:pPr/>
          </w:p>
        </w:tc>
      </w:tr>
      <w:tr>
        <w:trPr>
          <w:trHeight w:val="162" w:hRule="exact"/>
        </w:trPr>
        <w:tc>
          <w:tcPr>
            <w:tcW w:w="1512" w:type="dxa"/>
            <w:tcBorders>
              <w:top w:val="single" w:sz="4" w:space="0" w:color="000000"/>
              <w:left w:val="single" w:sz="4" w:space="0" w:color="000000"/>
              <w:bottom w:val="nil" w:sz="6" w:space="0" w:color="auto"/>
              <w:right w:val="single" w:sz="4" w:space="0" w:color="000000"/>
            </w:tcBorders>
            <w:shd w:val="clear" w:color="auto" w:fill="D2D2D2"/>
          </w:tcPr>
          <w:p>
            <w:pPr/>
          </w:p>
        </w:tc>
        <w:tc>
          <w:tcPr>
            <w:tcW w:w="1916" w:type="dxa"/>
            <w:vMerge w:val="restart"/>
            <w:tcBorders>
              <w:top w:val="single" w:sz="4" w:space="0" w:color="000000"/>
              <w:left w:val="single" w:sz="9" w:space="0" w:color="D2D2D2"/>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937" w:right="0"/>
              <w:jc w:val="left"/>
              <w:rPr>
                <w:rFonts w:ascii="Times New Roman" w:hAnsi="Times New Roman" w:cs="Times New Roman" w:eastAsia="Times New Roman" w:hint="default"/>
                <w:sz w:val="18"/>
                <w:szCs w:val="18"/>
              </w:rPr>
            </w:pPr>
            <w:r>
              <w:rPr>
                <w:rFonts w:ascii="Times New Roman"/>
                <w:sz w:val="18"/>
              </w:rPr>
              <w:t>3,119,849.54</w:t>
            </w:r>
          </w:p>
        </w:tc>
        <w:tc>
          <w:tcPr>
            <w:tcW w:w="1623"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2.85%</w:t>
            </w:r>
          </w:p>
        </w:tc>
        <w:tc>
          <w:tcPr>
            <w:tcW w:w="2166" w:type="dxa"/>
            <w:vMerge w:val="restart"/>
            <w:tcBorders>
              <w:top w:val="single" w:sz="4" w:space="0" w:color="000000"/>
              <w:left w:val="single" w:sz="4" w:space="0" w:color="000000"/>
              <w:right w:val="single" w:sz="4" w:space="0" w:color="000000"/>
            </w:tcBorders>
          </w:tcPr>
          <w:p>
            <w:pPr>
              <w:pStyle w:val="TableParagraph"/>
              <w:spacing w:line="316" w:lineRule="auto" w:before="52"/>
              <w:ind w:left="23" w:right="150"/>
              <w:jc w:val="left"/>
              <w:rPr>
                <w:rFonts w:ascii="宋体" w:hAnsi="宋体" w:cs="宋体" w:eastAsia="宋体" w:hint="default"/>
                <w:sz w:val="18"/>
                <w:szCs w:val="18"/>
              </w:rPr>
            </w:pPr>
            <w:r>
              <w:rPr>
                <w:rFonts w:ascii="宋体" w:hAnsi="宋体" w:cs="宋体" w:eastAsia="宋体" w:hint="default"/>
                <w:sz w:val="18"/>
                <w:szCs w:val="18"/>
              </w:rPr>
              <w:t>主要系除增值税退税外的 政府补助</w:t>
            </w:r>
          </w:p>
        </w:tc>
        <w:tc>
          <w:tcPr>
            <w:tcW w:w="2340"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391" w:hRule="exact"/>
        </w:trPr>
        <w:tc>
          <w:tcPr>
            <w:tcW w:w="151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营业外收入</w:t>
            </w:r>
          </w:p>
        </w:tc>
        <w:tc>
          <w:tcPr>
            <w:tcW w:w="1916" w:type="dxa"/>
            <w:vMerge/>
            <w:tcBorders>
              <w:left w:val="single" w:sz="9" w:space="0" w:color="D2D2D2"/>
              <w:right w:val="single" w:sz="4" w:space="0" w:color="000000"/>
            </w:tcBorders>
          </w:tcPr>
          <w:p>
            <w:pPr/>
          </w:p>
        </w:tc>
        <w:tc>
          <w:tcPr>
            <w:tcW w:w="1623" w:type="dxa"/>
            <w:vMerge/>
            <w:tcBorders>
              <w:left w:val="single" w:sz="4" w:space="0" w:color="000000"/>
              <w:right w:val="single" w:sz="4" w:space="0" w:color="000000"/>
            </w:tcBorders>
          </w:tcPr>
          <w:p>
            <w:pPr/>
          </w:p>
        </w:tc>
        <w:tc>
          <w:tcPr>
            <w:tcW w:w="2166" w:type="dxa"/>
            <w:vMerge/>
            <w:tcBorders>
              <w:left w:val="single" w:sz="4" w:space="0" w:color="000000"/>
              <w:right w:val="single" w:sz="4" w:space="0" w:color="000000"/>
            </w:tcBorders>
          </w:tcPr>
          <w:p>
            <w:pPr/>
          </w:p>
        </w:tc>
        <w:tc>
          <w:tcPr>
            <w:tcW w:w="2340" w:type="dxa"/>
            <w:vMerge/>
            <w:tcBorders>
              <w:left w:val="single" w:sz="4" w:space="0" w:color="000000"/>
              <w:right w:val="single" w:sz="4" w:space="0" w:color="000000"/>
            </w:tcBorders>
          </w:tcPr>
          <w:p>
            <w:pPr/>
          </w:p>
        </w:tc>
      </w:tr>
      <w:tr>
        <w:trPr>
          <w:trHeight w:val="161" w:hRule="exact"/>
        </w:trPr>
        <w:tc>
          <w:tcPr>
            <w:tcW w:w="1512" w:type="dxa"/>
            <w:tcBorders>
              <w:top w:val="nil" w:sz="6" w:space="0" w:color="auto"/>
              <w:left w:val="single" w:sz="4" w:space="0" w:color="000000"/>
              <w:bottom w:val="single" w:sz="4" w:space="0" w:color="000000"/>
              <w:right w:val="single" w:sz="4" w:space="0" w:color="000000"/>
            </w:tcBorders>
            <w:shd w:val="clear" w:color="auto" w:fill="D2D2D2"/>
          </w:tcPr>
          <w:p>
            <w:pPr/>
          </w:p>
        </w:tc>
        <w:tc>
          <w:tcPr>
            <w:tcW w:w="1916" w:type="dxa"/>
            <w:vMerge/>
            <w:tcBorders>
              <w:left w:val="single" w:sz="9" w:space="0" w:color="D2D2D2"/>
              <w:bottom w:val="single" w:sz="4" w:space="0" w:color="000000"/>
              <w:right w:val="single" w:sz="4" w:space="0" w:color="000000"/>
            </w:tcBorders>
          </w:tcPr>
          <w:p>
            <w:pPr/>
          </w:p>
        </w:tc>
        <w:tc>
          <w:tcPr>
            <w:tcW w:w="1623" w:type="dxa"/>
            <w:vMerge/>
            <w:tcBorders>
              <w:left w:val="single" w:sz="4" w:space="0" w:color="000000"/>
              <w:bottom w:val="single" w:sz="4" w:space="0" w:color="000000"/>
              <w:right w:val="single" w:sz="4" w:space="0" w:color="000000"/>
            </w:tcBorders>
          </w:tcPr>
          <w:p>
            <w:pPr/>
          </w:p>
        </w:tc>
        <w:tc>
          <w:tcPr>
            <w:tcW w:w="2166" w:type="dxa"/>
            <w:vMerge/>
            <w:tcBorders>
              <w:left w:val="single" w:sz="4" w:space="0" w:color="000000"/>
              <w:bottom w:val="single" w:sz="4" w:space="0" w:color="000000"/>
              <w:right w:val="single" w:sz="4" w:space="0" w:color="000000"/>
            </w:tcBorders>
          </w:tcPr>
          <w:p>
            <w:pPr/>
          </w:p>
        </w:tc>
        <w:tc>
          <w:tcPr>
            <w:tcW w:w="2340" w:type="dxa"/>
            <w:vMerge/>
            <w:tcBorders>
              <w:left w:val="single" w:sz="4" w:space="0" w:color="000000"/>
              <w:bottom w:val="single" w:sz="4" w:space="0" w:color="000000"/>
              <w:right w:val="single" w:sz="4" w:space="0" w:color="000000"/>
            </w:tcBorders>
          </w:tcPr>
          <w:p>
            <w:pPr/>
          </w:p>
        </w:tc>
      </w:tr>
      <w:tr>
        <w:trPr>
          <w:trHeight w:val="162" w:hRule="exact"/>
        </w:trPr>
        <w:tc>
          <w:tcPr>
            <w:tcW w:w="1512" w:type="dxa"/>
            <w:tcBorders>
              <w:top w:val="single" w:sz="4" w:space="0" w:color="000000"/>
              <w:left w:val="single" w:sz="4" w:space="0" w:color="000000"/>
              <w:bottom w:val="nil" w:sz="6" w:space="0" w:color="auto"/>
              <w:right w:val="single" w:sz="4" w:space="0" w:color="000000"/>
            </w:tcBorders>
            <w:shd w:val="clear" w:color="auto" w:fill="D2D2D2"/>
          </w:tcPr>
          <w:p>
            <w:pPr/>
          </w:p>
        </w:tc>
        <w:tc>
          <w:tcPr>
            <w:tcW w:w="1916" w:type="dxa"/>
            <w:vMerge w:val="restart"/>
            <w:tcBorders>
              <w:top w:val="single" w:sz="4" w:space="0" w:color="000000"/>
              <w:left w:val="single" w:sz="9" w:space="0" w:color="D2D2D2"/>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931" w:right="0"/>
              <w:jc w:val="left"/>
              <w:rPr>
                <w:rFonts w:ascii="Times New Roman" w:hAnsi="Times New Roman" w:cs="Times New Roman" w:eastAsia="Times New Roman" w:hint="default"/>
                <w:sz w:val="18"/>
                <w:szCs w:val="18"/>
              </w:rPr>
            </w:pPr>
            <w:r>
              <w:rPr>
                <w:rFonts w:ascii="Times New Roman"/>
                <w:sz w:val="18"/>
              </w:rPr>
              <w:t>1,013,307.56</w:t>
            </w:r>
          </w:p>
        </w:tc>
        <w:tc>
          <w:tcPr>
            <w:tcW w:w="1623"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0.93%</w:t>
            </w:r>
          </w:p>
        </w:tc>
        <w:tc>
          <w:tcPr>
            <w:tcW w:w="2166" w:type="dxa"/>
            <w:vMerge w:val="restart"/>
            <w:tcBorders>
              <w:top w:val="single" w:sz="4" w:space="0" w:color="000000"/>
              <w:left w:val="single" w:sz="4" w:space="0" w:color="000000"/>
              <w:right w:val="single" w:sz="4" w:space="0" w:color="000000"/>
            </w:tcBorders>
          </w:tcPr>
          <w:p>
            <w:pPr>
              <w:pStyle w:val="TableParagraph"/>
              <w:spacing w:line="316" w:lineRule="auto" w:before="52"/>
              <w:ind w:left="23" w:right="150"/>
              <w:jc w:val="left"/>
              <w:rPr>
                <w:rFonts w:ascii="宋体" w:hAnsi="宋体" w:cs="宋体" w:eastAsia="宋体" w:hint="default"/>
                <w:sz w:val="18"/>
                <w:szCs w:val="18"/>
              </w:rPr>
            </w:pPr>
            <w:r>
              <w:rPr>
                <w:rFonts w:ascii="宋体" w:hAnsi="宋体" w:cs="宋体" w:eastAsia="宋体" w:hint="default"/>
                <w:sz w:val="18"/>
                <w:szCs w:val="18"/>
              </w:rPr>
              <w:t>主要系报告期内子公司迪 科远望对外捐赠支出</w:t>
            </w:r>
          </w:p>
        </w:tc>
        <w:tc>
          <w:tcPr>
            <w:tcW w:w="2340"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91" w:hRule="exact"/>
        </w:trPr>
        <w:tc>
          <w:tcPr>
            <w:tcW w:w="151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营业外支出</w:t>
            </w:r>
          </w:p>
        </w:tc>
        <w:tc>
          <w:tcPr>
            <w:tcW w:w="1916" w:type="dxa"/>
            <w:vMerge/>
            <w:tcBorders>
              <w:left w:val="single" w:sz="9" w:space="0" w:color="D2D2D2"/>
              <w:right w:val="single" w:sz="4" w:space="0" w:color="000000"/>
            </w:tcBorders>
          </w:tcPr>
          <w:p>
            <w:pPr/>
          </w:p>
        </w:tc>
        <w:tc>
          <w:tcPr>
            <w:tcW w:w="1623" w:type="dxa"/>
            <w:vMerge/>
            <w:tcBorders>
              <w:left w:val="single" w:sz="4" w:space="0" w:color="000000"/>
              <w:right w:val="single" w:sz="4" w:space="0" w:color="000000"/>
            </w:tcBorders>
          </w:tcPr>
          <w:p>
            <w:pPr/>
          </w:p>
        </w:tc>
        <w:tc>
          <w:tcPr>
            <w:tcW w:w="2166" w:type="dxa"/>
            <w:vMerge/>
            <w:tcBorders>
              <w:left w:val="single" w:sz="4" w:space="0" w:color="000000"/>
              <w:right w:val="single" w:sz="4" w:space="0" w:color="000000"/>
            </w:tcBorders>
          </w:tcPr>
          <w:p>
            <w:pPr/>
          </w:p>
        </w:tc>
        <w:tc>
          <w:tcPr>
            <w:tcW w:w="2340" w:type="dxa"/>
            <w:vMerge/>
            <w:tcBorders>
              <w:left w:val="single" w:sz="4" w:space="0" w:color="000000"/>
              <w:right w:val="single" w:sz="4" w:space="0" w:color="000000"/>
            </w:tcBorders>
          </w:tcPr>
          <w:p>
            <w:pPr/>
          </w:p>
        </w:tc>
      </w:tr>
      <w:tr>
        <w:trPr>
          <w:trHeight w:val="162" w:hRule="exact"/>
        </w:trPr>
        <w:tc>
          <w:tcPr>
            <w:tcW w:w="1512" w:type="dxa"/>
            <w:tcBorders>
              <w:top w:val="nil" w:sz="6" w:space="0" w:color="auto"/>
              <w:left w:val="single" w:sz="4" w:space="0" w:color="000000"/>
              <w:bottom w:val="single" w:sz="4" w:space="0" w:color="000000"/>
              <w:right w:val="single" w:sz="4" w:space="0" w:color="000000"/>
            </w:tcBorders>
            <w:shd w:val="clear" w:color="auto" w:fill="D2D2D2"/>
          </w:tcPr>
          <w:p>
            <w:pPr/>
          </w:p>
        </w:tc>
        <w:tc>
          <w:tcPr>
            <w:tcW w:w="1916" w:type="dxa"/>
            <w:vMerge/>
            <w:tcBorders>
              <w:left w:val="single" w:sz="9" w:space="0" w:color="D2D2D2"/>
              <w:bottom w:val="single" w:sz="4" w:space="0" w:color="000000"/>
              <w:right w:val="single" w:sz="4" w:space="0" w:color="000000"/>
            </w:tcBorders>
          </w:tcPr>
          <w:p>
            <w:pPr/>
          </w:p>
        </w:tc>
        <w:tc>
          <w:tcPr>
            <w:tcW w:w="1623" w:type="dxa"/>
            <w:vMerge/>
            <w:tcBorders>
              <w:left w:val="single" w:sz="4" w:space="0" w:color="000000"/>
              <w:bottom w:val="single" w:sz="4" w:space="0" w:color="000000"/>
              <w:right w:val="single" w:sz="4" w:space="0" w:color="000000"/>
            </w:tcBorders>
          </w:tcPr>
          <w:p>
            <w:pPr/>
          </w:p>
        </w:tc>
        <w:tc>
          <w:tcPr>
            <w:tcW w:w="2166" w:type="dxa"/>
            <w:vMerge/>
            <w:tcBorders>
              <w:left w:val="single" w:sz="4" w:space="0" w:color="000000"/>
              <w:bottom w:val="single" w:sz="4" w:space="0" w:color="000000"/>
              <w:right w:val="single" w:sz="4" w:space="0" w:color="000000"/>
            </w:tcBorders>
          </w:tcPr>
          <w:p>
            <w:pPr/>
          </w:p>
        </w:tc>
        <w:tc>
          <w:tcPr>
            <w:tcW w:w="2340" w:type="dxa"/>
            <w:vMerge/>
            <w:tcBorders>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sz w:val="18"/>
          <w:szCs w:val="18"/>
        </w:rPr>
      </w:pPr>
    </w:p>
    <w:p>
      <w:pPr>
        <w:pStyle w:val="Heading2"/>
        <w:spacing w:line="240" w:lineRule="auto" w:before="26"/>
        <w:ind w:right="1117"/>
        <w:jc w:val="left"/>
        <w:rPr>
          <w:b w:val="0"/>
          <w:bCs w:val="0"/>
        </w:rPr>
      </w:pPr>
      <w:bookmarkStart w:name="四、资产及负债状况" w:id="39"/>
      <w:bookmarkEnd w:id="39"/>
      <w:r>
        <w:rPr>
          <w:b w:val="0"/>
          <w:bCs w:val="0"/>
        </w:rPr>
      </w:r>
      <w:r>
        <w:rPr/>
        <w:t>四、资产及负债状况</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1117"/>
        <w:jc w:val="left"/>
        <w:rPr>
          <w:b w:val="0"/>
          <w:bCs w:val="0"/>
        </w:rPr>
      </w:pPr>
      <w:bookmarkStart w:name="1、资产构成重大变动情况" w:id="40"/>
      <w:bookmarkEnd w:id="40"/>
      <w:r>
        <w:rPr>
          <w:b w:val="0"/>
          <w:bCs w:val="0"/>
        </w:rPr>
      </w:r>
      <w:r>
        <w:rPr>
          <w:rFonts w:ascii="Times New Roman" w:hAnsi="Times New Roman" w:cs="Times New Roman" w:eastAsia="Times New Roman" w:hint="default"/>
        </w:rPr>
        <w:t>1</w:t>
      </w:r>
      <w:r>
        <w:rPr/>
        <w:t>、资产构成重大变动情况</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4"/>
          <w:szCs w:val="14"/>
        </w:rPr>
      </w:pPr>
    </w:p>
    <w:p>
      <w:pPr>
        <w:spacing w:before="65"/>
        <w:ind w:left="0" w:right="1138" w:firstLine="0"/>
        <w:jc w:val="right"/>
        <w:rPr>
          <w:rFonts w:ascii="宋体" w:hAnsi="宋体" w:cs="宋体" w:eastAsia="宋体" w:hint="default"/>
          <w:sz w:val="18"/>
          <w:szCs w:val="18"/>
        </w:rPr>
      </w:pPr>
      <w:r>
        <w:rPr/>
        <w:pict>
          <v:shape style="position:absolute;margin-left:57.029999pt;margin-top:-56.638317pt;width:478.65pt;height:76.4pt;mso-position-horizontal-relative:page;mso-position-vertical-relative:paragraph;z-index:124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357"/>
                    <w:gridCol w:w="1164"/>
                    <w:gridCol w:w="1052"/>
                    <w:gridCol w:w="1218"/>
                    <w:gridCol w:w="1040"/>
                    <w:gridCol w:w="810"/>
                    <w:gridCol w:w="2918"/>
                  </w:tblGrid>
                  <w:tr>
                    <w:trPr>
                      <w:trHeight w:val="380" w:hRule="exact"/>
                    </w:trPr>
                    <w:tc>
                      <w:tcPr>
                        <w:tcW w:w="1357" w:type="dxa"/>
                        <w:tcBorders>
                          <w:top w:val="single" w:sz="4" w:space="0" w:color="000000"/>
                          <w:left w:val="single" w:sz="4" w:space="0" w:color="000000"/>
                          <w:bottom w:val="single" w:sz="14" w:space="0" w:color="FFFFFF"/>
                          <w:right w:val="single" w:sz="4" w:space="0" w:color="000000"/>
                        </w:tcBorders>
                        <w:shd w:val="clear" w:color="auto" w:fill="D2D2D2"/>
                      </w:tcPr>
                      <w:p>
                        <w:pPr/>
                      </w:p>
                    </w:tc>
                    <w:tc>
                      <w:tcPr>
                        <w:tcW w:w="2216" w:type="dxa"/>
                        <w:gridSpan w:val="2"/>
                        <w:tcBorders>
                          <w:top w:val="single" w:sz="4" w:space="0" w:color="000000"/>
                          <w:left w:val="single" w:sz="4" w:space="0" w:color="000000"/>
                          <w:bottom w:val="single" w:sz="14" w:space="0" w:color="FFFFFF"/>
                          <w:right w:val="single" w:sz="4" w:space="0" w:color="000000"/>
                        </w:tcBorders>
                        <w:shd w:val="clear" w:color="auto" w:fill="D2D2D2"/>
                      </w:tcPr>
                      <w:p>
                        <w:pPr>
                          <w:pStyle w:val="TableParagraph"/>
                          <w:spacing w:line="240" w:lineRule="auto" w:before="51"/>
                          <w:ind w:left="72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c>
                      <w:tcPr>
                        <w:tcW w:w="2258" w:type="dxa"/>
                        <w:gridSpan w:val="2"/>
                        <w:tcBorders>
                          <w:top w:val="single" w:sz="4" w:space="0" w:color="000000"/>
                          <w:left w:val="single" w:sz="4" w:space="0" w:color="000000"/>
                          <w:bottom w:val="single" w:sz="14" w:space="0" w:color="FFFFFF"/>
                          <w:right w:val="single" w:sz="4" w:space="0" w:color="000000"/>
                        </w:tcBorders>
                        <w:shd w:val="clear" w:color="auto" w:fill="D2D2D2"/>
                      </w:tcPr>
                      <w:p>
                        <w:pPr>
                          <w:pStyle w:val="TableParagraph"/>
                          <w:spacing w:line="240" w:lineRule="auto" w:before="51"/>
                          <w:ind w:left="75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c>
                      <w:tcPr>
                        <w:tcW w:w="810" w:type="dxa"/>
                        <w:tcBorders>
                          <w:top w:val="single" w:sz="4" w:space="0" w:color="000000"/>
                          <w:left w:val="single" w:sz="4" w:space="0" w:color="000000"/>
                          <w:bottom w:val="single" w:sz="14" w:space="0" w:color="FFFFFF"/>
                          <w:right w:val="single" w:sz="4" w:space="0" w:color="000000"/>
                        </w:tcBorders>
                        <w:shd w:val="clear" w:color="auto" w:fill="D2D2D2"/>
                      </w:tcPr>
                      <w:p>
                        <w:pPr/>
                      </w:p>
                    </w:tc>
                    <w:tc>
                      <w:tcPr>
                        <w:tcW w:w="2918" w:type="dxa"/>
                        <w:tcBorders>
                          <w:top w:val="single" w:sz="4" w:space="0" w:color="000000"/>
                          <w:left w:val="single" w:sz="4" w:space="0" w:color="000000"/>
                          <w:bottom w:val="single" w:sz="14" w:space="0" w:color="FFFFFF"/>
                          <w:right w:val="single" w:sz="4" w:space="0" w:color="000000"/>
                        </w:tcBorders>
                        <w:shd w:val="clear" w:color="auto" w:fill="D2D2D2"/>
                      </w:tcPr>
                      <w:p>
                        <w:pPr/>
                      </w:p>
                    </w:tc>
                  </w:tr>
                  <w:tr>
                    <w:trPr>
                      <w:trHeight w:val="183" w:hRule="exact"/>
                    </w:trPr>
                    <w:tc>
                      <w:tcPr>
                        <w:tcW w:w="1357" w:type="dxa"/>
                        <w:vMerge w:val="restart"/>
                        <w:tcBorders>
                          <w:top w:val="single" w:sz="14" w:space="0" w:color="FFFFFF"/>
                          <w:left w:val="single" w:sz="4" w:space="0" w:color="000000"/>
                          <w:right w:val="single" w:sz="4" w:space="0" w:color="000000"/>
                        </w:tcBorders>
                        <w:shd w:val="clear" w:color="auto" w:fill="D2D2D2"/>
                      </w:tcPr>
                      <w:p>
                        <w:pPr/>
                      </w:p>
                    </w:tc>
                    <w:tc>
                      <w:tcPr>
                        <w:tcW w:w="1164" w:type="dxa"/>
                        <w:tcBorders>
                          <w:top w:val="single" w:sz="14" w:space="0" w:color="FFFFFF"/>
                          <w:left w:val="single" w:sz="4" w:space="0" w:color="000000"/>
                          <w:bottom w:val="nil" w:sz="6" w:space="0" w:color="auto"/>
                          <w:right w:val="single" w:sz="4" w:space="0" w:color="000000"/>
                        </w:tcBorders>
                        <w:shd w:val="clear" w:color="auto" w:fill="D2D2D2"/>
                      </w:tcPr>
                      <w:p>
                        <w:pPr/>
                      </w:p>
                    </w:tc>
                    <w:tc>
                      <w:tcPr>
                        <w:tcW w:w="1052" w:type="dxa"/>
                        <w:vMerge w:val="restart"/>
                        <w:tcBorders>
                          <w:top w:val="single" w:sz="14" w:space="0" w:color="FFFFFF"/>
                          <w:left w:val="single" w:sz="4" w:space="0" w:color="000000"/>
                          <w:right w:val="single" w:sz="4" w:space="0" w:color="000000"/>
                        </w:tcBorders>
                        <w:shd w:val="clear" w:color="auto" w:fill="D2D2D2"/>
                      </w:tcPr>
                      <w:p>
                        <w:pPr>
                          <w:pStyle w:val="TableParagraph"/>
                          <w:spacing w:line="319" w:lineRule="auto" w:before="61"/>
                          <w:ind w:left="435" w:right="64" w:hanging="360"/>
                          <w:jc w:val="left"/>
                          <w:rPr>
                            <w:rFonts w:ascii="宋体" w:hAnsi="宋体" w:cs="宋体" w:eastAsia="宋体" w:hint="default"/>
                            <w:sz w:val="18"/>
                            <w:szCs w:val="18"/>
                          </w:rPr>
                        </w:pPr>
                        <w:r>
                          <w:rPr>
                            <w:rFonts w:ascii="宋体" w:hAnsi="宋体" w:cs="宋体" w:eastAsia="宋体" w:hint="default"/>
                            <w:sz w:val="18"/>
                            <w:szCs w:val="18"/>
                          </w:rPr>
                          <w:t>占总资产比 例</w:t>
                        </w:r>
                      </w:p>
                    </w:tc>
                    <w:tc>
                      <w:tcPr>
                        <w:tcW w:w="1218" w:type="dxa"/>
                        <w:tcBorders>
                          <w:top w:val="single" w:sz="14" w:space="0" w:color="FFFFFF"/>
                          <w:left w:val="single" w:sz="4" w:space="0" w:color="000000"/>
                          <w:bottom w:val="nil" w:sz="6" w:space="0" w:color="auto"/>
                          <w:right w:val="single" w:sz="4" w:space="0" w:color="000000"/>
                        </w:tcBorders>
                        <w:shd w:val="clear" w:color="auto" w:fill="D2D2D2"/>
                      </w:tcPr>
                      <w:p>
                        <w:pPr/>
                      </w:p>
                    </w:tc>
                    <w:tc>
                      <w:tcPr>
                        <w:tcW w:w="1040" w:type="dxa"/>
                        <w:vMerge w:val="restart"/>
                        <w:tcBorders>
                          <w:top w:val="single" w:sz="14" w:space="0" w:color="FFFFFF"/>
                          <w:left w:val="single" w:sz="4" w:space="0" w:color="000000"/>
                          <w:right w:val="single" w:sz="4" w:space="0" w:color="000000"/>
                        </w:tcBorders>
                        <w:shd w:val="clear" w:color="auto" w:fill="D2D2D2"/>
                      </w:tcPr>
                      <w:p>
                        <w:pPr>
                          <w:pStyle w:val="TableParagraph"/>
                          <w:spacing w:line="319" w:lineRule="auto" w:before="61"/>
                          <w:ind w:left="424" w:right="65" w:hanging="360"/>
                          <w:jc w:val="left"/>
                          <w:rPr>
                            <w:rFonts w:ascii="宋体" w:hAnsi="宋体" w:cs="宋体" w:eastAsia="宋体" w:hint="default"/>
                            <w:sz w:val="18"/>
                            <w:szCs w:val="18"/>
                          </w:rPr>
                        </w:pPr>
                        <w:r>
                          <w:rPr>
                            <w:rFonts w:ascii="宋体" w:hAnsi="宋体" w:cs="宋体" w:eastAsia="宋体" w:hint="default"/>
                            <w:sz w:val="18"/>
                            <w:szCs w:val="18"/>
                          </w:rPr>
                          <w:t>占总资产比 例</w:t>
                        </w:r>
                      </w:p>
                    </w:tc>
                    <w:tc>
                      <w:tcPr>
                        <w:tcW w:w="810" w:type="dxa"/>
                        <w:vMerge w:val="restart"/>
                        <w:tcBorders>
                          <w:top w:val="single" w:sz="14" w:space="0" w:color="FFFFFF"/>
                          <w:left w:val="single" w:sz="4" w:space="0" w:color="000000"/>
                          <w:right w:val="single" w:sz="4" w:space="0" w:color="000000"/>
                        </w:tcBorders>
                        <w:shd w:val="clear" w:color="auto" w:fill="D2D2D2"/>
                      </w:tcPr>
                      <w:p>
                        <w:pPr>
                          <w:pStyle w:val="TableParagraph"/>
                          <w:spacing w:line="240" w:lineRule="auto" w:before="16"/>
                          <w:ind w:left="45" w:right="0"/>
                          <w:jc w:val="left"/>
                          <w:rPr>
                            <w:rFonts w:ascii="宋体" w:hAnsi="宋体" w:cs="宋体" w:eastAsia="宋体" w:hint="default"/>
                            <w:sz w:val="18"/>
                            <w:szCs w:val="18"/>
                          </w:rPr>
                        </w:pPr>
                        <w:r>
                          <w:rPr>
                            <w:rFonts w:ascii="宋体" w:hAnsi="宋体" w:cs="宋体" w:eastAsia="宋体" w:hint="default"/>
                            <w:sz w:val="18"/>
                            <w:szCs w:val="18"/>
                          </w:rPr>
                          <w:t>比重增减</w:t>
                        </w:r>
                      </w:p>
                    </w:tc>
                    <w:tc>
                      <w:tcPr>
                        <w:tcW w:w="2918" w:type="dxa"/>
                        <w:vMerge w:val="restart"/>
                        <w:tcBorders>
                          <w:top w:val="single" w:sz="14" w:space="0" w:color="FFFFFF"/>
                          <w:left w:val="single" w:sz="4" w:space="0" w:color="000000"/>
                          <w:right w:val="single" w:sz="4" w:space="0" w:color="000000"/>
                        </w:tcBorders>
                        <w:shd w:val="clear" w:color="auto" w:fill="D2D2D2"/>
                      </w:tcPr>
                      <w:p>
                        <w:pPr>
                          <w:pStyle w:val="TableParagraph"/>
                          <w:spacing w:line="240" w:lineRule="auto" w:before="16"/>
                          <w:ind w:left="913" w:right="0"/>
                          <w:jc w:val="left"/>
                          <w:rPr>
                            <w:rFonts w:ascii="宋体" w:hAnsi="宋体" w:cs="宋体" w:eastAsia="宋体" w:hint="default"/>
                            <w:sz w:val="18"/>
                            <w:szCs w:val="18"/>
                          </w:rPr>
                        </w:pPr>
                        <w:r>
                          <w:rPr>
                            <w:rFonts w:ascii="宋体" w:hAnsi="宋体" w:cs="宋体" w:eastAsia="宋体" w:hint="default"/>
                            <w:sz w:val="18"/>
                            <w:szCs w:val="18"/>
                          </w:rPr>
                          <w:t>重大变动说明</w:t>
                        </w:r>
                      </w:p>
                    </w:tc>
                  </w:tr>
                  <w:tr>
                    <w:trPr>
                      <w:trHeight w:val="192" w:hRule="exact"/>
                    </w:trPr>
                    <w:tc>
                      <w:tcPr>
                        <w:tcW w:w="1357" w:type="dxa"/>
                        <w:vMerge/>
                        <w:tcBorders>
                          <w:left w:val="single" w:sz="4" w:space="0" w:color="000000"/>
                          <w:bottom w:val="nil" w:sz="6" w:space="0" w:color="auto"/>
                          <w:right w:val="single" w:sz="4" w:space="0" w:color="000000"/>
                        </w:tcBorders>
                        <w:shd w:val="clear" w:color="auto" w:fill="D2D2D2"/>
                      </w:tcPr>
                      <w:p>
                        <w:pPr/>
                      </w:p>
                    </w:tc>
                    <w:tc>
                      <w:tcPr>
                        <w:tcW w:w="116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052" w:type="dxa"/>
                        <w:vMerge/>
                        <w:tcBorders>
                          <w:left w:val="single" w:sz="4" w:space="0" w:color="000000"/>
                          <w:right w:val="single" w:sz="4" w:space="0" w:color="000000"/>
                        </w:tcBorders>
                        <w:shd w:val="clear" w:color="auto" w:fill="D2D2D2"/>
                      </w:tcPr>
                      <w:p>
                        <w:pPr/>
                      </w:p>
                    </w:tc>
                    <w:tc>
                      <w:tcPr>
                        <w:tcW w:w="121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040" w:type="dxa"/>
                        <w:vMerge/>
                        <w:tcBorders>
                          <w:left w:val="single" w:sz="4" w:space="0" w:color="000000"/>
                          <w:right w:val="single" w:sz="4" w:space="0" w:color="000000"/>
                        </w:tcBorders>
                        <w:shd w:val="clear" w:color="auto" w:fill="D2D2D2"/>
                      </w:tcPr>
                      <w:p>
                        <w:pPr/>
                      </w:p>
                    </w:tc>
                    <w:tc>
                      <w:tcPr>
                        <w:tcW w:w="810" w:type="dxa"/>
                        <w:vMerge/>
                        <w:tcBorders>
                          <w:left w:val="single" w:sz="4" w:space="0" w:color="000000"/>
                          <w:bottom w:val="nil" w:sz="6" w:space="0" w:color="auto"/>
                          <w:right w:val="single" w:sz="4" w:space="0" w:color="000000"/>
                        </w:tcBorders>
                        <w:shd w:val="clear" w:color="auto" w:fill="D2D2D2"/>
                      </w:tcPr>
                      <w:p>
                        <w:pPr/>
                      </w:p>
                    </w:tc>
                    <w:tc>
                      <w:tcPr>
                        <w:tcW w:w="2918" w:type="dxa"/>
                        <w:vMerge/>
                        <w:tcBorders>
                          <w:left w:val="single" w:sz="4" w:space="0" w:color="000000"/>
                          <w:bottom w:val="nil" w:sz="6" w:space="0" w:color="auto"/>
                          <w:right w:val="single" w:sz="4" w:space="0" w:color="000000"/>
                        </w:tcBorders>
                        <w:shd w:val="clear" w:color="auto" w:fill="D2D2D2"/>
                      </w:tcPr>
                      <w:p>
                        <w:pPr/>
                      </w:p>
                    </w:tc>
                  </w:tr>
                  <w:tr>
                    <w:trPr>
                      <w:trHeight w:val="200" w:hRule="exact"/>
                    </w:trPr>
                    <w:tc>
                      <w:tcPr>
                        <w:tcW w:w="1357" w:type="dxa"/>
                        <w:vMerge w:val="restart"/>
                        <w:tcBorders>
                          <w:top w:val="nil" w:sz="6" w:space="0" w:color="auto"/>
                          <w:left w:val="single" w:sz="4" w:space="0" w:color="000000"/>
                          <w:right w:val="single" w:sz="4" w:space="0" w:color="000000"/>
                        </w:tcBorders>
                        <w:shd w:val="clear" w:color="auto" w:fill="D2D2D2"/>
                      </w:tcPr>
                      <w:p>
                        <w:pPr/>
                      </w:p>
                    </w:tc>
                    <w:tc>
                      <w:tcPr>
                        <w:tcW w:w="1164" w:type="dxa"/>
                        <w:vMerge/>
                        <w:tcBorders>
                          <w:left w:val="single" w:sz="4" w:space="0" w:color="000000"/>
                          <w:bottom w:val="nil" w:sz="6" w:space="0" w:color="auto"/>
                          <w:right w:val="single" w:sz="4" w:space="0" w:color="000000"/>
                        </w:tcBorders>
                        <w:shd w:val="clear" w:color="auto" w:fill="D2D2D2"/>
                      </w:tcPr>
                      <w:p>
                        <w:pPr/>
                      </w:p>
                    </w:tc>
                    <w:tc>
                      <w:tcPr>
                        <w:tcW w:w="1052" w:type="dxa"/>
                        <w:vMerge/>
                        <w:tcBorders>
                          <w:left w:val="single" w:sz="4" w:space="0" w:color="000000"/>
                          <w:right w:val="single" w:sz="4" w:space="0" w:color="000000"/>
                        </w:tcBorders>
                        <w:shd w:val="clear" w:color="auto" w:fill="D2D2D2"/>
                      </w:tcPr>
                      <w:p>
                        <w:pPr/>
                      </w:p>
                    </w:tc>
                    <w:tc>
                      <w:tcPr>
                        <w:tcW w:w="1218" w:type="dxa"/>
                        <w:vMerge/>
                        <w:tcBorders>
                          <w:left w:val="single" w:sz="4" w:space="0" w:color="000000"/>
                          <w:bottom w:val="nil" w:sz="6" w:space="0" w:color="auto"/>
                          <w:right w:val="single" w:sz="4" w:space="0" w:color="000000"/>
                        </w:tcBorders>
                        <w:shd w:val="clear" w:color="auto" w:fill="D2D2D2"/>
                      </w:tcPr>
                      <w:p>
                        <w:pPr/>
                      </w:p>
                    </w:tc>
                    <w:tc>
                      <w:tcPr>
                        <w:tcW w:w="1040" w:type="dxa"/>
                        <w:vMerge/>
                        <w:tcBorders>
                          <w:left w:val="single" w:sz="4" w:space="0" w:color="000000"/>
                          <w:right w:val="single" w:sz="4" w:space="0" w:color="000000"/>
                        </w:tcBorders>
                        <w:shd w:val="clear" w:color="auto" w:fill="D2D2D2"/>
                      </w:tcPr>
                      <w:p>
                        <w:pPr/>
                      </w:p>
                    </w:tc>
                    <w:tc>
                      <w:tcPr>
                        <w:tcW w:w="810" w:type="dxa"/>
                        <w:vMerge w:val="restart"/>
                        <w:tcBorders>
                          <w:top w:val="nil" w:sz="6" w:space="0" w:color="auto"/>
                          <w:left w:val="single" w:sz="4" w:space="0" w:color="000000"/>
                          <w:right w:val="single" w:sz="4" w:space="0" w:color="000000"/>
                        </w:tcBorders>
                        <w:shd w:val="clear" w:color="auto" w:fill="D2D2D2"/>
                      </w:tcPr>
                      <w:p>
                        <w:pPr/>
                      </w:p>
                    </w:tc>
                    <w:tc>
                      <w:tcPr>
                        <w:tcW w:w="2918" w:type="dxa"/>
                        <w:vMerge w:val="restart"/>
                        <w:tcBorders>
                          <w:top w:val="nil" w:sz="6" w:space="0" w:color="auto"/>
                          <w:left w:val="single" w:sz="4" w:space="0" w:color="000000"/>
                          <w:right w:val="single" w:sz="4" w:space="0" w:color="000000"/>
                        </w:tcBorders>
                        <w:shd w:val="clear" w:color="auto" w:fill="D2D2D2"/>
                      </w:tcPr>
                      <w:p>
                        <w:pPr/>
                      </w:p>
                    </w:tc>
                  </w:tr>
                  <w:tr>
                    <w:trPr>
                      <w:trHeight w:val="161" w:hRule="exact"/>
                    </w:trPr>
                    <w:tc>
                      <w:tcPr>
                        <w:tcW w:w="1357" w:type="dxa"/>
                        <w:vMerge/>
                        <w:tcBorders>
                          <w:left w:val="single" w:sz="4" w:space="0" w:color="000000"/>
                          <w:bottom w:val="single" w:sz="4" w:space="0" w:color="000000"/>
                          <w:right w:val="single" w:sz="4" w:space="0" w:color="000000"/>
                        </w:tcBorders>
                        <w:shd w:val="clear" w:color="auto" w:fill="D2D2D2"/>
                      </w:tcPr>
                      <w:p>
                        <w:pPr/>
                      </w:p>
                    </w:tc>
                    <w:tc>
                      <w:tcPr>
                        <w:tcW w:w="1164" w:type="dxa"/>
                        <w:tcBorders>
                          <w:top w:val="nil" w:sz="6" w:space="0" w:color="auto"/>
                          <w:left w:val="single" w:sz="4" w:space="0" w:color="000000"/>
                          <w:bottom w:val="single" w:sz="4" w:space="0" w:color="000000"/>
                          <w:right w:val="single" w:sz="4" w:space="0" w:color="000000"/>
                        </w:tcBorders>
                        <w:shd w:val="clear" w:color="auto" w:fill="D2D2D2"/>
                      </w:tcPr>
                      <w:p>
                        <w:pPr/>
                      </w:p>
                    </w:tc>
                    <w:tc>
                      <w:tcPr>
                        <w:tcW w:w="1052" w:type="dxa"/>
                        <w:vMerge/>
                        <w:tcBorders>
                          <w:left w:val="single" w:sz="4" w:space="0" w:color="000000"/>
                          <w:bottom w:val="single" w:sz="4" w:space="0" w:color="000000"/>
                          <w:right w:val="single" w:sz="4" w:space="0" w:color="000000"/>
                        </w:tcBorders>
                        <w:shd w:val="clear" w:color="auto" w:fill="D2D2D2"/>
                      </w:tcPr>
                      <w:p>
                        <w:pPr/>
                      </w:p>
                    </w:tc>
                    <w:tc>
                      <w:tcPr>
                        <w:tcW w:w="1218" w:type="dxa"/>
                        <w:tcBorders>
                          <w:top w:val="nil" w:sz="6" w:space="0" w:color="auto"/>
                          <w:left w:val="single" w:sz="4" w:space="0" w:color="000000"/>
                          <w:bottom w:val="single" w:sz="4" w:space="0" w:color="000000"/>
                          <w:right w:val="single" w:sz="4" w:space="0" w:color="000000"/>
                        </w:tcBorders>
                        <w:shd w:val="clear" w:color="auto" w:fill="D2D2D2"/>
                      </w:tcPr>
                      <w:p>
                        <w:pPr/>
                      </w:p>
                    </w:tc>
                    <w:tc>
                      <w:tcPr>
                        <w:tcW w:w="1040" w:type="dxa"/>
                        <w:vMerge/>
                        <w:tcBorders>
                          <w:left w:val="single" w:sz="4" w:space="0" w:color="000000"/>
                          <w:bottom w:val="single" w:sz="4" w:space="0" w:color="000000"/>
                          <w:right w:val="single" w:sz="4" w:space="0" w:color="000000"/>
                        </w:tcBorders>
                        <w:shd w:val="clear" w:color="auto" w:fill="D2D2D2"/>
                      </w:tcPr>
                      <w:p>
                        <w:pPr/>
                      </w:p>
                    </w:tc>
                    <w:tc>
                      <w:tcPr>
                        <w:tcW w:w="810" w:type="dxa"/>
                        <w:vMerge/>
                        <w:tcBorders>
                          <w:left w:val="single" w:sz="4" w:space="0" w:color="000000"/>
                          <w:bottom w:val="single" w:sz="4" w:space="0" w:color="000000"/>
                          <w:right w:val="single" w:sz="4" w:space="0" w:color="000000"/>
                        </w:tcBorders>
                        <w:shd w:val="clear" w:color="auto" w:fill="D2D2D2"/>
                      </w:tcPr>
                      <w:p>
                        <w:pPr/>
                      </w:p>
                    </w:tc>
                    <w:tc>
                      <w:tcPr>
                        <w:tcW w:w="2918"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3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16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11"/>
                          <w:ind w:left="84" w:right="0"/>
                          <w:jc w:val="left"/>
                          <w:rPr>
                            <w:rFonts w:ascii="Times New Roman" w:hAnsi="Times New Roman" w:cs="Times New Roman" w:eastAsia="Times New Roman" w:hint="default"/>
                            <w:sz w:val="18"/>
                            <w:szCs w:val="18"/>
                          </w:rPr>
                        </w:pPr>
                        <w:r>
                          <w:rPr>
                            <w:rFonts w:ascii="Times New Roman"/>
                            <w:sz w:val="18"/>
                          </w:rPr>
                          <w:t>391,588,341.9</w:t>
                        </w:r>
                      </w:p>
                    </w:tc>
                    <w:tc>
                      <w:tcPr>
                        <w:tcW w:w="1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75" w:right="0"/>
                          <w:jc w:val="left"/>
                          <w:rPr>
                            <w:rFonts w:ascii="Times New Roman" w:hAnsi="Times New Roman" w:cs="Times New Roman" w:eastAsia="Times New Roman" w:hint="default"/>
                            <w:sz w:val="18"/>
                            <w:szCs w:val="18"/>
                          </w:rPr>
                        </w:pPr>
                        <w:r>
                          <w:rPr>
                            <w:rFonts w:ascii="Times New Roman"/>
                            <w:sz w:val="18"/>
                          </w:rPr>
                          <w:t>18.57%</w:t>
                        </w:r>
                      </w:p>
                    </w:tc>
                    <w:tc>
                      <w:tcPr>
                        <w:tcW w:w="12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8" w:right="0"/>
                          <w:jc w:val="left"/>
                          <w:rPr>
                            <w:rFonts w:ascii="Times New Roman" w:hAnsi="Times New Roman" w:cs="Times New Roman" w:eastAsia="Times New Roman" w:hint="default"/>
                            <w:sz w:val="18"/>
                            <w:szCs w:val="18"/>
                          </w:rPr>
                        </w:pPr>
                        <w:r>
                          <w:rPr>
                            <w:rFonts w:ascii="Times New Roman"/>
                            <w:sz w:val="18"/>
                          </w:rPr>
                          <w:t>594,278,568.35</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63" w:right="0"/>
                          <w:jc w:val="left"/>
                          <w:rPr>
                            <w:rFonts w:ascii="Times New Roman" w:hAnsi="Times New Roman" w:cs="Times New Roman" w:eastAsia="Times New Roman" w:hint="default"/>
                            <w:sz w:val="18"/>
                            <w:szCs w:val="18"/>
                          </w:rPr>
                        </w:pPr>
                        <w:r>
                          <w:rPr>
                            <w:rFonts w:ascii="Times New Roman"/>
                            <w:sz w:val="18"/>
                          </w:rPr>
                          <w:t>29.16%</w:t>
                        </w:r>
                      </w:p>
                    </w:tc>
                    <w:tc>
                      <w:tcPr>
                        <w:tcW w:w="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61" w:right="0"/>
                          <w:jc w:val="left"/>
                          <w:rPr>
                            <w:rFonts w:ascii="Times New Roman" w:hAnsi="Times New Roman" w:cs="Times New Roman" w:eastAsia="Times New Roman" w:hint="default"/>
                            <w:sz w:val="18"/>
                            <w:szCs w:val="18"/>
                          </w:rPr>
                        </w:pPr>
                        <w:r>
                          <w:rPr>
                            <w:rFonts w:ascii="Times New Roman"/>
                            <w:sz w:val="18"/>
                          </w:rPr>
                          <w:t>-10.59%</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22" w:right="0"/>
                          <w:jc w:val="left"/>
                          <w:rPr>
                            <w:rFonts w:ascii="宋体" w:hAnsi="宋体" w:cs="宋体" w:eastAsia="宋体" w:hint="default"/>
                            <w:sz w:val="18"/>
                            <w:szCs w:val="18"/>
                          </w:rPr>
                        </w:pPr>
                        <w:r>
                          <w:rPr>
                            <w:rFonts w:ascii="Times New Roman" w:hAnsi="Times New Roman" w:cs="Times New Roman" w:eastAsia="Times New Roman" w:hint="default"/>
                            <w:spacing w:val="-4"/>
                            <w:sz w:val="18"/>
                            <w:szCs w:val="18"/>
                          </w:rPr>
                          <w:t>A</w:t>
                        </w:r>
                        <w:r>
                          <w:rPr>
                            <w:rFonts w:ascii="宋体" w:hAnsi="宋体" w:cs="宋体" w:eastAsia="宋体" w:hint="default"/>
                            <w:spacing w:val="-4"/>
                            <w:sz w:val="18"/>
                            <w:szCs w:val="18"/>
                          </w:rPr>
                          <w:t>、本报告期限制性股票的回购注销</w:t>
                        </w:r>
                      </w:p>
                    </w:tc>
                  </w:tr>
                </w:tbl>
                <w:p>
                  <w:pPr/>
                </w:p>
              </w:txbxContent>
            </v:textbox>
            <w10:wrap type="none"/>
          </v:shape>
        </w:pict>
      </w:r>
      <w:r>
        <w:rPr>
          <w:rFonts w:ascii="宋体" w:hAnsi="宋体" w:cs="宋体" w:eastAsia="宋体" w:hint="default"/>
          <w:sz w:val="18"/>
          <w:szCs w:val="18"/>
        </w:rPr>
        <w:t>，</w:t>
      </w:r>
    </w:p>
    <w:p>
      <w:pPr>
        <w:spacing w:after="0"/>
        <w:jc w:val="right"/>
        <w:rPr>
          <w:rFonts w:ascii="宋体" w:hAnsi="宋体" w:cs="宋体" w:eastAsia="宋体" w:hint="default"/>
          <w:sz w:val="18"/>
          <w:szCs w:val="18"/>
        </w:rPr>
        <w:sectPr>
          <w:pgSz w:w="11910" w:h="16840"/>
          <w:pgMar w:header="877" w:footer="979" w:top="1100" w:bottom="1160" w:left="980" w:right="0"/>
        </w:sectPr>
      </w:pPr>
    </w:p>
    <w:p>
      <w:pPr>
        <w:spacing w:line="240" w:lineRule="auto" w:before="6"/>
        <w:rPr>
          <w:rFonts w:ascii="宋体" w:hAnsi="宋体" w:cs="宋体" w:eastAsia="宋体" w:hint="default"/>
          <w:sz w:val="24"/>
          <w:szCs w:val="24"/>
        </w:rPr>
      </w:pPr>
    </w:p>
    <w:tbl>
      <w:tblPr>
        <w:tblW w:w="0" w:type="auto"/>
        <w:jc w:val="left"/>
        <w:tblInd w:w="149" w:type="dxa"/>
        <w:tblLayout w:type="fixed"/>
        <w:tblCellMar>
          <w:top w:w="0" w:type="dxa"/>
          <w:left w:w="0" w:type="dxa"/>
          <w:bottom w:w="0" w:type="dxa"/>
          <w:right w:w="0" w:type="dxa"/>
        </w:tblCellMar>
        <w:tblLook w:val="01E0"/>
      </w:tblPr>
      <w:tblGrid>
        <w:gridCol w:w="1368"/>
        <w:gridCol w:w="1164"/>
        <w:gridCol w:w="1063"/>
        <w:gridCol w:w="1196"/>
        <w:gridCol w:w="1063"/>
        <w:gridCol w:w="798"/>
        <w:gridCol w:w="2918"/>
      </w:tblGrid>
      <w:tr>
        <w:trPr>
          <w:trHeight w:val="1298"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Times New Roman" w:hAnsi="Times New Roman" w:cs="Times New Roman" w:eastAsia="Times New Roman" w:hint="default"/>
                <w:sz w:val="18"/>
                <w:szCs w:val="18"/>
              </w:rPr>
            </w:pPr>
            <w:r>
              <w:rPr>
                <w:rFonts w:ascii="Times New Roman"/>
                <w:sz w:val="18"/>
              </w:rPr>
              <w:t>3</w:t>
            </w:r>
          </w:p>
        </w:tc>
        <w:tc>
          <w:tcPr>
            <w:tcW w:w="1063"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307" w:lineRule="auto" w:before="10"/>
              <w:ind w:left="22" w:right="62"/>
              <w:jc w:val="left"/>
              <w:rPr>
                <w:rFonts w:ascii="宋体" w:hAnsi="宋体" w:cs="宋体" w:eastAsia="宋体" w:hint="default"/>
                <w:sz w:val="18"/>
                <w:szCs w:val="18"/>
              </w:rPr>
            </w:pPr>
            <w:r>
              <w:rPr>
                <w:rFonts w:ascii="宋体" w:hAnsi="宋体" w:cs="宋体" w:eastAsia="宋体" w:hint="default"/>
                <w:sz w:val="18"/>
                <w:szCs w:val="18"/>
              </w:rPr>
              <w:t>支付员工的限制性股票回购款；</w:t>
            </w:r>
            <w:r>
              <w:rPr>
                <w:rFonts w:ascii="Times New Roman" w:hAnsi="Times New Roman" w:cs="Times New Roman" w:eastAsia="Times New Roman" w:hint="default"/>
                <w:sz w:val="18"/>
                <w:szCs w:val="18"/>
              </w:rPr>
              <w:t>B</w:t>
            </w:r>
            <w:r>
              <w:rPr>
                <w:rFonts w:ascii="宋体" w:hAnsi="宋体" w:cs="宋体" w:eastAsia="宋体" w:hint="default"/>
                <w:sz w:val="18"/>
                <w:szCs w:val="18"/>
              </w:rPr>
              <w:t>、 公司期末未到期理财金额较期初增 加；</w:t>
            </w:r>
            <w:r>
              <w:rPr>
                <w:rFonts w:ascii="Times New Roman" w:hAnsi="Times New Roman" w:cs="Times New Roman" w:eastAsia="Times New Roman" w:hint="default"/>
                <w:sz w:val="18"/>
                <w:szCs w:val="18"/>
              </w:rPr>
              <w:t>C</w:t>
            </w:r>
            <w:r>
              <w:rPr>
                <w:rFonts w:ascii="宋体" w:hAnsi="宋体" w:cs="宋体" w:eastAsia="宋体" w:hint="default"/>
                <w:sz w:val="18"/>
                <w:szCs w:val="18"/>
              </w:rPr>
              <w:t>、经营性现金净流量较上期减 少。</w:t>
            </w:r>
          </w:p>
        </w:tc>
      </w:tr>
      <w:tr>
        <w:trPr>
          <w:trHeight w:val="714"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417,074,051.0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7</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19.77%</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316,223,819.76</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15.52%</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4.25%</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主要系随收入增加而增长。</w:t>
            </w:r>
          </w:p>
        </w:tc>
      </w:tr>
      <w:tr>
        <w:trPr>
          <w:trHeight w:val="714"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234,624,298.0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5</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2"/>
                <w:sz w:val="18"/>
              </w:rPr>
              <w:t>11.12%</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199,798,094.17</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9.80%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1.32%</w:t>
            </w:r>
          </w:p>
        </w:tc>
        <w:tc>
          <w:tcPr>
            <w:tcW w:w="291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15,759,078.06</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0.75%</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16,492,066.84</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0.81%</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-0.06%</w:t>
            </w:r>
          </w:p>
        </w:tc>
        <w:tc>
          <w:tcPr>
            <w:tcW w:w="291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87,973,749.69</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4.17%</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60,752,766.40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2.98%</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1.19%</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83"/>
              <w:jc w:val="left"/>
              <w:rPr>
                <w:rFonts w:ascii="宋体" w:hAnsi="宋体" w:cs="宋体" w:eastAsia="宋体" w:hint="default"/>
                <w:sz w:val="18"/>
                <w:szCs w:val="18"/>
              </w:rPr>
            </w:pPr>
            <w:r>
              <w:rPr>
                <w:rFonts w:ascii="宋体" w:hAnsi="宋体" w:cs="宋体" w:eastAsia="宋体" w:hint="default"/>
                <w:sz w:val="18"/>
                <w:szCs w:val="18"/>
              </w:rPr>
              <w:t>主要系向丹诚开普和希嘉教育支付 投资款所致。</w:t>
            </w:r>
          </w:p>
        </w:tc>
      </w:tr>
      <w:tr>
        <w:trPr>
          <w:trHeight w:val="714"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139,766,959.5</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6</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6.63%</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147,322,185.56</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7.23%</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-0.60%</w:t>
            </w:r>
          </w:p>
        </w:tc>
        <w:tc>
          <w:tcPr>
            <w:tcW w:w="291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2,236,716.70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2"/>
                <w:sz w:val="18"/>
              </w:rPr>
              <w:t>0.11%</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1,783,603.93</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0.09%</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0.02%</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主要系宽带载波通信芯片模具开发。</w:t>
            </w:r>
          </w:p>
        </w:tc>
      </w:tr>
      <w:tr>
        <w:trPr>
          <w:trHeight w:val="714"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178,000,000.0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8.44%</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145,000,000.00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2"/>
                <w:sz w:val="18"/>
              </w:rPr>
              <w:t>7.11%</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1.33%</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83"/>
              <w:jc w:val="left"/>
              <w:rPr>
                <w:rFonts w:ascii="宋体" w:hAnsi="宋体" w:cs="宋体" w:eastAsia="宋体" w:hint="default"/>
                <w:sz w:val="18"/>
                <w:szCs w:val="18"/>
              </w:rPr>
            </w:pPr>
            <w:r>
              <w:rPr>
                <w:rFonts w:ascii="宋体" w:hAnsi="宋体" w:cs="宋体" w:eastAsia="宋体" w:hint="default"/>
                <w:sz w:val="18"/>
                <w:szCs w:val="18"/>
              </w:rPr>
              <w:t>系母公司及子公司上海树维报告期 内流资借款增加。</w:t>
            </w: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43,871,500.00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2.08%</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69,149,900.00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3.39%</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-1.31%</w:t>
            </w:r>
          </w:p>
        </w:tc>
        <w:tc>
          <w:tcPr>
            <w:tcW w:w="291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166,070,266.1</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9</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7.87%</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60,085,841.15</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2.95%</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4.92%</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83"/>
              <w:jc w:val="left"/>
              <w:rPr>
                <w:rFonts w:ascii="宋体" w:hAnsi="宋体" w:cs="宋体" w:eastAsia="宋体" w:hint="default"/>
                <w:sz w:val="18"/>
                <w:szCs w:val="18"/>
              </w:rPr>
            </w:pPr>
            <w:r>
              <w:rPr>
                <w:rFonts w:ascii="宋体" w:hAnsi="宋体" w:cs="宋体" w:eastAsia="宋体" w:hint="default"/>
                <w:sz w:val="18"/>
                <w:szCs w:val="18"/>
              </w:rPr>
              <w:t>系报告期内母公司现金管理增加所 致。</w:t>
            </w:r>
          </w:p>
        </w:tc>
      </w:tr>
      <w:tr>
        <w:trPr>
          <w:trHeight w:val="714"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1,865,329.43</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0.09%</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3,774,552.65</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0.19%</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-0.10%</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83"/>
              <w:jc w:val="left"/>
              <w:rPr>
                <w:rFonts w:ascii="宋体" w:hAnsi="宋体" w:cs="宋体" w:eastAsia="宋体" w:hint="default"/>
                <w:sz w:val="18"/>
                <w:szCs w:val="18"/>
              </w:rPr>
            </w:pPr>
            <w:r>
              <w:rPr>
                <w:rFonts w:ascii="宋体" w:hAnsi="宋体" w:cs="宋体" w:eastAsia="宋体" w:hint="default"/>
                <w:sz w:val="18"/>
                <w:szCs w:val="18"/>
              </w:rPr>
              <w:t>主要系待摊销的职业教育培训中心 装修费摊销入费用所致。</w:t>
            </w:r>
          </w:p>
        </w:tc>
      </w:tr>
      <w:tr>
        <w:trPr>
          <w:trHeight w:val="714"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7,416,010.95</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0.35%</w:t>
            </w:r>
          </w:p>
        </w:tc>
        <w:tc>
          <w:tcPr>
            <w:tcW w:w="1196"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0.35%</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83"/>
              <w:jc w:val="left"/>
              <w:rPr>
                <w:rFonts w:ascii="宋体" w:hAnsi="宋体" w:cs="宋体" w:eastAsia="宋体" w:hint="default"/>
                <w:sz w:val="18"/>
                <w:szCs w:val="18"/>
              </w:rPr>
            </w:pPr>
            <w:r>
              <w:rPr>
                <w:rFonts w:ascii="宋体" w:hAnsi="宋体" w:cs="宋体" w:eastAsia="宋体" w:hint="default"/>
                <w:sz w:val="18"/>
                <w:szCs w:val="18"/>
              </w:rPr>
              <w:t>系报告期内母公司及子公司北京迪 科的资本化项目投入金额。</w:t>
            </w: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8,165,131.37</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0.39%</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81,307,698.57</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3.99%</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-3.60%</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主要系支付限制性股票回购款。</w:t>
            </w:r>
          </w:p>
        </w:tc>
      </w:tr>
      <w:tr>
        <w:trPr>
          <w:trHeight w:val="714"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5"/>
              <w:jc w:val="left"/>
              <w:rPr>
                <w:rFonts w:ascii="宋体" w:hAnsi="宋体" w:cs="宋体" w:eastAsia="宋体" w:hint="default"/>
                <w:sz w:val="18"/>
                <w:szCs w:val="18"/>
              </w:rPr>
            </w:pPr>
            <w:r>
              <w:rPr>
                <w:rFonts w:ascii="宋体" w:hAnsi="宋体" w:cs="宋体" w:eastAsia="宋体" w:hint="default"/>
                <w:sz w:val="18"/>
                <w:szCs w:val="18"/>
              </w:rPr>
              <w:t>一年内到期的非 流动负债</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25,278,400.00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1.20%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46,053,400.01</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2.26%</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-1.06%</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21"/>
              <w:jc w:val="left"/>
              <w:rPr>
                <w:rFonts w:ascii="宋体" w:hAnsi="宋体" w:cs="宋体" w:eastAsia="宋体" w:hint="default"/>
                <w:sz w:val="18"/>
                <w:szCs w:val="18"/>
              </w:rPr>
            </w:pPr>
            <w:r>
              <w:rPr>
                <w:rFonts w:ascii="宋体" w:hAnsi="宋体" w:cs="宋体" w:eastAsia="宋体" w:hint="default"/>
                <w:spacing w:val="-2"/>
                <w:sz w:val="18"/>
                <w:szCs w:val="18"/>
              </w:rPr>
              <w:t>系随长期借款的分期偿还，一年内待</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偿还金额减少。</w:t>
            </w: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43,871,500.00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2.08%</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69,149,900.00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3.39%</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-1.31%</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因长期借款分期偿还而减少。</w:t>
            </w:r>
          </w:p>
        </w:tc>
      </w:tr>
      <w:tr>
        <w:trPr>
          <w:trHeight w:val="714"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481,092,495.0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22.81%</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324,475,501.00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15.92%</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6.89%</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1"/>
              <w:ind w:left="22" w:right="92"/>
              <w:jc w:val="left"/>
              <w:rPr>
                <w:rFonts w:ascii="宋体" w:hAnsi="宋体" w:cs="宋体" w:eastAsia="宋体" w:hint="default"/>
                <w:sz w:val="18"/>
                <w:szCs w:val="18"/>
              </w:rPr>
            </w:pPr>
            <w:r>
              <w:rPr>
                <w:rFonts w:ascii="宋体" w:hAnsi="宋体" w:cs="宋体" w:eastAsia="宋体" w:hint="default"/>
                <w:sz w:val="18"/>
                <w:szCs w:val="18"/>
              </w:rPr>
              <w:t>因</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年度资本公积转资股本而增 加。</w:t>
            </w:r>
          </w:p>
        </w:tc>
      </w:tr>
      <w:tr>
        <w:trPr>
          <w:trHeight w:val="714"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479,950,978.9</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8</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22.75%</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702,083,069.98</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34.45%</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2"/>
                <w:sz w:val="18"/>
              </w:rPr>
              <w:t>-11.70%</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系</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年度转增股本而减少。</w:t>
            </w:r>
          </w:p>
        </w:tc>
      </w:tr>
    </w:tbl>
    <w:p>
      <w:pPr>
        <w:spacing w:line="240" w:lineRule="auto" w:before="2"/>
        <w:rPr>
          <w:rFonts w:ascii="宋体" w:hAnsi="宋体" w:cs="宋体" w:eastAsia="宋体" w:hint="default"/>
          <w:sz w:val="19"/>
          <w:szCs w:val="19"/>
        </w:rPr>
      </w:pPr>
    </w:p>
    <w:p>
      <w:pPr>
        <w:pStyle w:val="Heading4"/>
        <w:spacing w:line="240" w:lineRule="auto" w:before="35"/>
        <w:ind w:right="1117"/>
        <w:jc w:val="left"/>
        <w:rPr>
          <w:b w:val="0"/>
          <w:bCs w:val="0"/>
        </w:rPr>
      </w:pPr>
      <w:bookmarkStart w:name="2、以公允价值计量的资产和负债" w:id="41"/>
      <w:bookmarkEnd w:id="41"/>
      <w:r>
        <w:rPr>
          <w:b w:val="0"/>
          <w:bCs w:val="0"/>
        </w:rPr>
      </w:r>
      <w:r>
        <w:rPr>
          <w:rFonts w:ascii="Times New Roman" w:hAnsi="Times New Roman" w:cs="Times New Roman" w:eastAsia="Times New Roman" w:hint="default"/>
        </w:rPr>
        <w:t>2</w:t>
      </w:r>
      <w:r>
        <w:rPr/>
        <w:t>、以公允价值计量的资产和负债</w:t>
      </w:r>
      <w:r>
        <w:rPr>
          <w:b w:val="0"/>
          <w:bCs w:val="0"/>
        </w:rPr>
      </w:r>
    </w:p>
    <w:p>
      <w:pPr>
        <w:spacing w:line="240" w:lineRule="auto" w:before="8"/>
        <w:rPr>
          <w:rFonts w:ascii="宋体" w:hAnsi="宋体" w:cs="宋体" w:eastAsia="宋体" w:hint="default"/>
          <w:b/>
          <w:bCs/>
          <w:sz w:val="26"/>
          <w:szCs w:val="26"/>
        </w:rPr>
      </w:pPr>
    </w:p>
    <w:p>
      <w:pPr>
        <w:spacing w:before="0"/>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9"/>
        <w:rPr>
          <w:rFonts w:ascii="宋体" w:hAnsi="宋体" w:cs="宋体" w:eastAsia="宋体" w:hint="default"/>
          <w:sz w:val="25"/>
          <w:szCs w:val="25"/>
        </w:rPr>
      </w:pPr>
    </w:p>
    <w:p>
      <w:pPr>
        <w:pStyle w:val="Heading4"/>
        <w:spacing w:line="240" w:lineRule="auto"/>
        <w:ind w:right="1117"/>
        <w:jc w:val="left"/>
        <w:rPr>
          <w:b w:val="0"/>
          <w:bCs w:val="0"/>
        </w:rPr>
      </w:pPr>
      <w:bookmarkStart w:name="3、截至报告期末的资产权利受限情况" w:id="42"/>
      <w:bookmarkEnd w:id="42"/>
      <w:r>
        <w:rPr>
          <w:b w:val="0"/>
          <w:bCs w:val="0"/>
        </w:rPr>
      </w:r>
      <w:r>
        <w:rPr>
          <w:rFonts w:ascii="Times New Roman" w:hAnsi="Times New Roman" w:cs="Times New Roman" w:eastAsia="Times New Roman" w:hint="default"/>
        </w:rPr>
        <w:t>3</w:t>
      </w:r>
      <w:r>
        <w:rPr/>
        <w:t>、截至报告期末的资产权利受限情况</w:t>
      </w:r>
      <w:r>
        <w:rPr>
          <w:b w:val="0"/>
          <w:bCs w:val="0"/>
        </w:rPr>
      </w:r>
    </w:p>
    <w:p>
      <w:pPr>
        <w:spacing w:line="240" w:lineRule="auto" w:before="8"/>
        <w:rPr>
          <w:rFonts w:ascii="宋体" w:hAnsi="宋体" w:cs="宋体" w:eastAsia="宋体" w:hint="default"/>
          <w:b/>
          <w:bCs/>
          <w:sz w:val="24"/>
          <w:szCs w:val="24"/>
        </w:rPr>
      </w:pPr>
    </w:p>
    <w:p>
      <w:pPr>
        <w:pStyle w:val="BodyText"/>
        <w:spacing w:line="273" w:lineRule="auto" w:before="0"/>
        <w:ind w:left="868" w:right="1218"/>
        <w:jc w:val="left"/>
      </w:pPr>
      <w:r>
        <w:rPr/>
        <w:t>其中因抵押、质押或冻结等对使用有限制，以及放在境外且资金汇回受到限制的货币资金明细如 下：</w:t>
      </w:r>
    </w:p>
    <w:p>
      <w:pPr>
        <w:spacing w:after="0" w:line="273" w:lineRule="auto"/>
        <w:jc w:val="left"/>
        <w:sectPr>
          <w:pgSz w:w="11910" w:h="16840"/>
          <w:pgMar w:header="877" w:footer="979" w:top="1100" w:bottom="1160" w:left="980" w:right="0"/>
        </w:sectPr>
      </w:pPr>
    </w:p>
    <w:p>
      <w:pPr>
        <w:spacing w:line="240" w:lineRule="auto" w:before="9"/>
        <w:rPr>
          <w:rFonts w:ascii="宋体" w:hAnsi="宋体" w:cs="宋体" w:eastAsia="宋体" w:hint="default"/>
          <w:sz w:val="20"/>
          <w:szCs w:val="20"/>
        </w:rPr>
      </w:pPr>
    </w:p>
    <w:p>
      <w:pPr>
        <w:pStyle w:val="BodyText"/>
        <w:spacing w:line="240" w:lineRule="auto" w:before="35"/>
        <w:ind w:left="0" w:right="2285"/>
        <w:jc w:val="right"/>
      </w:pPr>
      <w:r>
        <w:rPr/>
        <w:t>单位：元</w:t>
      </w:r>
    </w:p>
    <w:p>
      <w:pPr>
        <w:spacing w:line="240" w:lineRule="auto" w:before="10"/>
        <w:rPr>
          <w:rFonts w:ascii="宋体" w:hAnsi="宋体" w:cs="宋体" w:eastAsia="宋体" w:hint="default"/>
          <w:sz w:val="4"/>
          <w:szCs w:val="4"/>
        </w:rPr>
      </w:pPr>
    </w:p>
    <w:tbl>
      <w:tblPr>
        <w:tblW w:w="0" w:type="auto"/>
        <w:jc w:val="left"/>
        <w:tblInd w:w="758" w:type="dxa"/>
        <w:tblLayout w:type="fixed"/>
        <w:tblCellMar>
          <w:top w:w="0" w:type="dxa"/>
          <w:left w:w="0" w:type="dxa"/>
          <w:bottom w:w="0" w:type="dxa"/>
          <w:right w:w="0" w:type="dxa"/>
        </w:tblCellMar>
        <w:tblLook w:val="01E0"/>
      </w:tblPr>
      <w:tblGrid>
        <w:gridCol w:w="3335"/>
        <w:gridCol w:w="2238"/>
        <w:gridCol w:w="2238"/>
      </w:tblGrid>
      <w:tr>
        <w:trPr>
          <w:trHeight w:val="332" w:hRule="exact"/>
        </w:trPr>
        <w:tc>
          <w:tcPr>
            <w:tcW w:w="333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1482"/>
              <w:jc w:val="right"/>
              <w:rPr>
                <w:rFonts w:ascii="宋体" w:hAnsi="宋体" w:cs="宋体" w:eastAsia="宋体" w:hint="default"/>
                <w:sz w:val="18"/>
                <w:szCs w:val="18"/>
              </w:rPr>
            </w:pPr>
            <w:r>
              <w:rPr>
                <w:rFonts w:ascii="宋体" w:hAnsi="宋体" w:cs="宋体" w:eastAsia="宋体" w:hint="default"/>
                <w:sz w:val="18"/>
                <w:szCs w:val="18"/>
              </w:rPr>
              <w:t>项目</w:t>
            </w:r>
          </w:p>
        </w:tc>
        <w:tc>
          <w:tcPr>
            <w:tcW w:w="223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23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年初余额</w:t>
            </w:r>
          </w:p>
        </w:tc>
      </w:tr>
      <w:tr>
        <w:trPr>
          <w:trHeight w:val="342" w:hRule="exact"/>
        </w:trPr>
        <w:tc>
          <w:tcPr>
            <w:tcW w:w="333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银行承兑汇票保证金</w:t>
            </w:r>
          </w:p>
        </w:tc>
        <w:tc>
          <w:tcPr>
            <w:tcW w:w="2238" w:type="dxa"/>
            <w:tcBorders>
              <w:top w:val="single" w:sz="8" w:space="0" w:color="000000"/>
              <w:left w:val="single" w:sz="6" w:space="0" w:color="000000"/>
              <w:bottom w:val="single" w:sz="4" w:space="0" w:color="000000"/>
              <w:right w:val="single" w:sz="4" w:space="0" w:color="000000"/>
            </w:tcBorders>
          </w:tcPr>
          <w:p>
            <w:pPr>
              <w:pStyle w:val="TableParagraph"/>
              <w:spacing w:line="240" w:lineRule="auto" w:before="55"/>
              <w:ind w:right="3"/>
              <w:jc w:val="right"/>
              <w:rPr>
                <w:rFonts w:ascii="Times New Roman" w:hAnsi="Times New Roman" w:cs="Times New Roman" w:eastAsia="Times New Roman" w:hint="default"/>
                <w:sz w:val="18"/>
                <w:szCs w:val="18"/>
              </w:rPr>
            </w:pPr>
            <w:r>
              <w:rPr>
                <w:rFonts w:ascii="Times New Roman"/>
                <w:spacing w:val="-1"/>
                <w:sz w:val="18"/>
              </w:rPr>
              <w:t>24,342,886.07</w:t>
            </w:r>
          </w:p>
        </w:tc>
        <w:tc>
          <w:tcPr>
            <w:tcW w:w="2238" w:type="dxa"/>
            <w:tcBorders>
              <w:top w:val="single" w:sz="8" w:space="0" w:color="000000"/>
              <w:left w:val="single" w:sz="4" w:space="0" w:color="000000"/>
              <w:bottom w:val="single" w:sz="4" w:space="0" w:color="000000"/>
              <w:right w:val="single" w:sz="4" w:space="0" w:color="000000"/>
            </w:tcBorders>
          </w:tcPr>
          <w:p>
            <w:pPr/>
          </w:p>
        </w:tc>
      </w:tr>
      <w:tr>
        <w:trPr>
          <w:trHeight w:val="342" w:hRule="exact"/>
        </w:trPr>
        <w:tc>
          <w:tcPr>
            <w:tcW w:w="333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履约保证金</w:t>
            </w:r>
          </w:p>
        </w:tc>
        <w:tc>
          <w:tcPr>
            <w:tcW w:w="2238"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61"/>
              <w:ind w:right="3"/>
              <w:jc w:val="right"/>
              <w:rPr>
                <w:rFonts w:ascii="Times New Roman" w:hAnsi="Times New Roman" w:cs="Times New Roman" w:eastAsia="Times New Roman" w:hint="default"/>
                <w:sz w:val="18"/>
                <w:szCs w:val="18"/>
              </w:rPr>
            </w:pPr>
            <w:r>
              <w:rPr>
                <w:rFonts w:ascii="Times New Roman"/>
                <w:spacing w:val="-1"/>
                <w:sz w:val="18"/>
              </w:rPr>
              <w:t>9,425,608.99</w:t>
            </w:r>
          </w:p>
        </w:tc>
        <w:tc>
          <w:tcPr>
            <w:tcW w:w="22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3"/>
              <w:jc w:val="right"/>
              <w:rPr>
                <w:rFonts w:ascii="Times New Roman" w:hAnsi="Times New Roman" w:cs="Times New Roman" w:eastAsia="Times New Roman" w:hint="default"/>
                <w:sz w:val="18"/>
                <w:szCs w:val="18"/>
              </w:rPr>
            </w:pPr>
            <w:r>
              <w:rPr>
                <w:rFonts w:ascii="Times New Roman"/>
                <w:sz w:val="18"/>
              </w:rPr>
              <w:t>929,960.99</w:t>
            </w:r>
          </w:p>
        </w:tc>
      </w:tr>
      <w:tr>
        <w:trPr>
          <w:trHeight w:val="342" w:hRule="exact"/>
        </w:trPr>
        <w:tc>
          <w:tcPr>
            <w:tcW w:w="333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投标保证金</w:t>
            </w:r>
          </w:p>
        </w:tc>
        <w:tc>
          <w:tcPr>
            <w:tcW w:w="2238"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61"/>
              <w:ind w:right="3"/>
              <w:jc w:val="right"/>
              <w:rPr>
                <w:rFonts w:ascii="Times New Roman" w:hAnsi="Times New Roman" w:cs="Times New Roman" w:eastAsia="Times New Roman" w:hint="default"/>
                <w:sz w:val="18"/>
                <w:szCs w:val="18"/>
              </w:rPr>
            </w:pPr>
            <w:r>
              <w:rPr>
                <w:rFonts w:ascii="Times New Roman"/>
                <w:sz w:val="18"/>
              </w:rPr>
              <w:t>690,540.46</w:t>
            </w:r>
          </w:p>
        </w:tc>
        <w:tc>
          <w:tcPr>
            <w:tcW w:w="2238" w:type="dxa"/>
            <w:tcBorders>
              <w:top w:val="single" w:sz="4" w:space="0" w:color="000000"/>
              <w:left w:val="single" w:sz="4" w:space="0" w:color="000000"/>
              <w:bottom w:val="single" w:sz="4" w:space="0" w:color="000000"/>
              <w:right w:val="single" w:sz="4" w:space="0" w:color="000000"/>
            </w:tcBorders>
          </w:tcPr>
          <w:p>
            <w:pPr/>
          </w:p>
        </w:tc>
      </w:tr>
      <w:tr>
        <w:trPr>
          <w:trHeight w:val="342" w:hRule="exact"/>
        </w:trPr>
        <w:tc>
          <w:tcPr>
            <w:tcW w:w="333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right="1482"/>
              <w:jc w:val="right"/>
              <w:rPr>
                <w:rFonts w:ascii="宋体" w:hAnsi="宋体" w:cs="宋体" w:eastAsia="宋体" w:hint="default"/>
                <w:sz w:val="18"/>
                <w:szCs w:val="18"/>
              </w:rPr>
            </w:pPr>
            <w:r>
              <w:rPr>
                <w:rFonts w:ascii="宋体" w:hAnsi="宋体" w:cs="宋体" w:eastAsia="宋体" w:hint="default"/>
                <w:sz w:val="18"/>
                <w:szCs w:val="18"/>
              </w:rPr>
              <w:t>合计</w:t>
            </w:r>
          </w:p>
        </w:tc>
        <w:tc>
          <w:tcPr>
            <w:tcW w:w="2238"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61"/>
              <w:ind w:right="3"/>
              <w:jc w:val="right"/>
              <w:rPr>
                <w:rFonts w:ascii="Times New Roman" w:hAnsi="Times New Roman" w:cs="Times New Roman" w:eastAsia="Times New Roman" w:hint="default"/>
                <w:sz w:val="18"/>
                <w:szCs w:val="18"/>
              </w:rPr>
            </w:pPr>
            <w:r>
              <w:rPr>
                <w:rFonts w:ascii="Times New Roman"/>
                <w:spacing w:val="-1"/>
                <w:sz w:val="18"/>
              </w:rPr>
              <w:t>34,459,035.52</w:t>
            </w:r>
          </w:p>
        </w:tc>
        <w:tc>
          <w:tcPr>
            <w:tcW w:w="22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3"/>
              <w:jc w:val="right"/>
              <w:rPr>
                <w:rFonts w:ascii="Times New Roman" w:hAnsi="Times New Roman" w:cs="Times New Roman" w:eastAsia="Times New Roman" w:hint="default"/>
                <w:sz w:val="18"/>
                <w:szCs w:val="18"/>
              </w:rPr>
            </w:pPr>
            <w:r>
              <w:rPr>
                <w:rFonts w:ascii="Times New Roman"/>
                <w:sz w:val="18"/>
              </w:rPr>
              <w:t>929,960.99</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5"/>
          <w:szCs w:val="25"/>
        </w:rPr>
      </w:pPr>
    </w:p>
    <w:p>
      <w:pPr>
        <w:pStyle w:val="Heading2"/>
        <w:spacing w:line="240" w:lineRule="auto" w:before="26"/>
        <w:ind w:right="1117"/>
        <w:jc w:val="left"/>
        <w:rPr>
          <w:b w:val="0"/>
          <w:bCs w:val="0"/>
        </w:rPr>
      </w:pPr>
      <w:bookmarkStart w:name="五、投资状况分析" w:id="43"/>
      <w:bookmarkEnd w:id="43"/>
      <w:r>
        <w:rPr>
          <w:b w:val="0"/>
          <w:bCs w:val="0"/>
        </w:rPr>
      </w:r>
      <w:r>
        <w:rPr/>
        <w:t>五、投资状况分析</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1117"/>
        <w:jc w:val="left"/>
        <w:rPr>
          <w:b w:val="0"/>
          <w:bCs w:val="0"/>
        </w:rPr>
      </w:pPr>
      <w:bookmarkStart w:name="1、总体情况" w:id="44"/>
      <w:bookmarkEnd w:id="44"/>
      <w:r>
        <w:rPr>
          <w:b w:val="0"/>
          <w:bCs w:val="0"/>
        </w:rPr>
      </w:r>
      <w:r>
        <w:rPr>
          <w:rFonts w:ascii="Times New Roman" w:hAnsi="Times New Roman" w:cs="Times New Roman" w:eastAsia="Times New Roman" w:hint="default"/>
        </w:rPr>
        <w:t>1</w:t>
      </w:r>
      <w:r>
        <w:rPr/>
        <w:t>、总体情况</w:t>
      </w:r>
      <w:r>
        <w:rPr>
          <w:b w:val="0"/>
          <w:bCs w:val="0"/>
        </w:rPr>
      </w:r>
    </w:p>
    <w:p>
      <w:pPr>
        <w:spacing w:line="240" w:lineRule="auto" w:before="8"/>
        <w:rPr>
          <w:rFonts w:ascii="宋体" w:hAnsi="宋体" w:cs="宋体" w:eastAsia="宋体" w:hint="default"/>
          <w:b/>
          <w:bCs/>
          <w:sz w:val="26"/>
          <w:szCs w:val="26"/>
        </w:rPr>
      </w:pPr>
    </w:p>
    <w:p>
      <w:pPr>
        <w:spacing w:before="0"/>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79" w:right="0"/>
              <w:jc w:val="left"/>
              <w:rPr>
                <w:rFonts w:ascii="宋体" w:hAnsi="宋体" w:cs="宋体" w:eastAsia="宋体" w:hint="default"/>
                <w:sz w:val="18"/>
                <w:szCs w:val="18"/>
              </w:rPr>
            </w:pPr>
            <w:r>
              <w:rPr>
                <w:rFonts w:ascii="宋体" w:hAnsi="宋体" w:cs="宋体" w:eastAsia="宋体" w:hint="default"/>
                <w:sz w:val="18"/>
                <w:szCs w:val="18"/>
              </w:rPr>
              <w:t>报告期投资额（元）</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90" w:right="0"/>
              <w:jc w:val="left"/>
              <w:rPr>
                <w:rFonts w:ascii="宋体" w:hAnsi="宋体" w:cs="宋体" w:eastAsia="宋体" w:hint="default"/>
                <w:sz w:val="18"/>
                <w:szCs w:val="18"/>
              </w:rPr>
            </w:pPr>
            <w:r>
              <w:rPr>
                <w:rFonts w:ascii="宋体" w:hAnsi="宋体" w:cs="宋体" w:eastAsia="宋体" w:hint="default"/>
                <w:sz w:val="18"/>
                <w:szCs w:val="18"/>
              </w:rPr>
              <w:t>上年同期投资额（元）</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变动幅度</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24,472,000.00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31,515,548.00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-22.35%</w:t>
            </w:r>
          </w:p>
        </w:tc>
      </w:tr>
    </w:tbl>
    <w:p>
      <w:pPr>
        <w:spacing w:line="240" w:lineRule="auto" w:before="2"/>
        <w:rPr>
          <w:rFonts w:ascii="宋体" w:hAnsi="宋体" w:cs="宋体" w:eastAsia="宋体" w:hint="default"/>
          <w:sz w:val="19"/>
          <w:szCs w:val="19"/>
        </w:rPr>
      </w:pPr>
    </w:p>
    <w:p>
      <w:pPr>
        <w:pStyle w:val="Heading4"/>
        <w:spacing w:line="240" w:lineRule="auto" w:before="35"/>
        <w:ind w:right="1117"/>
        <w:jc w:val="left"/>
        <w:rPr>
          <w:b w:val="0"/>
          <w:bCs w:val="0"/>
        </w:rPr>
      </w:pPr>
      <w:bookmarkStart w:name="2、报告期内获取的重大的股权投资情况" w:id="45"/>
      <w:bookmarkEnd w:id="45"/>
      <w:r>
        <w:rPr>
          <w:b w:val="0"/>
          <w:bCs w:val="0"/>
        </w:rPr>
      </w:r>
      <w:r>
        <w:rPr>
          <w:rFonts w:ascii="Times New Roman" w:hAnsi="Times New Roman" w:cs="Times New Roman" w:eastAsia="Times New Roman" w:hint="default"/>
        </w:rPr>
        <w:t>2</w:t>
      </w:r>
      <w:r>
        <w:rPr/>
        <w:t>、报告期内获取的重大的股权投资情况</w:t>
      </w:r>
      <w:r>
        <w:rPr>
          <w:b w:val="0"/>
          <w:bCs w:val="0"/>
        </w:rPr>
      </w:r>
    </w:p>
    <w:p>
      <w:pPr>
        <w:spacing w:line="240" w:lineRule="auto" w:before="8"/>
        <w:rPr>
          <w:rFonts w:ascii="宋体" w:hAnsi="宋体" w:cs="宋体" w:eastAsia="宋体" w:hint="default"/>
          <w:b/>
          <w:bCs/>
          <w:sz w:val="26"/>
          <w:szCs w:val="26"/>
        </w:rPr>
      </w:pPr>
    </w:p>
    <w:p>
      <w:pPr>
        <w:spacing w:before="0"/>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1"/>
        <w:rPr>
          <w:rFonts w:ascii="宋体" w:hAnsi="宋体" w:cs="宋体" w:eastAsia="宋体" w:hint="default"/>
          <w:sz w:val="25"/>
          <w:szCs w:val="25"/>
        </w:rPr>
      </w:pPr>
    </w:p>
    <w:p>
      <w:pPr>
        <w:pStyle w:val="Heading4"/>
        <w:spacing w:line="240" w:lineRule="auto"/>
        <w:ind w:right="1117"/>
        <w:jc w:val="left"/>
        <w:rPr>
          <w:b w:val="0"/>
          <w:bCs w:val="0"/>
        </w:rPr>
      </w:pPr>
      <w:bookmarkStart w:name="3、报告期内正在进行的重大的非股权投资情况" w:id="46"/>
      <w:bookmarkEnd w:id="46"/>
      <w:r>
        <w:rPr>
          <w:b w:val="0"/>
          <w:bCs w:val="0"/>
        </w:rPr>
      </w:r>
      <w:r>
        <w:rPr>
          <w:rFonts w:ascii="Times New Roman" w:hAnsi="Times New Roman" w:cs="Times New Roman" w:eastAsia="Times New Roman" w:hint="default"/>
        </w:rPr>
        <w:t>3</w:t>
      </w:r>
      <w:r>
        <w:rPr/>
        <w:t>、报告期内正在进行的重大的非股权投资情况</w:t>
      </w:r>
      <w:r>
        <w:rPr>
          <w:b w:val="0"/>
          <w:bCs w:val="0"/>
        </w:rPr>
      </w:r>
    </w:p>
    <w:p>
      <w:pPr>
        <w:spacing w:line="240" w:lineRule="auto" w:before="8"/>
        <w:rPr>
          <w:rFonts w:ascii="宋体" w:hAnsi="宋体" w:cs="宋体" w:eastAsia="宋体" w:hint="default"/>
          <w:b/>
          <w:bCs/>
          <w:sz w:val="26"/>
          <w:szCs w:val="26"/>
        </w:rPr>
      </w:pPr>
    </w:p>
    <w:p>
      <w:pPr>
        <w:spacing w:before="0"/>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0"/>
        <w:rPr>
          <w:rFonts w:ascii="宋体" w:hAnsi="宋体" w:cs="宋体" w:eastAsia="宋体" w:hint="default"/>
          <w:sz w:val="25"/>
          <w:szCs w:val="25"/>
        </w:rPr>
      </w:pPr>
    </w:p>
    <w:p>
      <w:pPr>
        <w:pStyle w:val="Heading4"/>
        <w:spacing w:line="240" w:lineRule="auto"/>
        <w:ind w:right="1117"/>
        <w:jc w:val="left"/>
        <w:rPr>
          <w:b w:val="0"/>
          <w:bCs w:val="0"/>
        </w:rPr>
      </w:pPr>
      <w:bookmarkStart w:name="4、以公允价值计量的金融资产" w:id="47"/>
      <w:bookmarkEnd w:id="47"/>
      <w:r>
        <w:rPr>
          <w:b w:val="0"/>
          <w:bCs w:val="0"/>
        </w:rPr>
      </w:r>
      <w:r>
        <w:rPr>
          <w:rFonts w:ascii="Times New Roman" w:hAnsi="Times New Roman" w:cs="Times New Roman" w:eastAsia="Times New Roman" w:hint="default"/>
        </w:rPr>
        <w:t>4</w:t>
      </w:r>
      <w:r>
        <w:rPr/>
        <w:t>、以公允价值计量的金融资产</w:t>
      </w:r>
      <w:r>
        <w:rPr>
          <w:b w:val="0"/>
          <w:bCs w:val="0"/>
        </w:rPr>
      </w:r>
    </w:p>
    <w:p>
      <w:pPr>
        <w:spacing w:line="240" w:lineRule="auto" w:before="8"/>
        <w:rPr>
          <w:rFonts w:ascii="宋体" w:hAnsi="宋体" w:cs="宋体" w:eastAsia="宋体" w:hint="default"/>
          <w:b/>
          <w:bCs/>
          <w:sz w:val="26"/>
          <w:szCs w:val="26"/>
        </w:rPr>
      </w:pPr>
    </w:p>
    <w:p>
      <w:pPr>
        <w:spacing w:before="0"/>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0"/>
        <w:rPr>
          <w:rFonts w:ascii="宋体" w:hAnsi="宋体" w:cs="宋体" w:eastAsia="宋体" w:hint="default"/>
          <w:sz w:val="25"/>
          <w:szCs w:val="25"/>
        </w:rPr>
      </w:pPr>
    </w:p>
    <w:p>
      <w:pPr>
        <w:pStyle w:val="Heading4"/>
        <w:spacing w:line="240" w:lineRule="auto"/>
        <w:ind w:right="1117"/>
        <w:jc w:val="left"/>
        <w:rPr>
          <w:b w:val="0"/>
          <w:bCs w:val="0"/>
        </w:rPr>
      </w:pPr>
      <w:bookmarkStart w:name="5、募集资金使用情况" w:id="48"/>
      <w:bookmarkEnd w:id="48"/>
      <w:r>
        <w:rPr>
          <w:b w:val="0"/>
          <w:bCs w:val="0"/>
        </w:rPr>
      </w:r>
      <w:r>
        <w:rPr>
          <w:rFonts w:ascii="Times New Roman" w:hAnsi="Times New Roman" w:cs="Times New Roman" w:eastAsia="Times New Roman" w:hint="default"/>
        </w:rPr>
        <w:t>5</w:t>
      </w:r>
      <w:r>
        <w:rPr/>
        <w:t>、募集资金使用情况</w:t>
      </w:r>
      <w:r>
        <w:rPr>
          <w:b w:val="0"/>
          <w:bCs w:val="0"/>
        </w:rPr>
      </w:r>
    </w:p>
    <w:p>
      <w:pPr>
        <w:spacing w:line="240" w:lineRule="auto" w:before="8"/>
        <w:rPr>
          <w:rFonts w:ascii="宋体" w:hAnsi="宋体" w:cs="宋体" w:eastAsia="宋体" w:hint="default"/>
          <w:b/>
          <w:bCs/>
          <w:sz w:val="26"/>
          <w:szCs w:val="26"/>
        </w:rPr>
      </w:pPr>
    </w:p>
    <w:p>
      <w:pPr>
        <w:spacing w:before="0"/>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0"/>
        <w:rPr>
          <w:rFonts w:ascii="宋体" w:hAnsi="宋体" w:cs="宋体" w:eastAsia="宋体" w:hint="default"/>
          <w:sz w:val="25"/>
          <w:szCs w:val="25"/>
        </w:rPr>
      </w:pPr>
    </w:p>
    <w:p>
      <w:pPr>
        <w:pStyle w:val="Heading4"/>
        <w:spacing w:line="240" w:lineRule="auto"/>
        <w:ind w:right="1117"/>
        <w:jc w:val="left"/>
        <w:rPr>
          <w:b w:val="0"/>
          <w:bCs w:val="0"/>
        </w:rPr>
      </w:pPr>
      <w:bookmarkStart w:name="（1）募集资金总体使用情况" w:id="49"/>
      <w:bookmarkEnd w:id="49"/>
      <w:r>
        <w:rPr>
          <w:b w:val="0"/>
          <w:bCs w:val="0"/>
        </w:rPr>
      </w:r>
      <w:r>
        <w:rPr/>
        <w:t>（</w:t>
      </w:r>
      <w:r>
        <w:rPr>
          <w:rFonts w:ascii="Times New Roman" w:hAnsi="Times New Roman" w:cs="Times New Roman" w:eastAsia="Times New Roman" w:hint="default"/>
        </w:rPr>
        <w:t>1</w:t>
      </w:r>
      <w:r>
        <w:rPr/>
        <w:t>）募集资金总体使用情况</w:t>
      </w:r>
      <w:r>
        <w:rPr>
          <w:b w:val="0"/>
          <w:bCs w:val="0"/>
        </w:rPr>
      </w:r>
    </w:p>
    <w:p>
      <w:pPr>
        <w:spacing w:line="240" w:lineRule="auto" w:before="4"/>
        <w:rPr>
          <w:rFonts w:ascii="宋体" w:hAnsi="宋体" w:cs="宋体" w:eastAsia="宋体" w:hint="default"/>
          <w:b/>
          <w:bCs/>
          <w:sz w:val="23"/>
          <w:szCs w:val="23"/>
        </w:rPr>
      </w:pPr>
    </w:p>
    <w:p>
      <w:pPr>
        <w:spacing w:before="44"/>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before="102"/>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单位：万元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866"/>
        <w:gridCol w:w="870"/>
        <w:gridCol w:w="870"/>
        <w:gridCol w:w="870"/>
        <w:gridCol w:w="870"/>
        <w:gridCol w:w="869"/>
        <w:gridCol w:w="870"/>
        <w:gridCol w:w="870"/>
        <w:gridCol w:w="870"/>
        <w:gridCol w:w="870"/>
        <w:gridCol w:w="869"/>
      </w:tblGrid>
      <w:tr>
        <w:trPr>
          <w:trHeight w:val="1338" w:hRule="exact"/>
        </w:trPr>
        <w:tc>
          <w:tcPr>
            <w:tcW w:w="8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67" w:right="0"/>
              <w:jc w:val="left"/>
              <w:rPr>
                <w:rFonts w:ascii="宋体" w:hAnsi="宋体" w:cs="宋体" w:eastAsia="宋体" w:hint="default"/>
                <w:sz w:val="18"/>
                <w:szCs w:val="18"/>
              </w:rPr>
            </w:pPr>
            <w:r>
              <w:rPr>
                <w:rFonts w:ascii="宋体" w:hAnsi="宋体" w:cs="宋体" w:eastAsia="宋体" w:hint="default"/>
                <w:sz w:val="18"/>
                <w:szCs w:val="18"/>
              </w:rPr>
              <w:t>募集年份</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69" w:right="0"/>
              <w:jc w:val="left"/>
              <w:rPr>
                <w:rFonts w:ascii="宋体" w:hAnsi="宋体" w:cs="宋体" w:eastAsia="宋体" w:hint="default"/>
                <w:sz w:val="18"/>
                <w:szCs w:val="18"/>
              </w:rPr>
            </w:pPr>
            <w:r>
              <w:rPr>
                <w:rFonts w:ascii="宋体" w:hAnsi="宋体" w:cs="宋体" w:eastAsia="宋体" w:hint="default"/>
                <w:sz w:val="18"/>
                <w:szCs w:val="18"/>
              </w:rPr>
              <w:t>募集方式</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8"/>
              <w:ind w:left="249" w:right="68" w:hanging="180"/>
              <w:jc w:val="left"/>
              <w:rPr>
                <w:rFonts w:ascii="宋体" w:hAnsi="宋体" w:cs="宋体" w:eastAsia="宋体" w:hint="default"/>
                <w:sz w:val="18"/>
                <w:szCs w:val="18"/>
              </w:rPr>
            </w:pPr>
            <w:r>
              <w:rPr>
                <w:rFonts w:ascii="宋体" w:hAnsi="宋体" w:cs="宋体" w:eastAsia="宋体" w:hint="default"/>
                <w:sz w:val="18"/>
                <w:szCs w:val="18"/>
              </w:rPr>
              <w:t>募集资金 总额</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9" w:lineRule="auto"/>
              <w:ind w:left="69" w:right="68"/>
              <w:jc w:val="both"/>
              <w:rPr>
                <w:rFonts w:ascii="宋体" w:hAnsi="宋体" w:cs="宋体" w:eastAsia="宋体" w:hint="default"/>
                <w:sz w:val="18"/>
                <w:szCs w:val="18"/>
              </w:rPr>
            </w:pPr>
            <w:r>
              <w:rPr>
                <w:rFonts w:ascii="宋体" w:hAnsi="宋体" w:cs="宋体" w:eastAsia="宋体" w:hint="default"/>
                <w:sz w:val="18"/>
                <w:szCs w:val="18"/>
              </w:rPr>
              <w:t>本期已使 用募集资 金总额</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9" w:lineRule="auto"/>
              <w:ind w:left="69" w:right="69"/>
              <w:jc w:val="both"/>
              <w:rPr>
                <w:rFonts w:ascii="宋体" w:hAnsi="宋体" w:cs="宋体" w:eastAsia="宋体" w:hint="default"/>
                <w:sz w:val="18"/>
                <w:szCs w:val="18"/>
              </w:rPr>
            </w:pPr>
            <w:r>
              <w:rPr>
                <w:rFonts w:ascii="宋体" w:hAnsi="宋体" w:cs="宋体" w:eastAsia="宋体" w:hint="default"/>
                <w:sz w:val="18"/>
                <w:szCs w:val="18"/>
              </w:rPr>
              <w:t>已累计使 用募集资 金总额</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2"/>
              <w:ind w:left="68" w:right="68"/>
              <w:jc w:val="both"/>
              <w:rPr>
                <w:rFonts w:ascii="宋体" w:hAnsi="宋体" w:cs="宋体" w:eastAsia="宋体" w:hint="default"/>
                <w:sz w:val="18"/>
                <w:szCs w:val="18"/>
              </w:rPr>
            </w:pPr>
            <w:r>
              <w:rPr>
                <w:rFonts w:ascii="宋体" w:hAnsi="宋体" w:cs="宋体" w:eastAsia="宋体" w:hint="default"/>
                <w:sz w:val="18"/>
                <w:szCs w:val="18"/>
              </w:rPr>
              <w:t>报告期内 变更用途 的募集资 金总额</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2"/>
              <w:ind w:left="69" w:right="68"/>
              <w:jc w:val="center"/>
              <w:rPr>
                <w:rFonts w:ascii="宋体" w:hAnsi="宋体" w:cs="宋体" w:eastAsia="宋体" w:hint="default"/>
                <w:sz w:val="18"/>
                <w:szCs w:val="18"/>
              </w:rPr>
            </w:pPr>
            <w:r>
              <w:rPr>
                <w:rFonts w:ascii="宋体" w:hAnsi="宋体" w:cs="宋体" w:eastAsia="宋体" w:hint="default"/>
                <w:sz w:val="18"/>
                <w:szCs w:val="18"/>
              </w:rPr>
              <w:t>累计变更 用途的募 集资金总 额</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2"/>
              <w:ind w:left="69" w:right="68"/>
              <w:jc w:val="both"/>
              <w:rPr>
                <w:rFonts w:ascii="宋体" w:hAnsi="宋体" w:cs="宋体" w:eastAsia="宋体" w:hint="default"/>
                <w:sz w:val="18"/>
                <w:szCs w:val="18"/>
              </w:rPr>
            </w:pPr>
            <w:r>
              <w:rPr>
                <w:rFonts w:ascii="宋体" w:hAnsi="宋体" w:cs="宋体" w:eastAsia="宋体" w:hint="default"/>
                <w:sz w:val="18"/>
                <w:szCs w:val="18"/>
              </w:rPr>
              <w:t>累计变更 用途的募 集资金总 额比例</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9" w:lineRule="auto"/>
              <w:ind w:left="69" w:right="68"/>
              <w:jc w:val="center"/>
              <w:rPr>
                <w:rFonts w:ascii="宋体" w:hAnsi="宋体" w:cs="宋体" w:eastAsia="宋体" w:hint="default"/>
                <w:sz w:val="18"/>
                <w:szCs w:val="18"/>
              </w:rPr>
            </w:pPr>
            <w:r>
              <w:rPr>
                <w:rFonts w:ascii="宋体" w:hAnsi="宋体" w:cs="宋体" w:eastAsia="宋体" w:hint="default"/>
                <w:sz w:val="18"/>
                <w:szCs w:val="18"/>
              </w:rPr>
              <w:t>尚未使用 募集资金 总额</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2"/>
              <w:ind w:left="69" w:right="68"/>
              <w:jc w:val="center"/>
              <w:rPr>
                <w:rFonts w:ascii="宋体" w:hAnsi="宋体" w:cs="宋体" w:eastAsia="宋体" w:hint="default"/>
                <w:sz w:val="18"/>
                <w:szCs w:val="18"/>
              </w:rPr>
            </w:pPr>
            <w:r>
              <w:rPr>
                <w:rFonts w:ascii="宋体" w:hAnsi="宋体" w:cs="宋体" w:eastAsia="宋体" w:hint="default"/>
                <w:sz w:val="18"/>
                <w:szCs w:val="18"/>
              </w:rPr>
              <w:t>尚未使用 募集资金 用途及去 向</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9" w:lineRule="auto"/>
              <w:ind w:left="68" w:right="68"/>
              <w:jc w:val="both"/>
              <w:rPr>
                <w:rFonts w:ascii="宋体" w:hAnsi="宋体" w:cs="宋体" w:eastAsia="宋体" w:hint="default"/>
                <w:sz w:val="18"/>
                <w:szCs w:val="18"/>
              </w:rPr>
            </w:pPr>
            <w:r>
              <w:rPr>
                <w:rFonts w:ascii="宋体" w:hAnsi="宋体" w:cs="宋体" w:eastAsia="宋体" w:hint="default"/>
                <w:sz w:val="18"/>
                <w:szCs w:val="18"/>
              </w:rPr>
              <w:t>闲置两年 以上募集 资金金额</w:t>
            </w:r>
          </w:p>
        </w:tc>
      </w:tr>
      <w:tr>
        <w:trPr>
          <w:trHeight w:val="674" w:hRule="exact"/>
        </w:trPr>
        <w:tc>
          <w:tcPr>
            <w:tcW w:w="8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2011</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115"/>
              <w:jc w:val="left"/>
              <w:rPr>
                <w:rFonts w:ascii="宋体" w:hAnsi="宋体" w:cs="宋体" w:eastAsia="宋体" w:hint="default"/>
                <w:sz w:val="18"/>
                <w:szCs w:val="18"/>
              </w:rPr>
            </w:pPr>
            <w:r>
              <w:rPr>
                <w:rFonts w:ascii="宋体" w:hAnsi="宋体" w:cs="宋体" w:eastAsia="宋体" w:hint="default"/>
                <w:sz w:val="18"/>
                <w:szCs w:val="18"/>
              </w:rPr>
              <w:t>首次公开 发行股票</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116" w:right="0"/>
              <w:jc w:val="left"/>
              <w:rPr>
                <w:rFonts w:ascii="Times New Roman" w:hAnsi="Times New Roman" w:cs="Times New Roman" w:eastAsia="Times New Roman" w:hint="default"/>
                <w:sz w:val="18"/>
                <w:szCs w:val="18"/>
              </w:rPr>
            </w:pPr>
            <w:r>
              <w:rPr>
                <w:rFonts w:ascii="Times New Roman"/>
                <w:sz w:val="18"/>
              </w:rPr>
              <w:t>29,902.66</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116" w:right="0"/>
              <w:jc w:val="left"/>
              <w:rPr>
                <w:rFonts w:ascii="Times New Roman" w:hAnsi="Times New Roman" w:cs="Times New Roman" w:eastAsia="Times New Roman" w:hint="default"/>
                <w:sz w:val="18"/>
                <w:szCs w:val="18"/>
              </w:rPr>
            </w:pPr>
            <w:r>
              <w:rPr>
                <w:rFonts w:ascii="Times New Roman"/>
                <w:sz w:val="18"/>
              </w:rPr>
              <w:t>31,721.92</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371" w:right="0"/>
              <w:jc w:val="left"/>
              <w:rPr>
                <w:rFonts w:ascii="Times New Roman" w:hAnsi="Times New Roman" w:cs="Times New Roman" w:eastAsia="Times New Roman" w:hint="default"/>
                <w:sz w:val="18"/>
                <w:szCs w:val="18"/>
              </w:rPr>
            </w:pPr>
            <w:r>
              <w:rPr>
                <w:rFonts w:ascii="Times New Roman"/>
                <w:sz w:val="18"/>
              </w:rPr>
              <w:t>0.00%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不适用</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79" w:top="1100" w:bottom="1160" w:left="980" w:right="0"/>
        </w:sectPr>
      </w:pPr>
    </w:p>
    <w:p>
      <w:pPr>
        <w:spacing w:line="240" w:lineRule="auto" w:before="10"/>
        <w:rPr>
          <w:rFonts w:ascii="Times New Roman" w:hAnsi="Times New Roman" w:cs="Times New Roman" w:eastAsia="Times New Roman" w:hint="default"/>
          <w:sz w:val="27"/>
          <w:szCs w:val="27"/>
        </w:rPr>
      </w:pPr>
    </w:p>
    <w:tbl>
      <w:tblPr>
        <w:tblW w:w="0" w:type="auto"/>
        <w:jc w:val="left"/>
        <w:tblInd w:w="149" w:type="dxa"/>
        <w:tblLayout w:type="fixed"/>
        <w:tblCellMar>
          <w:top w:w="0" w:type="dxa"/>
          <w:left w:w="0" w:type="dxa"/>
          <w:bottom w:w="0" w:type="dxa"/>
          <w:right w:w="0" w:type="dxa"/>
        </w:tblCellMar>
        <w:tblLook w:val="01E0"/>
      </w:tblPr>
      <w:tblGrid>
        <w:gridCol w:w="866"/>
        <w:gridCol w:w="870"/>
        <w:gridCol w:w="870"/>
        <w:gridCol w:w="870"/>
        <w:gridCol w:w="870"/>
        <w:gridCol w:w="869"/>
        <w:gridCol w:w="870"/>
        <w:gridCol w:w="870"/>
        <w:gridCol w:w="870"/>
        <w:gridCol w:w="870"/>
        <w:gridCol w:w="869"/>
      </w:tblGrid>
      <w:tr>
        <w:trPr>
          <w:trHeight w:val="674" w:hRule="exact"/>
        </w:trPr>
        <w:tc>
          <w:tcPr>
            <w:tcW w:w="866"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22" w:right="115"/>
              <w:jc w:val="left"/>
              <w:rPr>
                <w:rFonts w:ascii="宋体" w:hAnsi="宋体" w:cs="宋体" w:eastAsia="宋体" w:hint="default"/>
                <w:sz w:val="18"/>
                <w:szCs w:val="18"/>
              </w:rPr>
            </w:pPr>
            <w:r>
              <w:rPr>
                <w:rFonts w:ascii="宋体" w:hAnsi="宋体" w:cs="宋体" w:eastAsia="宋体" w:hint="default"/>
                <w:sz w:val="18"/>
                <w:szCs w:val="18"/>
              </w:rPr>
              <w:t>并在创业 板上市</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8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2015</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15"/>
              <w:jc w:val="both"/>
              <w:rPr>
                <w:rFonts w:ascii="宋体" w:hAnsi="宋体" w:cs="宋体" w:eastAsia="宋体" w:hint="default"/>
                <w:sz w:val="18"/>
                <w:szCs w:val="18"/>
              </w:rPr>
            </w:pPr>
            <w:r>
              <w:rPr>
                <w:rFonts w:ascii="宋体" w:hAnsi="宋体" w:cs="宋体" w:eastAsia="宋体" w:hint="default"/>
                <w:sz w:val="18"/>
                <w:szCs w:val="18"/>
              </w:rPr>
              <w:t>重大资产 重组募集 配套资金</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7,095.4</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7,095.4</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不适用</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r>
      <w:tr>
        <w:trPr>
          <w:trHeight w:val="1338" w:hRule="exact"/>
        </w:trPr>
        <w:tc>
          <w:tcPr>
            <w:tcW w:w="8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left="22" w:right="0"/>
              <w:jc w:val="left"/>
              <w:rPr>
                <w:rFonts w:ascii="Times New Roman" w:hAnsi="Times New Roman" w:cs="Times New Roman" w:eastAsia="Times New Roman" w:hint="default"/>
                <w:sz w:val="18"/>
                <w:szCs w:val="18"/>
              </w:rPr>
            </w:pPr>
            <w:r>
              <w:rPr>
                <w:rFonts w:ascii="Times New Roman"/>
                <w:sz w:val="18"/>
              </w:rPr>
              <w:t>2016</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6" w:lineRule="auto"/>
              <w:ind w:left="22" w:right="115"/>
              <w:jc w:val="both"/>
              <w:rPr>
                <w:rFonts w:ascii="宋体" w:hAnsi="宋体" w:cs="宋体" w:eastAsia="宋体" w:hint="default"/>
                <w:sz w:val="18"/>
                <w:szCs w:val="18"/>
              </w:rPr>
            </w:pPr>
            <w:r>
              <w:rPr>
                <w:rFonts w:ascii="宋体" w:hAnsi="宋体" w:cs="宋体" w:eastAsia="宋体" w:hint="default"/>
                <w:sz w:val="18"/>
                <w:szCs w:val="18"/>
              </w:rPr>
              <w:t>非公开发 行股票募 集资金</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1"/>
              <w:jc w:val="right"/>
              <w:rPr>
                <w:rFonts w:ascii="Times New Roman" w:hAnsi="Times New Roman" w:cs="Times New Roman" w:eastAsia="Times New Roman" w:hint="default"/>
                <w:sz w:val="18"/>
                <w:szCs w:val="18"/>
              </w:rPr>
            </w:pPr>
            <w:r>
              <w:rPr>
                <w:rFonts w:ascii="Times New Roman"/>
                <w:sz w:val="18"/>
              </w:rPr>
              <w:t>31,378.63</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1"/>
              <w:jc w:val="right"/>
              <w:rPr>
                <w:rFonts w:ascii="Times New Roman" w:hAnsi="Times New Roman" w:cs="Times New Roman" w:eastAsia="Times New Roman" w:hint="default"/>
                <w:sz w:val="18"/>
                <w:szCs w:val="18"/>
              </w:rPr>
            </w:pPr>
            <w:r>
              <w:rPr>
                <w:rFonts w:ascii="Times New Roman"/>
                <w:sz w:val="18"/>
              </w:rPr>
              <w:t>2,496.48</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1"/>
              <w:jc w:val="right"/>
              <w:rPr>
                <w:rFonts w:ascii="Times New Roman" w:hAnsi="Times New Roman" w:cs="Times New Roman" w:eastAsia="Times New Roman" w:hint="default"/>
                <w:sz w:val="18"/>
                <w:szCs w:val="18"/>
              </w:rPr>
            </w:pPr>
            <w:r>
              <w:rPr>
                <w:rFonts w:ascii="Times New Roman"/>
                <w:sz w:val="18"/>
              </w:rPr>
              <w:t>14,733.13</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1"/>
              <w:jc w:val="right"/>
              <w:rPr>
                <w:rFonts w:ascii="Times New Roman" w:hAnsi="Times New Roman" w:cs="Times New Roman" w:eastAsia="Times New Roman" w:hint="default"/>
                <w:sz w:val="18"/>
                <w:szCs w:val="18"/>
              </w:rPr>
            </w:pPr>
            <w:r>
              <w:rPr>
                <w:rFonts w:ascii="Times New Roman"/>
                <w:sz w:val="18"/>
              </w:rPr>
              <w:t>0.00%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1"/>
              <w:jc w:val="right"/>
              <w:rPr>
                <w:rFonts w:ascii="Times New Roman" w:hAnsi="Times New Roman" w:cs="Times New Roman" w:eastAsia="Times New Roman" w:hint="default"/>
                <w:sz w:val="18"/>
                <w:szCs w:val="18"/>
              </w:rPr>
            </w:pPr>
            <w:r>
              <w:rPr>
                <w:rFonts w:ascii="Times New Roman"/>
                <w:sz w:val="18"/>
              </w:rPr>
              <w:t>16,645.5</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15"/>
              <w:jc w:val="both"/>
              <w:rPr>
                <w:rFonts w:ascii="宋体" w:hAnsi="宋体" w:cs="宋体" w:eastAsia="宋体" w:hint="default"/>
                <w:sz w:val="18"/>
                <w:szCs w:val="18"/>
              </w:rPr>
            </w:pPr>
            <w:r>
              <w:rPr>
                <w:rFonts w:ascii="宋体" w:hAnsi="宋体" w:cs="宋体" w:eastAsia="宋体" w:hint="default"/>
                <w:sz w:val="18"/>
                <w:szCs w:val="18"/>
              </w:rPr>
              <w:t>储于募集 资金专户 及进行现 金管理</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3"/>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8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87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68,376.69</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2,496.48</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53,550.45</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0.00%</w:t>
            </w:r>
          </w:p>
        </w:tc>
        <w:tc>
          <w:tcPr>
            <w:tcW w:w="870"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91"/>
              <w:ind w:right="9"/>
              <w:jc w:val="right"/>
              <w:rPr>
                <w:rFonts w:ascii="Times New Roman" w:hAnsi="Times New Roman" w:cs="Times New Roman" w:eastAsia="Times New Roman" w:hint="default"/>
                <w:sz w:val="18"/>
                <w:szCs w:val="18"/>
              </w:rPr>
            </w:pPr>
            <w:r>
              <w:rPr>
                <w:rFonts w:ascii="Times New Roman"/>
                <w:sz w:val="18"/>
              </w:rPr>
              <w:t>16,645.5</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86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9564" w:type="dxa"/>
            <w:gridSpan w:val="11"/>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募集资金总体使用情况说明</w:t>
            </w:r>
          </w:p>
        </w:tc>
      </w:tr>
      <w:tr>
        <w:trPr>
          <w:trHeight w:val="9891" w:hRule="exact"/>
        </w:trPr>
        <w:tc>
          <w:tcPr>
            <w:tcW w:w="9564" w:type="dxa"/>
            <w:gridSpan w:val="11"/>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①募集资金金额及到位情况：</w:t>
            </w:r>
          </w:p>
          <w:p>
            <w:pPr>
              <w:pStyle w:val="TableParagraph"/>
              <w:spacing w:line="300" w:lineRule="auto" w:before="116"/>
              <w:ind w:left="22" w:right="21"/>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3"/>
                <w:sz w:val="18"/>
                <w:szCs w:val="18"/>
              </w:rPr>
              <w:t>a.</w:t>
            </w:r>
            <w:r>
              <w:rPr>
                <w:rFonts w:ascii="宋体" w:hAnsi="宋体" w:cs="宋体" w:eastAsia="宋体" w:hint="default"/>
                <w:spacing w:val="-3"/>
                <w:sz w:val="18"/>
                <w:szCs w:val="18"/>
              </w:rPr>
              <w:t>中国证监会监督管理委员会《关于核准郑州新开普电子股份有限公司首次公开发行股票并在创业板上市的批复》（证监许</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可</w:t>
            </w:r>
            <w:r>
              <w:rPr>
                <w:rFonts w:ascii="Times New Roman" w:hAnsi="Times New Roman" w:cs="Times New Roman" w:eastAsia="Times New Roman" w:hint="default"/>
                <w:sz w:val="18"/>
                <w:szCs w:val="18"/>
              </w:rPr>
              <w:t>[2011]1067</w:t>
            </w:r>
            <w:r>
              <w:rPr>
                <w:rFonts w:ascii="Times New Roman" w:hAnsi="Times New Roman" w:cs="Times New Roman" w:eastAsia="Times New Roman" w:hint="default"/>
                <w:spacing w:val="2"/>
                <w:sz w:val="18"/>
                <w:szCs w:val="18"/>
              </w:rPr>
              <w:t> </w:t>
            </w:r>
            <w:r>
              <w:rPr>
                <w:rFonts w:ascii="宋体" w:hAnsi="宋体" w:cs="宋体" w:eastAsia="宋体" w:hint="default"/>
                <w:spacing w:val="-3"/>
                <w:sz w:val="18"/>
                <w:szCs w:val="18"/>
              </w:rPr>
              <w:t>号）核准，向社会公众发行人民币普通股</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1,120 </w:t>
            </w:r>
            <w:r>
              <w:rPr>
                <w:rFonts w:ascii="宋体" w:hAnsi="宋体" w:cs="宋体" w:eastAsia="宋体" w:hint="default"/>
                <w:spacing w:val="-3"/>
                <w:sz w:val="18"/>
                <w:szCs w:val="18"/>
              </w:rPr>
              <w:t>万股，股票面值为人民币</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1.00</w:t>
            </w:r>
            <w:r>
              <w:rPr>
                <w:rFonts w:ascii="Times New Roman" w:hAnsi="Times New Roman" w:cs="Times New Roman" w:eastAsia="Times New Roman" w:hint="default"/>
                <w:spacing w:val="1"/>
                <w:sz w:val="18"/>
                <w:szCs w:val="18"/>
              </w:rPr>
              <w:t> </w:t>
            </w:r>
            <w:r>
              <w:rPr>
                <w:rFonts w:ascii="宋体" w:hAnsi="宋体" w:cs="宋体" w:eastAsia="宋体" w:hint="default"/>
                <w:spacing w:val="-3"/>
                <w:sz w:val="18"/>
                <w:szCs w:val="18"/>
              </w:rPr>
              <w:t>元，发行价格每股人民币</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30.00</w:t>
            </w:r>
          </w:p>
          <w:p>
            <w:pPr>
              <w:pStyle w:val="TableParagraph"/>
              <w:spacing w:line="240" w:lineRule="auto" w:before="13"/>
              <w:ind w:left="22" w:right="0"/>
              <w:jc w:val="left"/>
              <w:rPr>
                <w:rFonts w:ascii="宋体" w:hAnsi="宋体" w:cs="宋体" w:eastAsia="宋体" w:hint="default"/>
                <w:sz w:val="18"/>
                <w:szCs w:val="18"/>
              </w:rPr>
            </w:pPr>
            <w:r>
              <w:rPr>
                <w:rFonts w:ascii="宋体" w:hAnsi="宋体" w:cs="宋体" w:eastAsia="宋体" w:hint="default"/>
                <w:sz w:val="18"/>
                <w:szCs w:val="18"/>
              </w:rPr>
              <w:t>元，公司募集资金总额为人民币</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33,600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万元，扣除各项发行费用合计人民币</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3,697.34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万元，实际募集资金净额为人民币</w:t>
            </w:r>
          </w:p>
          <w:p>
            <w:pPr>
              <w:pStyle w:val="TableParagraph"/>
              <w:spacing w:line="240" w:lineRule="auto" w:before="63"/>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29,902.66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万元，其中其他与主营业务相关的营运资金（超募资金）人民币</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13,877.56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万元。利安达会计师事务所有限责任</w:t>
            </w:r>
          </w:p>
          <w:p>
            <w:pPr>
              <w:pStyle w:val="TableParagraph"/>
              <w:spacing w:line="312" w:lineRule="auto" w:before="63"/>
              <w:ind w:left="22" w:right="23"/>
              <w:jc w:val="both"/>
              <w:rPr>
                <w:rFonts w:ascii="宋体" w:hAnsi="宋体" w:cs="宋体" w:eastAsia="宋体" w:hint="default"/>
                <w:sz w:val="18"/>
                <w:szCs w:val="18"/>
              </w:rPr>
            </w:pPr>
            <w:r>
              <w:rPr>
                <w:rFonts w:ascii="宋体" w:hAnsi="宋体" w:cs="宋体" w:eastAsia="宋体" w:hint="default"/>
                <w:spacing w:val="-1"/>
                <w:sz w:val="18"/>
                <w:szCs w:val="18"/>
              </w:rPr>
              <w:t>公司已对公司首次公开发行股票的资金到位情况进行了审验，并出具利安达验字</w:t>
            </w:r>
            <w:r>
              <w:rPr>
                <w:rFonts w:ascii="Times New Roman" w:hAnsi="Times New Roman" w:cs="Times New Roman" w:eastAsia="Times New Roman" w:hint="default"/>
                <w:spacing w:val="-1"/>
                <w:sz w:val="18"/>
                <w:szCs w:val="18"/>
              </w:rPr>
              <w:t>[2011]</w:t>
            </w:r>
            <w:r>
              <w:rPr>
                <w:rFonts w:ascii="宋体" w:hAnsi="宋体" w:cs="宋体" w:eastAsia="宋体" w:hint="default"/>
                <w:spacing w:val="-1"/>
                <w:sz w:val="18"/>
                <w:szCs w:val="18"/>
              </w:rPr>
              <w:t>第</w:t>
            </w:r>
            <w:r>
              <w:rPr>
                <w:rFonts w:ascii="宋体" w:hAnsi="宋体" w:cs="宋体" w:eastAsia="宋体" w:hint="default"/>
                <w:spacing w:val="-34"/>
                <w:sz w:val="18"/>
                <w:szCs w:val="18"/>
              </w:rPr>
              <w:t> </w:t>
            </w:r>
            <w:r>
              <w:rPr>
                <w:rFonts w:ascii="Times New Roman" w:hAnsi="Times New Roman" w:cs="Times New Roman" w:eastAsia="Times New Roman" w:hint="default"/>
                <w:sz w:val="18"/>
                <w:szCs w:val="18"/>
              </w:rPr>
              <w:t>1067</w:t>
            </w:r>
            <w:r>
              <w:rPr>
                <w:rFonts w:ascii="Times New Roman" w:hAnsi="Times New Roman" w:cs="Times New Roman" w:eastAsia="Times New Roman" w:hint="default"/>
                <w:spacing w:val="11"/>
                <w:sz w:val="18"/>
                <w:szCs w:val="18"/>
              </w:rPr>
              <w:t> </w:t>
            </w:r>
            <w:r>
              <w:rPr>
                <w:rFonts w:ascii="宋体" w:hAnsi="宋体" w:cs="宋体" w:eastAsia="宋体" w:hint="default"/>
                <w:spacing w:val="-8"/>
                <w:sz w:val="18"/>
                <w:szCs w:val="18"/>
              </w:rPr>
              <w:t>号《验资报告》。根据《深</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pacing w:val="-4"/>
                <w:sz w:val="18"/>
                <w:szCs w:val="18"/>
              </w:rPr>
              <w:t>圳证券交易所创业板股票上市规则》、《深圳证券交易所创业板上市公司规范运作指引》等相关法律法规，公司与保荐机构</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1"/>
                <w:sz w:val="18"/>
                <w:szCs w:val="18"/>
              </w:rPr>
              <w:t>南京证券股份有限公司分别与中国银行股份有限公司郑州高新技术开发区支行、交通银行股份有限公司郑州高新技术开发</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pacing w:val="-2"/>
                <w:sz w:val="18"/>
                <w:szCs w:val="18"/>
              </w:rPr>
              <w:t>区支行两家银行签订《募集资金三方监管协议》，对公司募集资金进行监管，并开设了募集资金专用账户。</w:t>
            </w:r>
          </w:p>
          <w:p>
            <w:pPr>
              <w:pStyle w:val="TableParagraph"/>
              <w:spacing w:line="240" w:lineRule="auto" w:before="6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b.</w:t>
            </w:r>
            <w:r>
              <w:rPr>
                <w:rFonts w:ascii="宋体" w:hAnsi="宋体" w:cs="宋体" w:eastAsia="宋体" w:hint="default"/>
                <w:sz w:val="18"/>
                <w:szCs w:val="18"/>
              </w:rPr>
              <w:t>经中国证券监督管理委员会《关于核准新开普电子股份有限公司向刘永春等发行股份购买资产并募集配套资金的批复》</w:t>
            </w:r>
          </w:p>
          <w:p>
            <w:pPr>
              <w:pStyle w:val="TableParagraph"/>
              <w:spacing w:line="300" w:lineRule="auto" w:before="63"/>
              <w:ind w:left="22" w:right="35"/>
              <w:jc w:val="left"/>
              <w:rPr>
                <w:rFonts w:ascii="宋体" w:hAnsi="宋体" w:cs="宋体" w:eastAsia="宋体" w:hint="default"/>
                <w:sz w:val="18"/>
                <w:szCs w:val="18"/>
              </w:rPr>
            </w:pPr>
            <w:r>
              <w:rPr>
                <w:rFonts w:ascii="宋体" w:hAnsi="宋体" w:cs="宋体" w:eastAsia="宋体" w:hint="default"/>
                <w:sz w:val="18"/>
                <w:szCs w:val="18"/>
              </w:rPr>
              <w:t>（证监许可</w:t>
            </w:r>
            <w:r>
              <w:rPr>
                <w:rFonts w:ascii="Times New Roman" w:hAnsi="Times New Roman" w:cs="Times New Roman" w:eastAsia="Times New Roman" w:hint="default"/>
                <w:sz w:val="18"/>
                <w:szCs w:val="18"/>
              </w:rPr>
              <w:t>[2015]1417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号）核准，本公司非公开向郑州佳辰、罗会军、柳楠、吴凤辉发行人民币普通股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5,645,729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股，每 股面值</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元，每股发行价</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14.17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元，募集资金总额为</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79,999,979.93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元，扣除支付的各项发行费用</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9,045,931.19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元后的实际</w:t>
            </w:r>
          </w:p>
          <w:p>
            <w:pPr>
              <w:pStyle w:val="TableParagraph"/>
              <w:spacing w:line="240" w:lineRule="auto" w:before="13"/>
              <w:ind w:left="22" w:right="0"/>
              <w:jc w:val="left"/>
              <w:rPr>
                <w:rFonts w:ascii="宋体" w:hAnsi="宋体" w:cs="宋体" w:eastAsia="宋体" w:hint="default"/>
                <w:sz w:val="18"/>
                <w:szCs w:val="18"/>
              </w:rPr>
            </w:pPr>
            <w:r>
              <w:rPr>
                <w:rFonts w:ascii="宋体" w:hAnsi="宋体" w:cs="宋体" w:eastAsia="宋体" w:hint="default"/>
                <w:sz w:val="18"/>
                <w:szCs w:val="18"/>
              </w:rPr>
              <w:t>募集资金净额</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70,954,048.74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元，已于</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日全部到位，该募集资金已经立信会计师事务所（特殊普通合伙）验</w:t>
            </w:r>
          </w:p>
          <w:p>
            <w:pPr>
              <w:pStyle w:val="TableParagraph"/>
              <w:spacing w:line="309" w:lineRule="auto" w:before="63"/>
              <w:ind w:left="22" w:right="20"/>
              <w:jc w:val="both"/>
              <w:rPr>
                <w:rFonts w:ascii="宋体" w:hAnsi="宋体" w:cs="宋体" w:eastAsia="宋体" w:hint="default"/>
                <w:sz w:val="18"/>
                <w:szCs w:val="18"/>
              </w:rPr>
            </w:pPr>
            <w:r>
              <w:rPr>
                <w:rFonts w:ascii="宋体" w:hAnsi="宋体" w:cs="宋体" w:eastAsia="宋体" w:hint="default"/>
                <w:spacing w:val="-1"/>
                <w:sz w:val="18"/>
                <w:szCs w:val="18"/>
              </w:rPr>
              <w:t>证，并出具了信会师报字</w:t>
            </w:r>
            <w:r>
              <w:rPr>
                <w:rFonts w:ascii="Times New Roman" w:hAnsi="Times New Roman" w:cs="Times New Roman" w:eastAsia="Times New Roman" w:hint="default"/>
                <w:spacing w:val="-1"/>
                <w:sz w:val="18"/>
                <w:szCs w:val="18"/>
              </w:rPr>
              <w:t>(2015)</w:t>
            </w:r>
            <w:r>
              <w:rPr>
                <w:rFonts w:ascii="宋体" w:hAnsi="宋体" w:cs="宋体" w:eastAsia="宋体" w:hint="default"/>
                <w:spacing w:val="-1"/>
                <w:sz w:val="18"/>
                <w:szCs w:val="18"/>
              </w:rPr>
              <w:t>第</w:t>
            </w:r>
            <w:r>
              <w:rPr>
                <w:rFonts w:ascii="宋体" w:hAnsi="宋体" w:cs="宋体" w:eastAsia="宋体" w:hint="default"/>
                <w:spacing w:val="-32"/>
                <w:sz w:val="18"/>
                <w:szCs w:val="18"/>
              </w:rPr>
              <w:t> </w:t>
            </w:r>
            <w:r>
              <w:rPr>
                <w:rFonts w:ascii="Times New Roman" w:hAnsi="Times New Roman" w:cs="Times New Roman" w:eastAsia="Times New Roman" w:hint="default"/>
                <w:spacing w:val="-2"/>
                <w:sz w:val="18"/>
                <w:szCs w:val="18"/>
              </w:rPr>
              <w:t>711441</w:t>
            </w:r>
            <w:r>
              <w:rPr>
                <w:rFonts w:ascii="Times New Roman" w:hAnsi="Times New Roman" w:cs="Times New Roman" w:eastAsia="Times New Roman" w:hint="default"/>
                <w:spacing w:val="13"/>
                <w:sz w:val="18"/>
                <w:szCs w:val="18"/>
              </w:rPr>
              <w:t> </w:t>
            </w:r>
            <w:r>
              <w:rPr>
                <w:rFonts w:ascii="宋体" w:hAnsi="宋体" w:cs="宋体" w:eastAsia="宋体" w:hint="default"/>
                <w:spacing w:val="-7"/>
                <w:sz w:val="18"/>
                <w:szCs w:val="18"/>
              </w:rPr>
              <w:t>号验资报告。根据《深圳证券交易所创业板股票上市规则》、《深圳证券交易所创</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1"/>
                <w:sz w:val="18"/>
                <w:szCs w:val="18"/>
              </w:rPr>
              <w:t>业板上市公司规范运作指引》等相关法律法规，公司与保荐机构南京证券股份有限公司与中国银行股份有限公司郑州高新</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pacing w:val="-2"/>
                <w:sz w:val="18"/>
                <w:szCs w:val="18"/>
              </w:rPr>
              <w:t>技术开发区支行签订《募集资金三方监管协议》，对公司募集资金进行监管，并开设了募集资金专用账户。</w:t>
            </w:r>
          </w:p>
          <w:p>
            <w:pPr>
              <w:pStyle w:val="TableParagraph"/>
              <w:spacing w:line="300" w:lineRule="auto" w:before="62"/>
              <w:ind w:left="22" w:right="20"/>
              <w:jc w:val="left"/>
              <w:rPr>
                <w:rFonts w:ascii="宋体" w:hAnsi="宋体" w:cs="宋体" w:eastAsia="宋体" w:hint="default"/>
                <w:sz w:val="18"/>
                <w:szCs w:val="18"/>
              </w:rPr>
            </w:pPr>
            <w:r>
              <w:rPr>
                <w:rFonts w:ascii="Times New Roman" w:hAnsi="Times New Roman" w:cs="Times New Roman" w:eastAsia="Times New Roman" w:hint="default"/>
                <w:sz w:val="18"/>
                <w:szCs w:val="18"/>
              </w:rPr>
              <w:t>c.</w:t>
            </w:r>
            <w:r>
              <w:rPr>
                <w:rFonts w:ascii="宋体" w:hAnsi="宋体" w:cs="宋体" w:eastAsia="宋体" w:hint="default"/>
                <w:sz w:val="18"/>
                <w:szCs w:val="18"/>
              </w:rPr>
              <w:t>经中国证券监督管理委员会《关于核准新开普电子股份有限公司非公开发行股票的批复》证监许可【</w:t>
            </w:r>
            <w:r>
              <w:rPr>
                <w:rFonts w:ascii="Times New Roman" w:hAnsi="Times New Roman" w:cs="Times New Roman" w:eastAsia="Times New Roman" w:hint="default"/>
                <w:sz w:val="18"/>
                <w:szCs w:val="18"/>
              </w:rPr>
              <w:t>2016</w:t>
            </w:r>
            <w:r>
              <w:rPr>
                <w:rFonts w:ascii="宋体" w:hAnsi="宋体" w:cs="宋体" w:eastAsia="宋体" w:hint="default"/>
                <w:sz w:val="18"/>
                <w:szCs w:val="18"/>
              </w:rPr>
              <w:t>】</w:t>
            </w:r>
            <w:r>
              <w:rPr>
                <w:rFonts w:ascii="Times New Roman" w:hAnsi="Times New Roman" w:cs="Times New Roman" w:eastAsia="Times New Roman" w:hint="default"/>
                <w:sz w:val="18"/>
                <w:szCs w:val="18"/>
              </w:rPr>
              <w:t>1324</w:t>
            </w:r>
            <w:r>
              <w:rPr>
                <w:rFonts w:ascii="Times New Roman" w:hAnsi="Times New Roman" w:cs="Times New Roman" w:eastAsia="Times New Roman" w:hint="default"/>
                <w:spacing w:val="-14"/>
                <w:sz w:val="18"/>
                <w:szCs w:val="18"/>
              </w:rPr>
              <w:t> </w:t>
            </w:r>
            <w:r>
              <w:rPr>
                <w:rFonts w:ascii="宋体" w:hAnsi="宋体" w:cs="宋体" w:eastAsia="宋体" w:hint="default"/>
                <w:sz w:val="18"/>
                <w:szCs w:val="18"/>
              </w:rPr>
              <w:t>号文核 准，公司以非公开发行的方式发行</w:t>
            </w:r>
            <w:r>
              <w:rPr>
                <w:rFonts w:ascii="宋体" w:hAnsi="宋体" w:cs="宋体" w:eastAsia="宋体" w:hint="default"/>
                <w:spacing w:val="-45"/>
                <w:sz w:val="18"/>
                <w:szCs w:val="18"/>
              </w:rPr>
              <w:t> </w:t>
            </w:r>
            <w:r>
              <w:rPr>
                <w:rFonts w:ascii="Times New Roman" w:hAnsi="Times New Roman" w:cs="Times New Roman" w:eastAsia="Times New Roman" w:hint="default"/>
                <w:spacing w:val="-1"/>
                <w:sz w:val="18"/>
                <w:szCs w:val="18"/>
              </w:rPr>
              <w:t>13,000,000</w:t>
            </w:r>
            <w:r>
              <w:rPr>
                <w:rFonts w:ascii="Times New Roman" w:hAnsi="Times New Roman" w:cs="Times New Roman" w:eastAsia="Times New Roman" w:hint="default"/>
                <w:sz w:val="18"/>
                <w:szCs w:val="18"/>
              </w:rPr>
              <w:t> </w:t>
            </w:r>
            <w:r>
              <w:rPr>
                <w:rFonts w:ascii="宋体" w:hAnsi="宋体" w:cs="宋体" w:eastAsia="宋体" w:hint="default"/>
                <w:sz w:val="18"/>
                <w:szCs w:val="18"/>
              </w:rPr>
              <w:t>股人民币普</w:t>
            </w:r>
            <w:r>
              <w:rPr>
                <w:rFonts w:ascii="宋体" w:hAnsi="宋体" w:cs="宋体" w:eastAsia="宋体" w:hint="default"/>
                <w:spacing w:val="2"/>
                <w:sz w:val="18"/>
                <w:szCs w:val="18"/>
              </w:rPr>
              <w:t> </w:t>
            </w:r>
            <w:r>
              <w:rPr>
                <w:rFonts w:ascii="宋体" w:hAnsi="宋体" w:cs="宋体" w:eastAsia="宋体" w:hint="default"/>
                <w:w w:val="99"/>
                <w:sz w:val="18"/>
                <w:szCs w:val="18"/>
              </w:rPr>
              <w:t>通股（</w:t>
            </w:r>
            <w:r>
              <w:rPr>
                <w:rFonts w:ascii="Times New Roman" w:hAnsi="Times New Roman" w:cs="Times New Roman" w:eastAsia="Times New Roman" w:hint="default"/>
                <w:w w:val="99"/>
                <w:sz w:val="18"/>
                <w:szCs w:val="18"/>
              </w:rPr>
              <w:t>A </w:t>
            </w:r>
            <w:r>
              <w:rPr>
                <w:rFonts w:ascii="宋体" w:hAnsi="宋体" w:cs="宋体" w:eastAsia="宋体" w:hint="default"/>
                <w:spacing w:val="-12"/>
                <w:sz w:val="18"/>
                <w:szCs w:val="18"/>
              </w:rPr>
              <w:t>股），发行价格为</w:t>
            </w:r>
            <w:r>
              <w:rPr>
                <w:rFonts w:ascii="宋体" w:hAnsi="宋体" w:cs="宋体" w:eastAsia="宋体" w:hint="default"/>
                <w:spacing w:val="2"/>
                <w:sz w:val="18"/>
                <w:szCs w:val="18"/>
              </w:rPr>
              <w:t> </w:t>
            </w:r>
            <w:r>
              <w:rPr>
                <w:rFonts w:ascii="Times New Roman" w:hAnsi="Times New Roman" w:cs="Times New Roman" w:eastAsia="Times New Roman" w:hint="default"/>
                <w:spacing w:val="-1"/>
                <w:sz w:val="18"/>
                <w:szCs w:val="18"/>
              </w:rPr>
              <w:t>25.00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w:t>
            </w:r>
            <w:r>
              <w:rPr>
                <w:rFonts w:ascii="Times New Roman" w:hAnsi="Times New Roman" w:cs="Times New Roman" w:eastAsia="Times New Roman" w:hint="default"/>
                <w:sz w:val="18"/>
                <w:szCs w:val="18"/>
              </w:rPr>
              <w:t>/</w:t>
            </w:r>
            <w:r>
              <w:rPr>
                <w:rFonts w:ascii="宋体" w:hAnsi="宋体" w:cs="宋体" w:eastAsia="宋体" w:hint="default"/>
                <w:sz w:val="18"/>
                <w:szCs w:val="18"/>
              </w:rPr>
              <w:t>股，募集资金总额为</w:t>
            </w:r>
            <w:r>
              <w:rPr>
                <w:rFonts w:ascii="宋体" w:hAnsi="宋体" w:cs="宋体" w:eastAsia="宋体" w:hint="default"/>
                <w:spacing w:val="-81"/>
                <w:sz w:val="18"/>
                <w:szCs w:val="18"/>
              </w:rPr>
              <w:t> </w:t>
            </w:r>
            <w:r>
              <w:rPr>
                <w:rFonts w:ascii="Times New Roman" w:hAnsi="Times New Roman" w:cs="Times New Roman" w:eastAsia="Times New Roman" w:hint="default"/>
                <w:spacing w:val="-1"/>
                <w:sz w:val="18"/>
                <w:szCs w:val="18"/>
              </w:rPr>
              <w:t>325,000,000.00</w:t>
            </w:r>
            <w:r>
              <w:rPr>
                <w:rFonts w:ascii="Times New Roman" w:hAnsi="Times New Roman" w:cs="Times New Roman" w:eastAsia="Times New Roman" w:hint="default"/>
                <w:sz w:val="18"/>
                <w:szCs w:val="18"/>
              </w:rPr>
              <w:t> </w:t>
            </w:r>
            <w:r>
              <w:rPr>
                <w:rFonts w:ascii="宋体" w:hAnsi="宋体" w:cs="宋体" w:eastAsia="宋体" w:hint="default"/>
                <w:sz w:val="18"/>
                <w:szCs w:val="18"/>
              </w:rPr>
              <w:t>元，扣除各项发行费用共计 </w:t>
            </w:r>
            <w:r>
              <w:rPr>
                <w:rFonts w:ascii="Times New Roman" w:hAnsi="Times New Roman" w:cs="Times New Roman" w:eastAsia="Times New Roman" w:hint="default"/>
                <w:spacing w:val="-1"/>
                <w:sz w:val="18"/>
                <w:szCs w:val="18"/>
              </w:rPr>
              <w:t>11,213,679.30</w:t>
            </w:r>
            <w:r>
              <w:rPr>
                <w:rFonts w:ascii="Times New Roman" w:hAnsi="Times New Roman" w:cs="Times New Roman" w:eastAsia="Times New Roman" w:hint="default"/>
                <w:sz w:val="18"/>
                <w:szCs w:val="18"/>
              </w:rPr>
              <w:t>  </w:t>
            </w:r>
            <w:r>
              <w:rPr>
                <w:rFonts w:ascii="宋体" w:hAnsi="宋体" w:cs="宋体" w:eastAsia="宋体" w:hint="default"/>
                <w:sz w:val="18"/>
                <w:szCs w:val="18"/>
              </w:rPr>
              <w:t>元（含进项税 </w:t>
            </w:r>
            <w:r>
              <w:rPr>
                <w:rFonts w:ascii="Times New Roman" w:hAnsi="Times New Roman" w:cs="Times New Roman" w:eastAsia="Times New Roman" w:hint="default"/>
                <w:sz w:val="18"/>
                <w:szCs w:val="18"/>
              </w:rPr>
              <w:t>577,387.85 </w:t>
            </w:r>
            <w:r>
              <w:rPr>
                <w:rFonts w:ascii="Times New Roman" w:hAnsi="Times New Roman" w:cs="Times New Roman" w:eastAsia="Times New Roman" w:hint="default"/>
                <w:spacing w:val="20"/>
                <w:sz w:val="18"/>
                <w:szCs w:val="18"/>
              </w:rPr>
              <w:t> </w:t>
            </w:r>
            <w:r>
              <w:rPr>
                <w:rFonts w:ascii="宋体" w:hAnsi="宋体" w:cs="宋体" w:eastAsia="宋体" w:hint="default"/>
                <w:spacing w:val="-8"/>
                <w:sz w:val="18"/>
                <w:szCs w:val="18"/>
              </w:rPr>
              <w:t>元），实际募集资金净额为</w:t>
            </w:r>
          </w:p>
          <w:p>
            <w:pPr>
              <w:pStyle w:val="TableParagraph"/>
              <w:spacing w:line="240" w:lineRule="auto" w:before="13"/>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313,786,320.70</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元。立信会计师事务所（特殊普通合伙）已于</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日对公司本次非公开发行股票的募集资金到</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位情况进行了审验，并出具了</w:t>
            </w:r>
            <w:r>
              <w:rPr>
                <w:rFonts w:ascii="Times New Roman" w:hAnsi="Times New Roman" w:cs="Times New Roman" w:eastAsia="Times New Roman" w:hint="default"/>
                <w:spacing w:val="-1"/>
                <w:w w:val="100"/>
                <w:sz w:val="18"/>
                <w:szCs w:val="18"/>
              </w:rPr>
              <w:t>“</w:t>
            </w:r>
            <w:r>
              <w:rPr>
                <w:rFonts w:ascii="宋体" w:hAnsi="宋体" w:cs="宋体" w:eastAsia="宋体" w:hint="default"/>
                <w:sz w:val="18"/>
                <w:szCs w:val="18"/>
              </w:rPr>
              <w:t>信会师报</w:t>
            </w:r>
            <w:r>
              <w:rPr>
                <w:rFonts w:ascii="宋体" w:hAnsi="宋体" w:cs="宋体" w:eastAsia="宋体" w:hint="default"/>
                <w:spacing w:val="1"/>
                <w:sz w:val="18"/>
                <w:szCs w:val="18"/>
              </w:rPr>
              <w:t>字</w:t>
            </w:r>
            <w:r>
              <w:rPr>
                <w:rFonts w:ascii="宋体" w:hAnsi="宋体" w:cs="宋体" w:eastAsia="宋体" w:hint="default"/>
                <w:sz w:val="18"/>
                <w:szCs w:val="18"/>
              </w:rPr>
              <w:t>【</w:t>
            </w:r>
            <w:r>
              <w:rPr>
                <w:rFonts w:ascii="Times New Roman" w:hAnsi="Times New Roman" w:cs="Times New Roman" w:eastAsia="Times New Roman" w:hint="default"/>
                <w:sz w:val="18"/>
                <w:szCs w:val="18"/>
              </w:rPr>
              <w:t>2016</w:t>
            </w:r>
            <w:r>
              <w:rPr>
                <w:rFonts w:ascii="宋体" w:hAnsi="宋体" w:cs="宋体" w:eastAsia="宋体" w:hint="default"/>
                <w:sz w:val="18"/>
                <w:szCs w:val="18"/>
              </w:rPr>
              <w:t>】第 </w:t>
            </w:r>
            <w:r>
              <w:rPr>
                <w:rFonts w:ascii="Times New Roman" w:hAnsi="Times New Roman" w:cs="Times New Roman" w:eastAsia="Times New Roman" w:hint="default"/>
                <w:sz w:val="18"/>
                <w:szCs w:val="18"/>
              </w:rPr>
              <w:t>712073  </w:t>
            </w:r>
            <w:r>
              <w:rPr>
                <w:rFonts w:ascii="宋体" w:hAnsi="宋体" w:cs="宋体" w:eastAsia="宋体" w:hint="default"/>
                <w:sz w:val="18"/>
                <w:szCs w:val="18"/>
              </w:rPr>
              <w:t>号</w:t>
            </w:r>
            <w:r>
              <w:rPr>
                <w:rFonts w:ascii="Times New Roman" w:hAnsi="Times New Roman" w:cs="Times New Roman" w:eastAsia="Times New Roman" w:hint="default"/>
                <w:w w:val="100"/>
                <w:sz w:val="18"/>
                <w:szCs w:val="18"/>
              </w:rPr>
              <w:t>”</w:t>
            </w:r>
            <w:r>
              <w:rPr>
                <w:rFonts w:ascii="宋体" w:hAnsi="宋体" w:cs="宋体" w:eastAsia="宋体" w:hint="default"/>
                <w:sz w:val="18"/>
                <w:szCs w:val="18"/>
              </w:rPr>
              <w:t>《验资报告</w:t>
            </w:r>
            <w:r>
              <w:rPr>
                <w:rFonts w:ascii="宋体" w:hAnsi="宋体" w:cs="宋体" w:eastAsia="宋体" w:hint="default"/>
                <w:spacing w:val="-90"/>
                <w:sz w:val="18"/>
                <w:szCs w:val="18"/>
              </w:rPr>
              <w:t>》</w:t>
            </w:r>
            <w:r>
              <w:rPr>
                <w:rFonts w:ascii="宋体" w:hAnsi="宋体" w:cs="宋体" w:eastAsia="宋体" w:hint="default"/>
                <w:sz w:val="18"/>
                <w:szCs w:val="18"/>
              </w:rPr>
              <w:t>。</w:t>
            </w:r>
          </w:p>
          <w:p>
            <w:pPr>
              <w:pStyle w:val="TableParagraph"/>
              <w:spacing w:line="240" w:lineRule="auto" w:before="103"/>
              <w:ind w:left="22" w:right="0"/>
              <w:jc w:val="left"/>
              <w:rPr>
                <w:rFonts w:ascii="宋体" w:hAnsi="宋体" w:cs="宋体" w:eastAsia="宋体" w:hint="default"/>
                <w:sz w:val="18"/>
                <w:szCs w:val="18"/>
              </w:rPr>
            </w:pPr>
            <w:r>
              <w:rPr>
                <w:rFonts w:ascii="宋体" w:hAnsi="宋体" w:cs="宋体" w:eastAsia="宋体" w:hint="default"/>
                <w:sz w:val="18"/>
                <w:szCs w:val="18"/>
              </w:rPr>
              <w:t>②募集资金的实际使用情况：</w:t>
            </w:r>
          </w:p>
          <w:p>
            <w:pPr>
              <w:pStyle w:val="TableParagraph"/>
              <w:spacing w:line="240" w:lineRule="auto" w:before="115"/>
              <w:ind w:left="22" w:right="0"/>
              <w:jc w:val="left"/>
              <w:rPr>
                <w:rFonts w:ascii="宋体" w:hAnsi="宋体" w:cs="宋体" w:eastAsia="宋体" w:hint="default"/>
                <w:sz w:val="18"/>
                <w:szCs w:val="18"/>
              </w:rPr>
            </w:pPr>
            <w:r>
              <w:rPr>
                <w:rFonts w:ascii="宋体" w:hAnsi="宋体" w:cs="宋体" w:eastAsia="宋体" w:hint="default"/>
                <w:sz w:val="18"/>
                <w:szCs w:val="18"/>
              </w:rPr>
              <w:t>公司募集资金总额为</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74,099.99</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万元，扣除发行费用后净额为</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68,376.69</w:t>
            </w:r>
            <w:r>
              <w:rPr>
                <w:rFonts w:ascii="宋体" w:hAnsi="宋体" w:cs="宋体" w:eastAsia="宋体" w:hint="default"/>
                <w:sz w:val="18"/>
                <w:szCs w:val="18"/>
              </w:rPr>
              <w:t>。报告期投入募集资金总额为</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2,496.48</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万元，已累</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计投入募集资金总额为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53,550.45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p>
          <w:p>
            <w:pPr>
              <w:pStyle w:val="TableParagraph"/>
              <w:spacing w:line="240" w:lineRule="auto" w:before="10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a.</w:t>
            </w:r>
            <w:r>
              <w:rPr>
                <w:rFonts w:ascii="宋体" w:hAnsi="宋体" w:cs="宋体" w:eastAsia="宋体" w:hint="default"/>
                <w:sz w:val="18"/>
                <w:szCs w:val="18"/>
              </w:rPr>
              <w:t>截至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日，募集资金投资项目资金使用情况：</w:t>
            </w:r>
          </w:p>
          <w:p>
            <w:pPr>
              <w:pStyle w:val="TableParagraph"/>
              <w:spacing w:line="240" w:lineRule="auto" w:before="103"/>
              <w:ind w:left="22" w:right="0"/>
              <w:jc w:val="left"/>
              <w:rPr>
                <w:rFonts w:ascii="宋体" w:hAnsi="宋体" w:cs="宋体" w:eastAsia="宋体" w:hint="default"/>
                <w:sz w:val="18"/>
                <w:szCs w:val="18"/>
              </w:rPr>
            </w:pPr>
            <w:r>
              <w:rPr>
                <w:rFonts w:ascii="宋体" w:hAnsi="宋体" w:cs="宋体" w:eastAsia="宋体" w:hint="default"/>
                <w:sz w:val="18"/>
                <w:szCs w:val="18"/>
              </w:rPr>
              <w:t>ⅰ</w:t>
            </w:r>
            <w:r>
              <w:rPr>
                <w:rFonts w:ascii="Times New Roman" w:hAnsi="Times New Roman" w:cs="Times New Roman" w:eastAsia="Times New Roman" w:hint="default"/>
                <w:sz w:val="18"/>
                <w:szCs w:val="18"/>
              </w:rPr>
              <w:t>.</w:t>
            </w:r>
            <w:r>
              <w:rPr>
                <w:rFonts w:ascii="宋体" w:hAnsi="宋体" w:cs="宋体" w:eastAsia="宋体" w:hint="default"/>
                <w:sz w:val="18"/>
                <w:szCs w:val="18"/>
              </w:rPr>
              <w:t>智能一卡通整体解决方案技术升级及产业化项目支出金额为</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10,540.60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万元；</w:t>
            </w:r>
          </w:p>
          <w:p>
            <w:pPr>
              <w:pStyle w:val="TableParagraph"/>
              <w:spacing w:line="240" w:lineRule="auto" w:before="102"/>
              <w:ind w:left="22" w:right="0"/>
              <w:jc w:val="left"/>
              <w:rPr>
                <w:rFonts w:ascii="宋体" w:hAnsi="宋体" w:cs="宋体" w:eastAsia="宋体" w:hint="default"/>
                <w:sz w:val="18"/>
                <w:szCs w:val="18"/>
              </w:rPr>
            </w:pPr>
            <w:r>
              <w:rPr>
                <w:rFonts w:ascii="宋体" w:hAnsi="宋体" w:cs="宋体" w:eastAsia="宋体" w:hint="default"/>
                <w:sz w:val="18"/>
                <w:szCs w:val="18"/>
              </w:rPr>
              <w:t>ⅱ</w:t>
            </w:r>
            <w:r>
              <w:rPr>
                <w:rFonts w:ascii="Times New Roman" w:hAnsi="Times New Roman" w:cs="Times New Roman" w:eastAsia="Times New Roman" w:hint="default"/>
                <w:sz w:val="18"/>
                <w:szCs w:val="18"/>
              </w:rPr>
              <w:t>.</w:t>
            </w:r>
            <w:r>
              <w:rPr>
                <w:rFonts w:ascii="宋体" w:hAnsi="宋体" w:cs="宋体" w:eastAsia="宋体" w:hint="default"/>
                <w:sz w:val="18"/>
                <w:szCs w:val="18"/>
              </w:rPr>
              <w:t>研发中心升级扩建项目支出金额为</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3,957.58</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万元；</w:t>
            </w:r>
          </w:p>
          <w:p>
            <w:pPr>
              <w:pStyle w:val="TableParagraph"/>
              <w:spacing w:line="338" w:lineRule="auto" w:before="103"/>
              <w:ind w:left="22" w:right="4881"/>
              <w:jc w:val="left"/>
              <w:rPr>
                <w:rFonts w:ascii="宋体" w:hAnsi="宋体" w:cs="宋体" w:eastAsia="宋体" w:hint="default"/>
                <w:sz w:val="18"/>
                <w:szCs w:val="18"/>
              </w:rPr>
            </w:pPr>
            <w:r>
              <w:rPr>
                <w:rFonts w:ascii="宋体" w:hAnsi="宋体" w:cs="宋体" w:eastAsia="宋体" w:hint="default"/>
                <w:sz w:val="18"/>
                <w:szCs w:val="18"/>
              </w:rPr>
              <w:t>ⅲ</w:t>
            </w:r>
            <w:r>
              <w:rPr>
                <w:rFonts w:ascii="Times New Roman" w:hAnsi="Times New Roman" w:cs="Times New Roman" w:eastAsia="Times New Roman" w:hint="default"/>
                <w:sz w:val="18"/>
                <w:szCs w:val="18"/>
              </w:rPr>
              <w:t>.</w:t>
            </w:r>
            <w:r>
              <w:rPr>
                <w:rFonts w:ascii="宋体" w:hAnsi="宋体" w:cs="宋体" w:eastAsia="宋体" w:hint="default"/>
                <w:sz w:val="18"/>
                <w:szCs w:val="18"/>
              </w:rPr>
              <w:t>营销与客服网络扩建项目支出金额为</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2,379.30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 ⅳ</w:t>
            </w:r>
            <w:r>
              <w:rPr>
                <w:rFonts w:ascii="Times New Roman" w:hAnsi="Times New Roman" w:cs="Times New Roman" w:eastAsia="Times New Roman" w:hint="default"/>
                <w:sz w:val="18"/>
                <w:szCs w:val="18"/>
              </w:rPr>
              <w:t>.</w:t>
            </w:r>
            <w:r>
              <w:rPr>
                <w:rFonts w:ascii="宋体" w:hAnsi="宋体" w:cs="宋体" w:eastAsia="宋体" w:hint="default"/>
                <w:sz w:val="18"/>
                <w:szCs w:val="18"/>
              </w:rPr>
              <w:t>收购迪科远望</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100%</w:t>
            </w:r>
            <w:r>
              <w:rPr>
                <w:rFonts w:ascii="宋体" w:hAnsi="宋体" w:cs="宋体" w:eastAsia="宋体" w:hint="default"/>
                <w:sz w:val="18"/>
                <w:szCs w:val="18"/>
              </w:rPr>
              <w:t>股权项目支出金额为</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7,095.40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 ⅴ</w:t>
            </w:r>
            <w:r>
              <w:rPr>
                <w:rFonts w:ascii="Times New Roman" w:hAnsi="Times New Roman" w:cs="Times New Roman" w:eastAsia="Times New Roman" w:hint="default"/>
                <w:sz w:val="18"/>
                <w:szCs w:val="18"/>
              </w:rPr>
              <w:t>.</w:t>
            </w:r>
            <w:r>
              <w:rPr>
                <w:rFonts w:ascii="宋体" w:hAnsi="宋体" w:cs="宋体" w:eastAsia="宋体" w:hint="default"/>
                <w:sz w:val="18"/>
                <w:szCs w:val="18"/>
              </w:rPr>
              <w:t>高校移动互联服务平台项目支出金额为</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2,934.89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p>
        </w:tc>
      </w:tr>
    </w:tbl>
    <w:p>
      <w:pPr>
        <w:spacing w:after="0" w:line="338" w:lineRule="auto"/>
        <w:jc w:val="left"/>
        <w:rPr>
          <w:rFonts w:ascii="宋体" w:hAnsi="宋体" w:cs="宋体" w:eastAsia="宋体" w:hint="default"/>
          <w:sz w:val="18"/>
          <w:szCs w:val="18"/>
        </w:rPr>
        <w:sectPr>
          <w:pgSz w:w="11910" w:h="16840"/>
          <w:pgMar w:header="877" w:footer="979" w:top="1100" w:bottom="1160" w:left="980" w:right="0"/>
        </w:sectPr>
      </w:pPr>
    </w:p>
    <w:p>
      <w:pPr>
        <w:spacing w:line="240" w:lineRule="auto" w:before="10"/>
        <w:rPr>
          <w:rFonts w:ascii="Times New Roman" w:hAnsi="Times New Roman" w:cs="Times New Roman" w:eastAsia="Times New Roman" w:hint="default"/>
          <w:sz w:val="25"/>
          <w:szCs w:val="25"/>
        </w:rPr>
      </w:pPr>
      <w:r>
        <w:rPr/>
        <w:pict>
          <v:group style="position:absolute;margin-left:56.459999pt;margin-top:71.759964pt;width:478.7pt;height:694.35pt;mso-position-horizontal-relative:page;mso-position-vertical-relative:page;z-index:-1222936" coordorigin="1129,1435" coordsize="9574,13887">
            <v:group style="position:absolute;left:1139;top:1445;width:9555;height:2" coordorigin="1139,1445" coordsize="9555,2">
              <v:shape style="position:absolute;left:1139;top:1445;width:9555;height:2" coordorigin="1139,1445" coordsize="9555,0" path="m1139,1445l10693,1445e" filled="false" stroked="true" strokeweight=".48pt" strokecolor="#000000">
                <v:path arrowok="t"/>
              </v:shape>
            </v:group>
            <v:group style="position:absolute;left:1134;top:1440;width:2;height:13877" coordorigin="1134,1440" coordsize="2,13877">
              <v:shape style="position:absolute;left:1134;top:1440;width:2;height:13877" coordorigin="1134,1440" coordsize="0,13877" path="m1134,1440l1134,15317e" filled="false" stroked="true" strokeweight=".48pt" strokecolor="#000000">
                <v:path arrowok="t"/>
              </v:shape>
            </v:group>
            <v:group style="position:absolute;left:1139;top:15312;width:9555;height:2" coordorigin="1139,15312" coordsize="9555,2">
              <v:shape style="position:absolute;left:1139;top:15312;width:9555;height:2" coordorigin="1139,15312" coordsize="9555,0" path="m1139,15312l10693,15312e" filled="false" stroked="true" strokeweight=".47998pt" strokecolor="#000000">
                <v:path arrowok="t"/>
              </v:shape>
            </v:group>
            <v:group style="position:absolute;left:10698;top:1440;width:2;height:13877" coordorigin="10698,1440" coordsize="2,13877">
              <v:shape style="position:absolute;left:10698;top:1440;width:2;height:13877" coordorigin="10698,1440" coordsize="0,13877" path="m10698,1440l10698,15317e" filled="false" stroked="true" strokeweight=".48004pt" strokecolor="#000000">
                <v:path arrowok="t"/>
              </v:shape>
            </v:group>
            <w10:wrap type="none"/>
          </v:group>
        </w:pict>
      </w:r>
    </w:p>
    <w:p>
      <w:pPr>
        <w:spacing w:before="44"/>
        <w:ind w:left="181" w:right="1117" w:firstLine="0"/>
        <w:jc w:val="left"/>
        <w:rPr>
          <w:rFonts w:ascii="宋体" w:hAnsi="宋体" w:cs="宋体" w:eastAsia="宋体" w:hint="default"/>
          <w:sz w:val="18"/>
          <w:szCs w:val="18"/>
        </w:rPr>
      </w:pPr>
      <w:r>
        <w:rPr>
          <w:rFonts w:ascii="宋体" w:hAnsi="宋体" w:cs="宋体" w:eastAsia="宋体" w:hint="default"/>
          <w:sz w:val="18"/>
          <w:szCs w:val="18"/>
        </w:rPr>
        <w:t>ⅵ</w:t>
      </w:r>
      <w:r>
        <w:rPr>
          <w:rFonts w:ascii="Times New Roman" w:hAnsi="Times New Roman" w:cs="Times New Roman" w:eastAsia="Times New Roman" w:hint="default"/>
          <w:sz w:val="18"/>
          <w:szCs w:val="18"/>
        </w:rPr>
        <w:t>.</w:t>
      </w:r>
      <w:r>
        <w:rPr>
          <w:rFonts w:ascii="宋体" w:hAnsi="宋体" w:cs="宋体" w:eastAsia="宋体" w:hint="default"/>
          <w:sz w:val="18"/>
          <w:szCs w:val="18"/>
        </w:rPr>
        <w:t>职业教育产业基地建设项目支出金额为</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2,798.24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p>
    <w:p>
      <w:pPr>
        <w:spacing w:line="319" w:lineRule="auto" w:before="103"/>
        <w:ind w:left="181" w:right="1246" w:firstLine="0"/>
        <w:jc w:val="left"/>
        <w:rPr>
          <w:rFonts w:ascii="宋体" w:hAnsi="宋体" w:cs="宋体" w:eastAsia="宋体" w:hint="default"/>
          <w:sz w:val="18"/>
          <w:szCs w:val="18"/>
        </w:rPr>
      </w:pPr>
      <w:r>
        <w:rPr>
          <w:rFonts w:ascii="宋体" w:hAnsi="宋体" w:cs="宋体" w:eastAsia="宋体" w:hint="default"/>
          <w:sz w:val="18"/>
          <w:szCs w:val="18"/>
        </w:rPr>
        <w:t>ⅶ</w:t>
      </w:r>
      <w:r>
        <w:rPr>
          <w:rFonts w:ascii="Times New Roman" w:hAnsi="Times New Roman" w:cs="Times New Roman" w:eastAsia="Times New Roman" w:hint="default"/>
          <w:sz w:val="18"/>
          <w:szCs w:val="18"/>
        </w:rPr>
        <w:t>.</w:t>
      </w:r>
      <w:r>
        <w:rPr>
          <w:rFonts w:ascii="宋体" w:hAnsi="宋体" w:cs="宋体" w:eastAsia="宋体" w:hint="default"/>
          <w:sz w:val="18"/>
          <w:szCs w:val="18"/>
        </w:rPr>
        <w:t>补充流动资金支出金额为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9,000.00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 鉴于公司</w:t>
      </w:r>
      <w:r>
        <w:rPr>
          <w:rFonts w:ascii="Times New Roman" w:hAnsi="Times New Roman" w:cs="Times New Roman" w:eastAsia="Times New Roman" w:hint="default"/>
          <w:sz w:val="18"/>
          <w:szCs w:val="18"/>
        </w:rPr>
        <w:t>“</w:t>
      </w:r>
      <w:r>
        <w:rPr>
          <w:rFonts w:ascii="宋体" w:hAnsi="宋体" w:cs="宋体" w:eastAsia="宋体" w:hint="default"/>
          <w:sz w:val="18"/>
          <w:szCs w:val="18"/>
        </w:rPr>
        <w:t>智能一卡通整体解决方案技术升级及产业化项目</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研发中心升级扩建项目</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营销与客服网络扩建项目</w:t>
      </w:r>
      <w:r>
        <w:rPr>
          <w:rFonts w:ascii="Times New Roman" w:hAnsi="Times New Roman" w:cs="Times New Roman" w:eastAsia="Times New Roman" w:hint="default"/>
          <w:sz w:val="18"/>
          <w:szCs w:val="18"/>
        </w:rPr>
        <w:t>”</w:t>
      </w:r>
      <w:r>
        <w:rPr>
          <w:rFonts w:ascii="宋体" w:hAnsi="宋体" w:cs="宋体" w:eastAsia="宋体" w:hint="default"/>
          <w:sz w:val="18"/>
          <w:szCs w:val="18"/>
        </w:rPr>
        <w:t>三个 募集资金投资项目建设已达到预期目的，经公司</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年年度股东大会审议通过，公司对上述三个募集资金投资项目进行</w:t>
      </w:r>
    </w:p>
    <w:p>
      <w:pPr>
        <w:spacing w:line="247" w:lineRule="exact" w:before="0"/>
        <w:ind w:left="181" w:right="1117" w:firstLine="0"/>
        <w:jc w:val="left"/>
        <w:rPr>
          <w:rFonts w:ascii="宋体" w:hAnsi="宋体" w:cs="宋体" w:eastAsia="宋体" w:hint="default"/>
          <w:sz w:val="18"/>
          <w:szCs w:val="18"/>
        </w:rPr>
      </w:pPr>
      <w:r>
        <w:rPr>
          <w:rFonts w:ascii="宋体" w:hAnsi="宋体" w:cs="宋体" w:eastAsia="宋体" w:hint="default"/>
          <w:sz w:val="18"/>
          <w:szCs w:val="18"/>
        </w:rPr>
        <w:t>结项，并将账户剩余的募集资金共计约</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926.24</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万元（含节余资金</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117.74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万元、应付未付金额</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808.50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万元）永久性补充流</w:t>
      </w:r>
    </w:p>
    <w:p>
      <w:pPr>
        <w:spacing w:before="63"/>
        <w:ind w:left="181" w:right="0" w:firstLine="0"/>
        <w:jc w:val="left"/>
        <w:rPr>
          <w:rFonts w:ascii="宋体" w:hAnsi="宋体" w:cs="宋体" w:eastAsia="宋体" w:hint="default"/>
          <w:sz w:val="18"/>
          <w:szCs w:val="18"/>
        </w:rPr>
      </w:pPr>
      <w:r>
        <w:rPr>
          <w:rFonts w:ascii="宋体" w:hAnsi="宋体" w:cs="宋体" w:eastAsia="宋体" w:hint="default"/>
          <w:sz w:val="18"/>
          <w:szCs w:val="18"/>
        </w:rPr>
        <w:t>动资金，募集资金专户已经注销，故募集资金投资项目应付未付金额由公司自有资金进行支付，截至</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年</w:t>
      </w:r>
      <w:r>
        <w:rPr>
          <w:rFonts w:ascii="宋体" w:hAnsi="宋体" w:cs="宋体" w:eastAsia="宋体" w:hint="default"/>
          <w:spacing w:val="-58"/>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月</w:t>
      </w:r>
      <w:r>
        <w:rPr>
          <w:rFonts w:ascii="宋体" w:hAnsi="宋体" w:cs="宋体" w:eastAsia="宋体" w:hint="default"/>
          <w:spacing w:val="-58"/>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日，</w:t>
      </w:r>
    </w:p>
    <w:p>
      <w:pPr>
        <w:spacing w:before="63"/>
        <w:ind w:left="181" w:right="1117" w:firstLine="0"/>
        <w:jc w:val="left"/>
        <w:rPr>
          <w:rFonts w:ascii="宋体" w:hAnsi="宋体" w:cs="宋体" w:eastAsia="宋体" w:hint="default"/>
          <w:sz w:val="18"/>
          <w:szCs w:val="18"/>
        </w:rPr>
      </w:pPr>
      <w:r>
        <w:rPr>
          <w:rFonts w:ascii="宋体" w:hAnsi="宋体" w:cs="宋体" w:eastAsia="宋体" w:hint="default"/>
          <w:sz w:val="18"/>
          <w:szCs w:val="18"/>
        </w:rPr>
        <w:t>公司募集资金投资项目应付未付金额</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39.48  </w:t>
      </w:r>
      <w:r>
        <w:rPr>
          <w:rFonts w:ascii="宋体" w:hAnsi="宋体" w:cs="宋体" w:eastAsia="宋体" w:hint="default"/>
          <w:sz w:val="18"/>
          <w:szCs w:val="18"/>
        </w:rPr>
        <w:t>万元。公司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年非公开发行股票募集资金于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月到位，本次非公</w:t>
      </w:r>
    </w:p>
    <w:p>
      <w:pPr>
        <w:spacing w:line="309" w:lineRule="auto" w:before="63"/>
        <w:ind w:left="181" w:right="1234" w:firstLine="0"/>
        <w:jc w:val="both"/>
        <w:rPr>
          <w:rFonts w:ascii="宋体" w:hAnsi="宋体" w:cs="宋体" w:eastAsia="宋体" w:hint="default"/>
          <w:sz w:val="18"/>
          <w:szCs w:val="18"/>
        </w:rPr>
      </w:pPr>
      <w:r>
        <w:rPr>
          <w:rFonts w:ascii="宋体" w:hAnsi="宋体" w:cs="宋体" w:eastAsia="宋体" w:hint="default"/>
          <w:sz w:val="18"/>
          <w:szCs w:val="18"/>
        </w:rPr>
        <w:t>开发行股票的募集资金总额为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32,500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万元，扣除承销费用及其他发行费用后，实际募集资金净额为</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31,378.63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万元，实际 </w:t>
      </w:r>
      <w:r>
        <w:rPr>
          <w:rFonts w:ascii="宋体" w:hAnsi="宋体" w:cs="宋体" w:eastAsia="宋体" w:hint="default"/>
          <w:spacing w:val="-1"/>
          <w:sz w:val="18"/>
          <w:szCs w:val="18"/>
        </w:rPr>
        <w:t>募集资金净额少于拟投入的募集资金总额。公司根据本次非公开发行股票的发行结果及实际募集资金净额，并经过第三届</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pacing w:val="-1"/>
          <w:sz w:val="18"/>
          <w:szCs w:val="18"/>
        </w:rPr>
        <w:t>董事会第三十四次会议、第三届监事会第二十三次会议审议通过，公司调整了募集资金投资项目的具体投资金额，募集资</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金不足部分通过公司自筹资金解决。</w:t>
      </w:r>
      <w:r>
        <w:rPr>
          <w:rFonts w:ascii="Times New Roman" w:hAnsi="Times New Roman" w:cs="Times New Roman" w:eastAsia="Times New Roman" w:hint="default"/>
          <w:sz w:val="18"/>
          <w:szCs w:val="18"/>
        </w:rPr>
        <w:t>“</w:t>
      </w:r>
      <w:r>
        <w:rPr>
          <w:rFonts w:ascii="宋体" w:hAnsi="宋体" w:cs="宋体" w:eastAsia="宋体" w:hint="default"/>
          <w:sz w:val="18"/>
          <w:szCs w:val="18"/>
        </w:rPr>
        <w:t>高校移动互联服务平台项目</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职业教育产业基地建设项目</w:t>
      </w:r>
      <w:r>
        <w:rPr>
          <w:rFonts w:ascii="Times New Roman" w:hAnsi="Times New Roman" w:cs="Times New Roman" w:eastAsia="Times New Roman" w:hint="default"/>
          <w:sz w:val="18"/>
          <w:szCs w:val="18"/>
        </w:rPr>
        <w:t>”</w:t>
      </w:r>
      <w:r>
        <w:rPr>
          <w:rFonts w:ascii="宋体" w:hAnsi="宋体" w:cs="宋体" w:eastAsia="宋体" w:hint="default"/>
          <w:sz w:val="18"/>
          <w:szCs w:val="18"/>
        </w:rPr>
        <w:t>于募集资金到位后开始 建设。</w:t>
      </w:r>
    </w:p>
    <w:p>
      <w:pPr>
        <w:spacing w:before="64"/>
        <w:ind w:left="181"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b.</w:t>
      </w:r>
      <w:r>
        <w:rPr>
          <w:rFonts w:ascii="宋体" w:hAnsi="宋体" w:cs="宋体" w:eastAsia="宋体" w:hint="default"/>
          <w:sz w:val="18"/>
          <w:szCs w:val="18"/>
        </w:rPr>
        <w:t>截至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日，超募资金使用情况：</w:t>
      </w:r>
    </w:p>
    <w:p>
      <w:pPr>
        <w:spacing w:before="102"/>
        <w:ind w:left="181" w:right="1117" w:firstLine="0"/>
        <w:jc w:val="left"/>
        <w:rPr>
          <w:rFonts w:ascii="宋体" w:hAnsi="宋体" w:cs="宋体" w:eastAsia="宋体" w:hint="default"/>
          <w:sz w:val="18"/>
          <w:szCs w:val="18"/>
        </w:rPr>
      </w:pPr>
      <w:r>
        <w:rPr>
          <w:rFonts w:ascii="宋体" w:hAnsi="宋体" w:cs="宋体" w:eastAsia="宋体" w:hint="default"/>
          <w:sz w:val="18"/>
          <w:szCs w:val="18"/>
        </w:rPr>
        <w:t>ⅰ</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日，公司第二届董事会第三次会议及第二届监事会第二次会议审议通过了《关于使用部分超募资金提前</w:t>
      </w:r>
    </w:p>
    <w:p>
      <w:pPr>
        <w:spacing w:line="312" w:lineRule="auto" w:before="63"/>
        <w:ind w:left="181" w:right="1117" w:firstLine="0"/>
        <w:jc w:val="left"/>
        <w:rPr>
          <w:rFonts w:ascii="宋体" w:hAnsi="宋体" w:cs="宋体" w:eastAsia="宋体" w:hint="default"/>
          <w:sz w:val="18"/>
          <w:szCs w:val="18"/>
        </w:rPr>
      </w:pPr>
      <w:r>
        <w:rPr>
          <w:rFonts w:ascii="宋体" w:hAnsi="宋体" w:cs="宋体" w:eastAsia="宋体" w:hint="default"/>
          <w:spacing w:val="-6"/>
          <w:sz w:val="18"/>
          <w:szCs w:val="18"/>
        </w:rPr>
        <w:t>偿还银行贷款暨超募资金使用计划的议案》，决定使用</w:t>
      </w:r>
      <w:r>
        <w:rPr>
          <w:rFonts w:ascii="宋体" w:hAnsi="宋体" w:cs="宋体" w:eastAsia="宋体" w:hint="default"/>
          <w:spacing w:val="-38"/>
          <w:sz w:val="18"/>
          <w:szCs w:val="18"/>
        </w:rPr>
        <w:t> </w:t>
      </w:r>
      <w:r>
        <w:rPr>
          <w:rFonts w:ascii="Times New Roman" w:hAnsi="Times New Roman" w:cs="Times New Roman" w:eastAsia="Times New Roman" w:hint="default"/>
          <w:spacing w:val="-1"/>
          <w:sz w:val="18"/>
          <w:szCs w:val="18"/>
        </w:rPr>
        <w:t>2,500</w:t>
      </w:r>
      <w:r>
        <w:rPr>
          <w:rFonts w:ascii="Times New Roman" w:hAnsi="Times New Roman" w:cs="Times New Roman" w:eastAsia="Times New Roman" w:hint="default"/>
          <w:spacing w:val="6"/>
          <w:sz w:val="18"/>
          <w:szCs w:val="18"/>
        </w:rPr>
        <w:t> </w:t>
      </w:r>
      <w:r>
        <w:rPr>
          <w:rFonts w:ascii="宋体" w:hAnsi="宋体" w:cs="宋体" w:eastAsia="宋体" w:hint="default"/>
          <w:spacing w:val="-2"/>
          <w:sz w:val="18"/>
          <w:szCs w:val="18"/>
        </w:rPr>
        <w:t>万元超募资金偿还银行贷款；剩余超募资金公司将根据自身发</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z w:val="18"/>
          <w:szCs w:val="18"/>
        </w:rPr>
        <w:t>展规划及实际生产经营需求，按照中国证券监督管理委员会和深圳证券交易所的有关规定，围绕主营业务合理规划资金用</w:t>
      </w:r>
      <w:r>
        <w:rPr>
          <w:rFonts w:ascii="宋体" w:hAnsi="宋体" w:cs="宋体" w:eastAsia="宋体" w:hint="default"/>
          <w:sz w:val="18"/>
          <w:szCs w:val="18"/>
        </w:rPr>
        <w:t> </w:t>
      </w:r>
      <w:r>
        <w:rPr>
          <w:rFonts w:ascii="宋体" w:hAnsi="宋体" w:cs="宋体" w:eastAsia="宋体" w:hint="default"/>
          <w:spacing w:val="-3"/>
          <w:sz w:val="18"/>
          <w:szCs w:val="18"/>
        </w:rPr>
        <w:t>途，谨慎、认真地制订使用计划；公司在实际使用超募资金前，将履行相应的董事会、股东大会等审议程序，并及时披露。</w:t>
      </w:r>
      <w:r>
        <w:rPr>
          <w:rFonts w:ascii="宋体" w:hAnsi="宋体" w:cs="宋体" w:eastAsia="宋体" w:hint="default"/>
          <w:spacing w:val="-54"/>
          <w:sz w:val="18"/>
          <w:szCs w:val="18"/>
        </w:rPr>
        <w:t> </w:t>
      </w:r>
      <w:r>
        <w:rPr>
          <w:rFonts w:ascii="宋体" w:hAnsi="宋体" w:cs="宋体" w:eastAsia="宋体" w:hint="default"/>
          <w:spacing w:val="-54"/>
          <w:sz w:val="18"/>
          <w:szCs w:val="18"/>
        </w:rPr>
      </w:r>
      <w:r>
        <w:rPr>
          <w:rFonts w:ascii="宋体" w:hAnsi="宋体" w:cs="宋体" w:eastAsia="宋体" w:hint="default"/>
          <w:sz w:val="18"/>
          <w:szCs w:val="18"/>
        </w:rPr>
        <w:t>前述</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2,500 </w:t>
      </w:r>
      <w:r>
        <w:rPr>
          <w:rFonts w:ascii="宋体" w:hAnsi="宋体" w:cs="宋体" w:eastAsia="宋体" w:hint="default"/>
          <w:sz w:val="18"/>
          <w:szCs w:val="18"/>
        </w:rPr>
        <w:t>万元银行贷款已全部偿还完毕；</w:t>
      </w:r>
    </w:p>
    <w:p>
      <w:pPr>
        <w:spacing w:before="41"/>
        <w:ind w:left="181" w:right="1117" w:firstLine="0"/>
        <w:jc w:val="left"/>
        <w:rPr>
          <w:rFonts w:ascii="宋体" w:hAnsi="宋体" w:cs="宋体" w:eastAsia="宋体" w:hint="default"/>
          <w:sz w:val="18"/>
          <w:szCs w:val="18"/>
        </w:rPr>
      </w:pPr>
      <w:r>
        <w:rPr>
          <w:rFonts w:ascii="宋体" w:hAnsi="宋体" w:cs="宋体" w:eastAsia="宋体" w:hint="default"/>
          <w:sz w:val="18"/>
          <w:szCs w:val="18"/>
        </w:rPr>
        <w:t>ⅱ</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日，公司第二届董事会第三次会议及第二届监事会第二次会议审议通过了《关于使用闲置募集资金暂时</w:t>
      </w:r>
    </w:p>
    <w:p>
      <w:pPr>
        <w:spacing w:before="63"/>
        <w:ind w:left="181" w:right="1117" w:firstLine="0"/>
        <w:jc w:val="left"/>
        <w:rPr>
          <w:rFonts w:ascii="宋体" w:hAnsi="宋体" w:cs="宋体" w:eastAsia="宋体" w:hint="default"/>
          <w:sz w:val="18"/>
          <w:szCs w:val="18"/>
        </w:rPr>
      </w:pPr>
      <w:r>
        <w:rPr>
          <w:rFonts w:ascii="宋体" w:hAnsi="宋体" w:cs="宋体" w:eastAsia="宋体" w:hint="default"/>
          <w:sz w:val="18"/>
          <w:szCs w:val="18"/>
        </w:rPr>
        <w:t>补充流动资金的议案</w:t>
      </w:r>
      <w:r>
        <w:rPr>
          <w:rFonts w:ascii="宋体" w:hAnsi="宋体" w:cs="宋体" w:eastAsia="宋体" w:hint="default"/>
          <w:spacing w:val="-90"/>
          <w:sz w:val="18"/>
          <w:szCs w:val="18"/>
        </w:rPr>
        <w:t>》</w:t>
      </w:r>
      <w:r>
        <w:rPr>
          <w:rFonts w:ascii="宋体" w:hAnsi="宋体" w:cs="宋体" w:eastAsia="宋体" w:hint="default"/>
          <w:spacing w:val="-39"/>
          <w:sz w:val="18"/>
          <w:szCs w:val="18"/>
        </w:rPr>
        <w:t>，</w:t>
      </w:r>
      <w:r>
        <w:rPr>
          <w:rFonts w:ascii="宋体" w:hAnsi="宋体" w:cs="宋体" w:eastAsia="宋体" w:hint="default"/>
          <w:sz w:val="18"/>
          <w:szCs w:val="18"/>
        </w:rPr>
        <w:t>同</w:t>
      </w:r>
      <w:r>
        <w:rPr>
          <w:rFonts w:ascii="宋体" w:hAnsi="宋体" w:cs="宋体" w:eastAsia="宋体" w:hint="default"/>
          <w:spacing w:val="-2"/>
          <w:sz w:val="18"/>
          <w:szCs w:val="18"/>
        </w:rPr>
        <w:t>意</w:t>
      </w:r>
      <w:r>
        <w:rPr>
          <w:rFonts w:ascii="宋体" w:hAnsi="宋体" w:cs="宋体" w:eastAsia="宋体" w:hint="default"/>
          <w:sz w:val="18"/>
          <w:szCs w:val="18"/>
        </w:rPr>
        <w:t>公司使用部分闲置募集资金</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万元用于暂时性补充流动资金</w:t>
      </w:r>
      <w:r>
        <w:rPr>
          <w:rFonts w:ascii="宋体" w:hAnsi="宋体" w:cs="宋体" w:eastAsia="宋体" w:hint="default"/>
          <w:spacing w:val="-39"/>
          <w:sz w:val="18"/>
          <w:szCs w:val="18"/>
        </w:rPr>
        <w:t>，</w:t>
      </w:r>
      <w:r>
        <w:rPr>
          <w:rFonts w:ascii="宋体" w:hAnsi="宋体" w:cs="宋体" w:eastAsia="宋体" w:hint="default"/>
          <w:sz w:val="18"/>
          <w:szCs w:val="18"/>
        </w:rPr>
        <w:t>补充</w:t>
      </w:r>
      <w:r>
        <w:rPr>
          <w:rFonts w:ascii="宋体" w:hAnsi="宋体" w:cs="宋体" w:eastAsia="宋体" w:hint="default"/>
          <w:spacing w:val="-2"/>
          <w:sz w:val="18"/>
          <w:szCs w:val="18"/>
        </w:rPr>
        <w:t>流</w:t>
      </w:r>
      <w:r>
        <w:rPr>
          <w:rFonts w:ascii="宋体" w:hAnsi="宋体" w:cs="宋体" w:eastAsia="宋体" w:hint="default"/>
          <w:sz w:val="18"/>
          <w:szCs w:val="18"/>
        </w:rPr>
        <w:t>动资金使用期限</w:t>
      </w:r>
      <w:r>
        <w:rPr>
          <w:rFonts w:ascii="宋体" w:hAnsi="宋体" w:cs="宋体" w:eastAsia="宋体" w:hint="default"/>
          <w:spacing w:val="1"/>
          <w:sz w:val="18"/>
          <w:szCs w:val="18"/>
        </w:rPr>
        <w:t>自</w:t>
      </w:r>
      <w:r>
        <w:rPr>
          <w:rFonts w:ascii="宋体" w:hAnsi="宋体" w:cs="宋体" w:eastAsia="宋体" w:hint="default"/>
          <w:sz w:val="18"/>
          <w:szCs w:val="18"/>
        </w:rPr>
        <w:t>董</w:t>
      </w:r>
    </w:p>
    <w:p>
      <w:pPr>
        <w:spacing w:before="63"/>
        <w:ind w:left="181" w:right="1117" w:firstLine="0"/>
        <w:jc w:val="left"/>
        <w:rPr>
          <w:rFonts w:ascii="宋体" w:hAnsi="宋体" w:cs="宋体" w:eastAsia="宋体" w:hint="default"/>
          <w:sz w:val="18"/>
          <w:szCs w:val="18"/>
        </w:rPr>
      </w:pPr>
      <w:r>
        <w:rPr>
          <w:rFonts w:ascii="宋体" w:hAnsi="宋体" w:cs="宋体" w:eastAsia="宋体" w:hint="default"/>
          <w:sz w:val="18"/>
          <w:szCs w:val="18"/>
        </w:rPr>
        <w:t>事会批准之日起期限不超过</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个月，到期前，公司及时、足额将上述资金归还至募集资金专户。</w:t>
      </w: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月</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0"/>
          <w:sz w:val="18"/>
          <w:szCs w:val="18"/>
        </w:rPr>
        <w:t> </w:t>
      </w:r>
      <w:r>
        <w:rPr>
          <w:rFonts w:ascii="宋体" w:hAnsi="宋体" w:cs="宋体" w:eastAsia="宋体" w:hint="default"/>
          <w:spacing w:val="-3"/>
          <w:sz w:val="18"/>
          <w:szCs w:val="18"/>
        </w:rPr>
        <w:t>日，公司已</w:t>
      </w:r>
    </w:p>
    <w:p>
      <w:pPr>
        <w:spacing w:line="302" w:lineRule="auto" w:before="63"/>
        <w:ind w:left="181" w:right="1236" w:firstLine="0"/>
        <w:jc w:val="left"/>
        <w:rPr>
          <w:rFonts w:ascii="宋体" w:hAnsi="宋体" w:cs="宋体" w:eastAsia="宋体" w:hint="default"/>
          <w:sz w:val="18"/>
          <w:szCs w:val="18"/>
        </w:rPr>
      </w:pPr>
      <w:r>
        <w:rPr>
          <w:rFonts w:ascii="宋体" w:hAnsi="宋体" w:cs="宋体" w:eastAsia="宋体" w:hint="default"/>
          <w:sz w:val="18"/>
          <w:szCs w:val="18"/>
        </w:rPr>
        <w:t>将合计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万元一次性归还至公司募集资金专户，并于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日予以公告，同时将上述募集资金的归还情况通 知了保荐机构及保荐代表人；</w:t>
      </w:r>
    </w:p>
    <w:p>
      <w:pPr>
        <w:spacing w:before="68"/>
        <w:ind w:left="181" w:right="1117" w:firstLine="0"/>
        <w:jc w:val="left"/>
        <w:rPr>
          <w:rFonts w:ascii="宋体" w:hAnsi="宋体" w:cs="宋体" w:eastAsia="宋体" w:hint="default"/>
          <w:sz w:val="18"/>
          <w:szCs w:val="18"/>
        </w:rPr>
      </w:pPr>
      <w:r>
        <w:rPr>
          <w:rFonts w:ascii="宋体" w:hAnsi="宋体" w:cs="宋体" w:eastAsia="宋体" w:hint="default"/>
          <w:sz w:val="18"/>
          <w:szCs w:val="18"/>
        </w:rPr>
        <w:t>ⅲ</w:t>
      </w: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日，公司第二届董事会第六次会议及第二届监事会第四次会议审议通过了《关于继续使用部分闲置募集</w:t>
      </w:r>
    </w:p>
    <w:p>
      <w:pPr>
        <w:spacing w:before="63"/>
        <w:ind w:left="181" w:right="1117" w:firstLine="0"/>
        <w:jc w:val="left"/>
        <w:rPr>
          <w:rFonts w:ascii="宋体" w:hAnsi="宋体" w:cs="宋体" w:eastAsia="宋体" w:hint="default"/>
          <w:sz w:val="18"/>
          <w:szCs w:val="18"/>
        </w:rPr>
      </w:pPr>
      <w:r>
        <w:rPr>
          <w:rFonts w:ascii="宋体" w:hAnsi="宋体" w:cs="宋体" w:eastAsia="宋体" w:hint="default"/>
          <w:sz w:val="18"/>
          <w:szCs w:val="18"/>
        </w:rPr>
        <w:t>资金暂时补充流动资金的议案</w:t>
      </w:r>
      <w:r>
        <w:rPr>
          <w:rFonts w:ascii="宋体" w:hAnsi="宋体" w:cs="宋体" w:eastAsia="宋体" w:hint="default"/>
          <w:spacing w:val="-90"/>
          <w:sz w:val="18"/>
          <w:szCs w:val="18"/>
        </w:rPr>
        <w:t>》</w:t>
      </w:r>
      <w:r>
        <w:rPr>
          <w:rFonts w:ascii="宋体" w:hAnsi="宋体" w:cs="宋体" w:eastAsia="宋体" w:hint="default"/>
          <w:spacing w:val="-39"/>
          <w:sz w:val="18"/>
          <w:szCs w:val="18"/>
        </w:rPr>
        <w:t>，</w:t>
      </w:r>
      <w:r>
        <w:rPr>
          <w:rFonts w:ascii="宋体" w:hAnsi="宋体" w:cs="宋体" w:eastAsia="宋体" w:hint="default"/>
          <w:sz w:val="18"/>
          <w:szCs w:val="18"/>
        </w:rPr>
        <w:t>同意公</w:t>
      </w:r>
      <w:r>
        <w:rPr>
          <w:rFonts w:ascii="宋体" w:hAnsi="宋体" w:cs="宋体" w:eastAsia="宋体" w:hint="default"/>
          <w:spacing w:val="-2"/>
          <w:sz w:val="18"/>
          <w:szCs w:val="18"/>
        </w:rPr>
        <w:t>司</w:t>
      </w:r>
      <w:r>
        <w:rPr>
          <w:rFonts w:ascii="宋体" w:hAnsi="宋体" w:cs="宋体" w:eastAsia="宋体" w:hint="default"/>
          <w:sz w:val="18"/>
          <w:szCs w:val="18"/>
        </w:rPr>
        <w:t>继续使用部分闲置募集资金</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万元暂时补充流动资金计划</w:t>
      </w:r>
      <w:r>
        <w:rPr>
          <w:rFonts w:ascii="宋体" w:hAnsi="宋体" w:cs="宋体" w:eastAsia="宋体" w:hint="default"/>
          <w:spacing w:val="-39"/>
          <w:sz w:val="18"/>
          <w:szCs w:val="18"/>
        </w:rPr>
        <w:t>，</w:t>
      </w:r>
      <w:r>
        <w:rPr>
          <w:rFonts w:ascii="宋体" w:hAnsi="宋体" w:cs="宋体" w:eastAsia="宋体" w:hint="default"/>
          <w:sz w:val="18"/>
          <w:szCs w:val="18"/>
        </w:rPr>
        <w:t>使用计</w:t>
      </w:r>
      <w:r>
        <w:rPr>
          <w:rFonts w:ascii="宋体" w:hAnsi="宋体" w:cs="宋体" w:eastAsia="宋体" w:hint="default"/>
          <w:spacing w:val="-2"/>
          <w:sz w:val="18"/>
          <w:szCs w:val="18"/>
        </w:rPr>
        <w:t>划</w:t>
      </w:r>
      <w:r>
        <w:rPr>
          <w:rFonts w:ascii="宋体" w:hAnsi="宋体" w:cs="宋体" w:eastAsia="宋体" w:hint="default"/>
          <w:sz w:val="18"/>
          <w:szCs w:val="18"/>
        </w:rPr>
        <w:t>自</w:t>
      </w:r>
      <w:r>
        <w:rPr>
          <w:rFonts w:ascii="宋体" w:hAnsi="宋体" w:cs="宋体" w:eastAsia="宋体" w:hint="default"/>
          <w:spacing w:val="1"/>
          <w:sz w:val="18"/>
          <w:szCs w:val="18"/>
        </w:rPr>
        <w:t>公</w:t>
      </w:r>
      <w:r>
        <w:rPr>
          <w:rFonts w:ascii="宋体" w:hAnsi="宋体" w:cs="宋体" w:eastAsia="宋体" w:hint="default"/>
          <w:sz w:val="18"/>
          <w:szCs w:val="18"/>
        </w:rPr>
        <w:t>告</w:t>
      </w:r>
    </w:p>
    <w:p>
      <w:pPr>
        <w:spacing w:before="63"/>
        <w:ind w:left="181" w:right="1117" w:firstLine="0"/>
        <w:jc w:val="left"/>
        <w:rPr>
          <w:rFonts w:ascii="宋体" w:hAnsi="宋体" w:cs="宋体" w:eastAsia="宋体" w:hint="default"/>
          <w:sz w:val="18"/>
          <w:szCs w:val="18"/>
        </w:rPr>
      </w:pPr>
      <w:r>
        <w:rPr>
          <w:rFonts w:ascii="宋体" w:hAnsi="宋体" w:cs="宋体" w:eastAsia="宋体" w:hint="default"/>
          <w:sz w:val="18"/>
          <w:szCs w:val="18"/>
        </w:rPr>
        <w:t>之日起开始实施，使用期限不超过六个月。</w:t>
      </w: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日，公司将合计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万元人民币一次性归还至公司募集资金</w:t>
      </w:r>
    </w:p>
    <w:p>
      <w:pPr>
        <w:spacing w:before="64"/>
        <w:ind w:left="181" w:right="1117" w:firstLine="0"/>
        <w:jc w:val="left"/>
        <w:rPr>
          <w:rFonts w:ascii="宋体" w:hAnsi="宋体" w:cs="宋体" w:eastAsia="宋体" w:hint="default"/>
          <w:sz w:val="18"/>
          <w:szCs w:val="18"/>
        </w:rPr>
      </w:pPr>
      <w:r>
        <w:rPr>
          <w:rFonts w:ascii="宋体" w:hAnsi="宋体" w:cs="宋体" w:eastAsia="宋体" w:hint="default"/>
          <w:sz w:val="18"/>
          <w:szCs w:val="18"/>
        </w:rPr>
        <w:t>专户，并于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日予以公告，同时将上述募集资金的归还情况通知了保荐机构及保荐代表人；</w:t>
      </w:r>
    </w:p>
    <w:p>
      <w:pPr>
        <w:spacing w:before="102"/>
        <w:ind w:left="181" w:right="1117" w:firstLine="0"/>
        <w:jc w:val="left"/>
        <w:rPr>
          <w:rFonts w:ascii="宋体" w:hAnsi="宋体" w:cs="宋体" w:eastAsia="宋体" w:hint="default"/>
          <w:sz w:val="18"/>
          <w:szCs w:val="18"/>
        </w:rPr>
      </w:pPr>
      <w:r>
        <w:rPr>
          <w:rFonts w:ascii="宋体" w:hAnsi="宋体" w:cs="宋体" w:eastAsia="宋体" w:hint="default"/>
          <w:sz w:val="18"/>
          <w:szCs w:val="18"/>
        </w:rPr>
        <w:t>ⅳ</w:t>
      </w: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日，公司第二届董事会第十二次会议及第二届监事会第七次会议审议通过了《关于使用部分超募资金永</w:t>
      </w:r>
    </w:p>
    <w:p>
      <w:pPr>
        <w:spacing w:line="309" w:lineRule="auto" w:before="63"/>
        <w:ind w:left="181" w:right="1235" w:firstLine="0"/>
        <w:jc w:val="both"/>
        <w:rPr>
          <w:rFonts w:ascii="宋体" w:hAnsi="宋体" w:cs="宋体" w:eastAsia="宋体" w:hint="default"/>
          <w:sz w:val="18"/>
          <w:szCs w:val="18"/>
        </w:rPr>
      </w:pPr>
      <w:r>
        <w:rPr>
          <w:rFonts w:ascii="宋体" w:hAnsi="宋体" w:cs="宋体" w:eastAsia="宋体" w:hint="default"/>
          <w:spacing w:val="-6"/>
          <w:sz w:val="18"/>
          <w:szCs w:val="18"/>
        </w:rPr>
        <w:t>久补充流动资金的议案》，同意公司使用部分超募资金</w:t>
      </w:r>
      <w:r>
        <w:rPr>
          <w:rFonts w:ascii="宋体" w:hAnsi="宋体" w:cs="宋体" w:eastAsia="宋体" w:hint="default"/>
          <w:spacing w:val="-33"/>
          <w:sz w:val="18"/>
          <w:szCs w:val="18"/>
        </w:rPr>
        <w:t> </w:t>
      </w:r>
      <w:r>
        <w:rPr>
          <w:rFonts w:ascii="Times New Roman" w:hAnsi="Times New Roman" w:cs="Times New Roman" w:eastAsia="Times New Roman" w:hint="default"/>
          <w:sz w:val="18"/>
          <w:szCs w:val="18"/>
        </w:rPr>
        <w:t>2,500</w:t>
      </w:r>
      <w:r>
        <w:rPr>
          <w:rFonts w:ascii="Times New Roman" w:hAnsi="Times New Roman" w:cs="Times New Roman" w:eastAsia="Times New Roman" w:hint="default"/>
          <w:spacing w:val="10"/>
          <w:sz w:val="18"/>
          <w:szCs w:val="18"/>
        </w:rPr>
        <w:t> </w:t>
      </w:r>
      <w:r>
        <w:rPr>
          <w:rFonts w:ascii="宋体" w:hAnsi="宋体" w:cs="宋体" w:eastAsia="宋体" w:hint="default"/>
          <w:spacing w:val="-2"/>
          <w:sz w:val="18"/>
          <w:szCs w:val="18"/>
        </w:rPr>
        <w:t>万元用于永久补充流动资金，剩余超募资金公司将根据自身发</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1"/>
          <w:sz w:val="18"/>
          <w:szCs w:val="18"/>
        </w:rPr>
        <w:t>展规划及实际生产经营需求，按照中国证券监督管理委员会和深圳证券交易所的有关规定，围绕主营业务合理规划资金用</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途，谨慎、认真地制订使用计划。</w:t>
      </w:r>
    </w:p>
    <w:p>
      <w:pPr>
        <w:spacing w:before="62"/>
        <w:ind w:left="181" w:right="1117" w:firstLine="0"/>
        <w:jc w:val="left"/>
        <w:rPr>
          <w:rFonts w:ascii="宋体" w:hAnsi="宋体" w:cs="宋体" w:eastAsia="宋体" w:hint="default"/>
          <w:sz w:val="18"/>
          <w:szCs w:val="18"/>
        </w:rPr>
      </w:pPr>
      <w:r>
        <w:rPr>
          <w:rFonts w:ascii="宋体" w:hAnsi="宋体" w:cs="宋体" w:eastAsia="宋体" w:hint="default"/>
          <w:sz w:val="18"/>
          <w:szCs w:val="18"/>
        </w:rPr>
        <w:t>ⅴ</w:t>
      </w: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29</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日，公司第二届董事会第十七次会议及第二届监事会第十二次会议审议通过了《关于继续使用部分闲置</w:t>
      </w:r>
    </w:p>
    <w:p>
      <w:pPr>
        <w:spacing w:before="63"/>
        <w:ind w:left="181" w:right="1117" w:firstLine="0"/>
        <w:jc w:val="left"/>
        <w:rPr>
          <w:rFonts w:ascii="宋体" w:hAnsi="宋体" w:cs="宋体" w:eastAsia="宋体" w:hint="default"/>
          <w:sz w:val="18"/>
          <w:szCs w:val="18"/>
        </w:rPr>
      </w:pPr>
      <w:r>
        <w:rPr>
          <w:rFonts w:ascii="宋体" w:hAnsi="宋体" w:cs="宋体" w:eastAsia="宋体" w:hint="default"/>
          <w:sz w:val="18"/>
          <w:szCs w:val="18"/>
        </w:rPr>
        <w:t>募集资金暂时补充流动资金的议案</w:t>
      </w:r>
      <w:r>
        <w:rPr>
          <w:rFonts w:ascii="宋体" w:hAnsi="宋体" w:cs="宋体" w:eastAsia="宋体" w:hint="default"/>
          <w:spacing w:val="-90"/>
          <w:sz w:val="18"/>
          <w:szCs w:val="18"/>
        </w:rPr>
        <w:t>》</w:t>
      </w:r>
      <w:r>
        <w:rPr>
          <w:rFonts w:ascii="宋体" w:hAnsi="宋体" w:cs="宋体" w:eastAsia="宋体" w:hint="default"/>
          <w:spacing w:val="-39"/>
          <w:sz w:val="18"/>
          <w:szCs w:val="18"/>
        </w:rPr>
        <w:t>，</w:t>
      </w:r>
      <w:r>
        <w:rPr>
          <w:rFonts w:ascii="宋体" w:hAnsi="宋体" w:cs="宋体" w:eastAsia="宋体" w:hint="default"/>
          <w:sz w:val="18"/>
          <w:szCs w:val="18"/>
        </w:rPr>
        <w:t>同</w:t>
      </w:r>
      <w:r>
        <w:rPr>
          <w:rFonts w:ascii="宋体" w:hAnsi="宋体" w:cs="宋体" w:eastAsia="宋体" w:hint="default"/>
          <w:spacing w:val="-2"/>
          <w:sz w:val="18"/>
          <w:szCs w:val="18"/>
        </w:rPr>
        <w:t>意</w:t>
      </w:r>
      <w:r>
        <w:rPr>
          <w:rFonts w:ascii="宋体" w:hAnsi="宋体" w:cs="宋体" w:eastAsia="宋体" w:hint="default"/>
          <w:sz w:val="18"/>
          <w:szCs w:val="18"/>
        </w:rPr>
        <w:t>公司继续使用部分闲置募集资金</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万元暂时性补充流动资金</w:t>
      </w:r>
      <w:r>
        <w:rPr>
          <w:rFonts w:ascii="宋体" w:hAnsi="宋体" w:cs="宋体" w:eastAsia="宋体" w:hint="default"/>
          <w:spacing w:val="-39"/>
          <w:sz w:val="18"/>
          <w:szCs w:val="18"/>
        </w:rPr>
        <w:t>，</w:t>
      </w:r>
      <w:r>
        <w:rPr>
          <w:rFonts w:ascii="宋体" w:hAnsi="宋体" w:cs="宋体" w:eastAsia="宋体" w:hint="default"/>
          <w:sz w:val="18"/>
          <w:szCs w:val="18"/>
        </w:rPr>
        <w:t>使用</w:t>
      </w:r>
      <w:r>
        <w:rPr>
          <w:rFonts w:ascii="宋体" w:hAnsi="宋体" w:cs="宋体" w:eastAsia="宋体" w:hint="default"/>
          <w:spacing w:val="-2"/>
          <w:sz w:val="18"/>
          <w:szCs w:val="18"/>
        </w:rPr>
        <w:t>期</w:t>
      </w:r>
      <w:r>
        <w:rPr>
          <w:rFonts w:ascii="宋体" w:hAnsi="宋体" w:cs="宋体" w:eastAsia="宋体" w:hint="default"/>
          <w:sz w:val="18"/>
          <w:szCs w:val="18"/>
        </w:rPr>
        <w:t>限</w:t>
      </w:r>
      <w:r>
        <w:rPr>
          <w:rFonts w:ascii="宋体" w:hAnsi="宋体" w:cs="宋体" w:eastAsia="宋体" w:hint="default"/>
          <w:spacing w:val="1"/>
          <w:sz w:val="18"/>
          <w:szCs w:val="18"/>
        </w:rPr>
        <w:t>为</w:t>
      </w:r>
      <w:r>
        <w:rPr>
          <w:rFonts w:ascii="宋体" w:hAnsi="宋体" w:cs="宋体" w:eastAsia="宋体" w:hint="default"/>
          <w:sz w:val="18"/>
          <w:szCs w:val="18"/>
        </w:rPr>
        <w:t>自</w:t>
      </w:r>
    </w:p>
    <w:p>
      <w:pPr>
        <w:spacing w:before="63"/>
        <w:ind w:left="181" w:right="1117" w:firstLine="0"/>
        <w:jc w:val="left"/>
        <w:rPr>
          <w:rFonts w:ascii="宋体" w:hAnsi="宋体" w:cs="宋体" w:eastAsia="宋体" w:hint="default"/>
          <w:sz w:val="18"/>
          <w:szCs w:val="18"/>
        </w:rPr>
      </w:pPr>
      <w:r>
        <w:rPr>
          <w:rFonts w:ascii="宋体" w:hAnsi="宋体" w:cs="宋体" w:eastAsia="宋体" w:hint="default"/>
          <w:sz w:val="18"/>
          <w:szCs w:val="18"/>
        </w:rPr>
        <w:t>董事会批准之日起不超过</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 </w:t>
      </w:r>
      <w:r>
        <w:rPr>
          <w:rFonts w:ascii="宋体" w:hAnsi="宋体" w:cs="宋体" w:eastAsia="宋体" w:hint="default"/>
          <w:sz w:val="18"/>
          <w:szCs w:val="18"/>
        </w:rPr>
        <w:t>个月，到期将及时、足额将上述资金归还至募集资金专户。</w:t>
      </w: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日，公司将合计</w:t>
      </w:r>
    </w:p>
    <w:p>
      <w:pPr>
        <w:spacing w:line="319" w:lineRule="auto" w:before="64"/>
        <w:ind w:left="181" w:right="122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万元人民币一次性归还至公司募集资金专户，并将上述募集资金的归还情况通知了保荐机构及保荐代表人。 </w:t>
      </w:r>
      <w:r>
        <w:rPr>
          <w:rFonts w:ascii="宋体" w:hAnsi="宋体" w:cs="宋体" w:eastAsia="宋体" w:hint="default"/>
          <w:spacing w:val="-2"/>
          <w:sz w:val="18"/>
          <w:szCs w:val="18"/>
        </w:rPr>
        <w:t>ⅵ</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为满足公司业务发展的资金需求，合理分配资源，提高募集资金的使用效率，降低公司财务费用，同时在保证募集资金</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z w:val="18"/>
          <w:szCs w:val="18"/>
        </w:rPr>
        <w:t>投资项目的资金需求以及募集资金使用计划正常进行的前提下，</w:t>
      </w: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6"/>
          <w:sz w:val="18"/>
          <w:szCs w:val="18"/>
        </w:rPr>
        <w:t> </w:t>
      </w:r>
      <w:r>
        <w:rPr>
          <w:rFonts w:ascii="宋体" w:hAnsi="宋体" w:cs="宋体" w:eastAsia="宋体" w:hint="default"/>
          <w:spacing w:val="-3"/>
          <w:sz w:val="18"/>
          <w:szCs w:val="18"/>
        </w:rPr>
        <w:t>日，经公司第二届董事会第十九次会议及</w:t>
      </w:r>
    </w:p>
    <w:p>
      <w:pPr>
        <w:spacing w:line="246" w:lineRule="exact" w:before="0"/>
        <w:ind w:left="181" w:right="1117" w:firstLine="0"/>
        <w:jc w:val="left"/>
        <w:rPr>
          <w:rFonts w:ascii="宋体" w:hAnsi="宋体" w:cs="宋体" w:eastAsia="宋体" w:hint="default"/>
          <w:sz w:val="18"/>
          <w:szCs w:val="18"/>
        </w:rPr>
      </w:pPr>
      <w:r>
        <w:rPr>
          <w:rFonts w:ascii="宋体" w:hAnsi="宋体" w:cs="宋体" w:eastAsia="宋体" w:hint="default"/>
          <w:sz w:val="18"/>
          <w:szCs w:val="18"/>
        </w:rPr>
        <w:t>第二届监事会第十四次会议通过，公司使用部分超募资金</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2,500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万元用于永久补充流动资金。该事项已经由公司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spacing w:line="302" w:lineRule="auto" w:before="63"/>
        <w:ind w:left="181" w:right="1117" w:firstLine="0"/>
        <w:jc w:val="left"/>
        <w:rPr>
          <w:rFonts w:ascii="宋体" w:hAnsi="宋体" w:cs="宋体" w:eastAsia="宋体" w:hint="default"/>
          <w:sz w:val="18"/>
          <w:szCs w:val="18"/>
        </w:rPr>
      </w:pPr>
      <w:r>
        <w:rPr>
          <w:rFonts w:ascii="Times New Roman" w:hAnsi="Times New Roman" w:cs="Times New Roman" w:eastAsia="Times New Roman" w:hint="default"/>
          <w:spacing w:val="-4"/>
          <w:sz w:val="18"/>
          <w:szCs w:val="18"/>
        </w:rPr>
        <w:t>11</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日召开的</w:t>
      </w:r>
      <w:r>
        <w:rPr>
          <w:rFonts w:ascii="宋体" w:hAnsi="宋体" w:cs="宋体" w:eastAsia="宋体" w:hint="default"/>
          <w:spacing w:val="-56"/>
          <w:sz w:val="18"/>
          <w:szCs w:val="18"/>
        </w:rPr>
        <w:t> </w:t>
      </w: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年第三次临时股东大会审议通过。剩余超募资金公司将根据自身发展规划及实际生产经营需求，按 </w:t>
      </w:r>
      <w:r>
        <w:rPr>
          <w:rFonts w:ascii="宋体" w:hAnsi="宋体" w:cs="宋体" w:eastAsia="宋体" w:hint="default"/>
          <w:spacing w:val="-3"/>
          <w:sz w:val="18"/>
          <w:szCs w:val="18"/>
        </w:rPr>
        <w:t>照中国证券监督管理委员会和深圳证券交易所的有关规定，围绕主营业务合理规划资金用途，谨慎、认真地制订使用计划；</w:t>
      </w:r>
    </w:p>
    <w:p>
      <w:pPr>
        <w:spacing w:line="302" w:lineRule="auto" w:before="69"/>
        <w:ind w:left="181" w:right="1289" w:firstLine="0"/>
        <w:jc w:val="left"/>
        <w:rPr>
          <w:rFonts w:ascii="宋体" w:hAnsi="宋体" w:cs="宋体" w:eastAsia="宋体" w:hint="default"/>
          <w:sz w:val="18"/>
          <w:szCs w:val="18"/>
        </w:rPr>
      </w:pPr>
      <w:r>
        <w:rPr>
          <w:rFonts w:ascii="宋体" w:hAnsi="宋体" w:cs="宋体" w:eastAsia="宋体" w:hint="default"/>
          <w:sz w:val="18"/>
          <w:szCs w:val="18"/>
        </w:rPr>
        <w:t>ⅶ</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日，经公司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年年度股东大会审议通过，公司使用部分超募资金</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2,000.00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万元用于永久补充流动资 金；</w:t>
      </w:r>
    </w:p>
    <w:p>
      <w:pPr>
        <w:spacing w:before="68"/>
        <w:ind w:left="181" w:right="1117" w:firstLine="0"/>
        <w:jc w:val="left"/>
        <w:rPr>
          <w:rFonts w:ascii="宋体" w:hAnsi="宋体" w:cs="宋体" w:eastAsia="宋体" w:hint="default"/>
          <w:sz w:val="18"/>
          <w:szCs w:val="18"/>
        </w:rPr>
      </w:pPr>
      <w:r>
        <w:rPr>
          <w:rFonts w:ascii="宋体" w:hAnsi="宋体" w:cs="宋体" w:eastAsia="宋体" w:hint="default"/>
          <w:sz w:val="18"/>
          <w:szCs w:val="18"/>
        </w:rPr>
        <w:t>ⅷ</w:t>
      </w:r>
      <w:r>
        <w:rPr>
          <w:rFonts w:ascii="Times New Roman" w:hAnsi="Times New Roman" w:cs="Times New Roman" w:eastAsia="Times New Roman" w:hint="default"/>
          <w:sz w:val="18"/>
          <w:szCs w:val="18"/>
        </w:rPr>
        <w:t>. 2015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日，公司</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年第二次临时股东大会审议通过《关于使用超募资金支付收购上海树维信息科技有限公</w:t>
      </w:r>
    </w:p>
    <w:p>
      <w:pPr>
        <w:spacing w:after="0"/>
        <w:jc w:val="left"/>
        <w:rPr>
          <w:rFonts w:ascii="宋体" w:hAnsi="宋体" w:cs="宋体" w:eastAsia="宋体" w:hint="default"/>
          <w:sz w:val="18"/>
          <w:szCs w:val="18"/>
        </w:rPr>
        <w:sectPr>
          <w:pgSz w:w="11910" w:h="16840"/>
          <w:pgMar w:header="877" w:footer="979" w:top="1100" w:bottom="1160" w:left="980" w:right="0"/>
        </w:sectPr>
      </w:pPr>
    </w:p>
    <w:p>
      <w:pPr>
        <w:spacing w:line="240" w:lineRule="auto" w:before="11"/>
        <w:rPr>
          <w:rFonts w:ascii="宋体" w:hAnsi="宋体" w:cs="宋体" w:eastAsia="宋体" w:hint="default"/>
          <w:sz w:val="24"/>
          <w:szCs w:val="24"/>
        </w:rPr>
      </w:pPr>
    </w:p>
    <w:p>
      <w:pPr>
        <w:spacing w:line="2003" w:lineRule="exact"/>
        <w:ind w:left="154" w:right="0" w:firstLine="0"/>
        <w:rPr>
          <w:rFonts w:ascii="宋体" w:hAnsi="宋体" w:cs="宋体" w:eastAsia="宋体" w:hint="default"/>
          <w:sz w:val="20"/>
          <w:szCs w:val="20"/>
        </w:rPr>
      </w:pPr>
      <w:r>
        <w:rPr>
          <w:rFonts w:ascii="宋体" w:hAnsi="宋体" w:cs="宋体" w:eastAsia="宋体" w:hint="default"/>
          <w:position w:val="-39"/>
          <w:sz w:val="20"/>
          <w:szCs w:val="20"/>
        </w:rPr>
        <w:pict>
          <v:shape style="width:478.2pt;height:100.2pt;mso-position-horizontal-relative:char;mso-position-vertical-relative:line" type="#_x0000_t202" filled="false" stroked="true" strokeweight=".48004pt" strokecolor="#000000">
            <w10:anchorlock/>
            <v:textbox inset="0,0,0,0">
              <w:txbxContent>
                <w:p>
                  <w:pPr>
                    <w:spacing w:line="300" w:lineRule="auto" w:before="10"/>
                    <w:ind w:left="22" w:right="22" w:firstLine="0"/>
                    <w:jc w:val="both"/>
                    <w:rPr>
                      <w:rFonts w:ascii="宋体" w:hAnsi="宋体" w:cs="宋体" w:eastAsia="宋体" w:hint="default"/>
                      <w:sz w:val="18"/>
                      <w:szCs w:val="18"/>
                    </w:rPr>
                  </w:pPr>
                  <w:r>
                    <w:rPr>
                      <w:rFonts w:ascii="宋体" w:hAnsi="宋体" w:cs="宋体" w:eastAsia="宋体" w:hint="default"/>
                      <w:sz w:val="18"/>
                      <w:szCs w:val="18"/>
                    </w:rPr>
                    <w:t>司</w:t>
                  </w:r>
                  <w:r>
                    <w:rPr>
                      <w:rFonts w:ascii="宋体" w:hAnsi="宋体" w:cs="宋体" w:eastAsia="宋体" w:hint="default"/>
                      <w:spacing w:val="-28"/>
                      <w:sz w:val="18"/>
                      <w:szCs w:val="18"/>
                    </w:rPr>
                    <w:t> </w:t>
                  </w:r>
                  <w:r>
                    <w:rPr>
                      <w:rFonts w:ascii="Times New Roman" w:hAnsi="Times New Roman" w:cs="Times New Roman" w:eastAsia="Times New Roman" w:hint="default"/>
                      <w:spacing w:val="-3"/>
                      <w:sz w:val="18"/>
                      <w:szCs w:val="18"/>
                    </w:rPr>
                    <w:t>100%</w:t>
                  </w:r>
                  <w:r>
                    <w:rPr>
                      <w:rFonts w:ascii="宋体" w:hAnsi="宋体" w:cs="宋体" w:eastAsia="宋体" w:hint="default"/>
                      <w:spacing w:val="-3"/>
                      <w:sz w:val="18"/>
                      <w:szCs w:val="18"/>
                    </w:rPr>
                    <w:t>股权部分现金对价的议案》，计划使用剩余全部超募资金及其利息收入（具体金额以资金转出日当日银行结息余额</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为准）支付收购上海树维信息科技有限公司</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100%</w:t>
                  </w:r>
                  <w:r>
                    <w:rPr>
                      <w:rFonts w:ascii="宋体" w:hAnsi="宋体" w:cs="宋体" w:eastAsia="宋体" w:hint="default"/>
                      <w:sz w:val="18"/>
                      <w:szCs w:val="18"/>
                    </w:rPr>
                    <w:t>股权部分现金对价，</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年度，公司共使用超募资金支付上海树维股权 转让价款</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5,344.44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万元。</w:t>
                  </w:r>
                </w:p>
                <w:p>
                  <w:pPr>
                    <w:spacing w:before="53"/>
                    <w:ind w:left="22" w:right="0" w:firstLine="0"/>
                    <w:jc w:val="both"/>
                    <w:rPr>
                      <w:rFonts w:ascii="宋体" w:hAnsi="宋体" w:cs="宋体" w:eastAsia="宋体" w:hint="default"/>
                      <w:sz w:val="18"/>
                      <w:szCs w:val="18"/>
                    </w:rPr>
                  </w:pPr>
                  <w:r>
                    <w:rPr>
                      <w:rFonts w:ascii="宋体" w:hAnsi="宋体" w:cs="宋体" w:eastAsia="宋体" w:hint="default"/>
                      <w:sz w:val="18"/>
                      <w:szCs w:val="18"/>
                    </w:rPr>
                    <w:t>③募集资金投向变更情况：报告期内，公司不存在募集资金投向变更的情形。</w:t>
                  </w:r>
                </w:p>
                <w:p>
                  <w:pPr>
                    <w:spacing w:line="319" w:lineRule="auto" w:before="115"/>
                    <w:ind w:left="22" w:right="23" w:firstLine="0"/>
                    <w:jc w:val="both"/>
                    <w:rPr>
                      <w:rFonts w:ascii="宋体" w:hAnsi="宋体" w:cs="宋体" w:eastAsia="宋体" w:hint="default"/>
                      <w:sz w:val="18"/>
                      <w:szCs w:val="18"/>
                    </w:rPr>
                  </w:pPr>
                  <w:r>
                    <w:rPr>
                      <w:rFonts w:ascii="宋体" w:hAnsi="宋体" w:cs="宋体" w:eastAsia="宋体" w:hint="default"/>
                      <w:spacing w:val="-1"/>
                      <w:sz w:val="18"/>
                      <w:szCs w:val="18"/>
                    </w:rPr>
                    <w:t>④募集资金使用及披露中存在的问题：报告期内，公司募集资金使用情况的披露与实际使用情况相符，不存在未及时、真</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z w:val="18"/>
                      <w:szCs w:val="18"/>
                    </w:rPr>
                    <w:t>实、准确、完整披露的情况，也不存在募集资金违规使用的情形。</w:t>
                  </w:r>
                </w:p>
              </w:txbxContent>
            </v:textbox>
          </v:shape>
        </w:pict>
      </w:r>
      <w:r>
        <w:rPr>
          <w:rFonts w:ascii="宋体" w:hAnsi="宋体" w:cs="宋体" w:eastAsia="宋体" w:hint="default"/>
          <w:position w:val="-39"/>
          <w:sz w:val="20"/>
          <w:szCs w:val="20"/>
        </w:rPr>
      </w:r>
    </w:p>
    <w:p>
      <w:pPr>
        <w:spacing w:line="240" w:lineRule="auto" w:before="7"/>
        <w:rPr>
          <w:rFonts w:ascii="宋体" w:hAnsi="宋体" w:cs="宋体" w:eastAsia="宋体" w:hint="default"/>
          <w:sz w:val="19"/>
          <w:szCs w:val="19"/>
        </w:rPr>
      </w:pPr>
    </w:p>
    <w:p>
      <w:pPr>
        <w:pStyle w:val="Heading4"/>
        <w:spacing w:line="240" w:lineRule="auto" w:before="35"/>
        <w:ind w:right="1117"/>
        <w:jc w:val="left"/>
        <w:rPr>
          <w:b w:val="0"/>
          <w:bCs w:val="0"/>
        </w:rPr>
      </w:pPr>
      <w:bookmarkStart w:name="（2）募集资金承诺项目情况" w:id="50"/>
      <w:bookmarkEnd w:id="50"/>
      <w:r>
        <w:rPr>
          <w:b w:val="0"/>
          <w:bCs w:val="0"/>
        </w:rPr>
      </w:r>
      <w:r>
        <w:rPr/>
        <w:t>（</w:t>
      </w:r>
      <w:r>
        <w:rPr>
          <w:rFonts w:ascii="Times New Roman" w:hAnsi="Times New Roman" w:cs="Times New Roman" w:eastAsia="Times New Roman" w:hint="default"/>
        </w:rPr>
        <w:t>2</w:t>
      </w:r>
      <w:r>
        <w:rPr/>
        <w:t>）募集资金承诺项目情况</w:t>
      </w:r>
      <w:r>
        <w:rPr>
          <w:b w:val="0"/>
          <w:bCs w:val="0"/>
        </w:rPr>
      </w:r>
    </w:p>
    <w:p>
      <w:pPr>
        <w:spacing w:line="240" w:lineRule="auto" w:before="3"/>
        <w:rPr>
          <w:rFonts w:ascii="宋体" w:hAnsi="宋体" w:cs="宋体" w:eastAsia="宋体" w:hint="default"/>
          <w:b/>
          <w:bCs/>
          <w:sz w:val="23"/>
          <w:szCs w:val="23"/>
        </w:rPr>
      </w:pPr>
    </w:p>
    <w:p>
      <w:pPr>
        <w:spacing w:before="44"/>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before="102"/>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单位：万元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720"/>
        <w:gridCol w:w="914"/>
        <w:gridCol w:w="721"/>
        <w:gridCol w:w="721"/>
        <w:gridCol w:w="722"/>
        <w:gridCol w:w="720"/>
        <w:gridCol w:w="722"/>
        <w:gridCol w:w="721"/>
        <w:gridCol w:w="721"/>
        <w:gridCol w:w="723"/>
        <w:gridCol w:w="722"/>
        <w:gridCol w:w="721"/>
        <w:gridCol w:w="722"/>
      </w:tblGrid>
      <w:tr>
        <w:trPr>
          <w:trHeight w:val="1649" w:hRule="exact"/>
        </w:trPr>
        <w:tc>
          <w:tcPr>
            <w:tcW w:w="163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316" w:lineRule="auto"/>
              <w:ind w:left="361" w:right="93" w:hanging="270"/>
              <w:jc w:val="left"/>
              <w:rPr>
                <w:rFonts w:ascii="宋体" w:hAnsi="宋体" w:cs="宋体" w:eastAsia="宋体" w:hint="default"/>
                <w:sz w:val="18"/>
                <w:szCs w:val="18"/>
              </w:rPr>
            </w:pPr>
            <w:r>
              <w:rPr>
                <w:rFonts w:ascii="宋体" w:hAnsi="宋体" w:cs="宋体" w:eastAsia="宋体" w:hint="default"/>
                <w:sz w:val="18"/>
                <w:szCs w:val="18"/>
              </w:rPr>
              <w:t>承诺投资项目和超 募资金投向</w:t>
            </w:r>
          </w:p>
        </w:tc>
        <w:tc>
          <w:tcPr>
            <w:tcW w:w="7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2" w:lineRule="auto"/>
              <w:ind w:left="55" w:right="54" w:firstLine="30"/>
              <w:jc w:val="both"/>
              <w:rPr>
                <w:rFonts w:ascii="Times New Roman" w:hAnsi="Times New Roman" w:cs="Times New Roman" w:eastAsia="Times New Roman" w:hint="default"/>
                <w:sz w:val="18"/>
                <w:szCs w:val="18"/>
              </w:rPr>
            </w:pPr>
            <w:r>
              <w:rPr>
                <w:rFonts w:ascii="宋体" w:hAnsi="宋体" w:cs="宋体" w:eastAsia="宋体" w:hint="default"/>
                <w:sz w:val="18"/>
                <w:szCs w:val="18"/>
              </w:rPr>
              <w:t>是否已 变更项 目</w:t>
            </w:r>
            <w:r>
              <w:rPr>
                <w:rFonts w:ascii="Times New Roman" w:hAnsi="Times New Roman" w:cs="Times New Roman" w:eastAsia="Times New Roman" w:hint="default"/>
                <w:sz w:val="18"/>
                <w:szCs w:val="18"/>
              </w:rPr>
              <w:t>(</w:t>
            </w:r>
            <w:r>
              <w:rPr>
                <w:rFonts w:ascii="宋体" w:hAnsi="宋体" w:cs="宋体" w:eastAsia="宋体" w:hint="default"/>
                <w:sz w:val="18"/>
                <w:szCs w:val="18"/>
              </w:rPr>
              <w:t>含部 分变更</w:t>
            </w:r>
            <w:r>
              <w:rPr>
                <w:rFonts w:ascii="Times New Roman" w:hAnsi="Times New Roman" w:cs="Times New Roman" w:eastAsia="Times New Roman" w:hint="default"/>
                <w:sz w:val="18"/>
                <w:szCs w:val="18"/>
              </w:rPr>
              <w:t>)</w:t>
            </w:r>
          </w:p>
        </w:tc>
        <w:tc>
          <w:tcPr>
            <w:tcW w:w="7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86" w:right="83"/>
              <w:jc w:val="center"/>
              <w:rPr>
                <w:rFonts w:ascii="宋体" w:hAnsi="宋体" w:cs="宋体" w:eastAsia="宋体" w:hint="default"/>
                <w:sz w:val="18"/>
                <w:szCs w:val="18"/>
              </w:rPr>
            </w:pPr>
            <w:r>
              <w:rPr>
                <w:rFonts w:ascii="宋体" w:hAnsi="宋体" w:cs="宋体" w:eastAsia="宋体" w:hint="default"/>
                <w:sz w:val="18"/>
                <w:szCs w:val="18"/>
              </w:rPr>
              <w:t>募集资 金承诺 投资总 额</w:t>
            </w:r>
          </w:p>
        </w:tc>
        <w:tc>
          <w:tcPr>
            <w:tcW w:w="7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85" w:right="84"/>
              <w:jc w:val="both"/>
              <w:rPr>
                <w:rFonts w:ascii="Times New Roman" w:hAnsi="Times New Roman" w:cs="Times New Roman" w:eastAsia="Times New Roman" w:hint="default"/>
                <w:sz w:val="18"/>
                <w:szCs w:val="18"/>
              </w:rPr>
            </w:pPr>
            <w:r>
              <w:rPr>
                <w:rFonts w:ascii="宋体" w:hAnsi="宋体" w:cs="宋体" w:eastAsia="宋体" w:hint="default"/>
                <w:sz w:val="18"/>
                <w:szCs w:val="18"/>
              </w:rPr>
              <w:t>调整后 投资总 额</w:t>
            </w:r>
            <w:r>
              <w:rPr>
                <w:rFonts w:ascii="Times New Roman" w:hAnsi="Times New Roman" w:cs="Times New Roman" w:eastAsia="Times New Roman" w:hint="default"/>
                <w:sz w:val="18"/>
                <w:szCs w:val="18"/>
              </w:rPr>
              <w:t>(1)</w:t>
            </w:r>
          </w:p>
        </w:tc>
        <w:tc>
          <w:tcPr>
            <w:tcW w:w="7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84" w:right="84"/>
              <w:jc w:val="both"/>
              <w:rPr>
                <w:rFonts w:ascii="宋体" w:hAnsi="宋体" w:cs="宋体" w:eastAsia="宋体" w:hint="default"/>
                <w:sz w:val="18"/>
                <w:szCs w:val="18"/>
              </w:rPr>
            </w:pPr>
            <w:r>
              <w:rPr>
                <w:rFonts w:ascii="宋体" w:hAnsi="宋体" w:cs="宋体" w:eastAsia="宋体" w:hint="default"/>
                <w:sz w:val="18"/>
                <w:szCs w:val="18"/>
              </w:rPr>
              <w:t>本报告 期投入 金额</w:t>
            </w:r>
          </w:p>
        </w:tc>
        <w:tc>
          <w:tcPr>
            <w:tcW w:w="7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85" w:right="85"/>
              <w:jc w:val="both"/>
              <w:rPr>
                <w:rFonts w:ascii="Times New Roman" w:hAnsi="Times New Roman" w:cs="Times New Roman" w:eastAsia="Times New Roman" w:hint="default"/>
                <w:sz w:val="18"/>
                <w:szCs w:val="18"/>
              </w:rPr>
            </w:pPr>
            <w:r>
              <w:rPr>
                <w:rFonts w:ascii="宋体" w:hAnsi="宋体" w:cs="宋体" w:eastAsia="宋体" w:hint="default"/>
                <w:sz w:val="18"/>
                <w:szCs w:val="18"/>
              </w:rPr>
              <w:t>截至期 末累计 投入金 额</w:t>
            </w:r>
            <w:r>
              <w:rPr>
                <w:rFonts w:ascii="Times New Roman" w:hAnsi="Times New Roman" w:cs="Times New Roman" w:eastAsia="Times New Roman" w:hint="default"/>
                <w:sz w:val="18"/>
                <w:szCs w:val="18"/>
              </w:rPr>
              <w:t>(2)</w:t>
            </w:r>
          </w:p>
        </w:tc>
        <w:tc>
          <w:tcPr>
            <w:tcW w:w="7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70" w:right="68" w:firstLine="14"/>
              <w:jc w:val="both"/>
              <w:rPr>
                <w:rFonts w:ascii="Times New Roman" w:hAnsi="Times New Roman" w:cs="Times New Roman" w:eastAsia="Times New Roman" w:hint="default"/>
                <w:sz w:val="18"/>
                <w:szCs w:val="18"/>
              </w:rPr>
            </w:pPr>
            <w:r>
              <w:rPr>
                <w:rFonts w:ascii="宋体" w:hAnsi="宋体" w:cs="宋体" w:eastAsia="宋体" w:hint="default"/>
                <w:sz w:val="18"/>
                <w:szCs w:val="18"/>
              </w:rPr>
              <w:t>截至期 末投资 进度</w:t>
            </w:r>
            <w:r>
              <w:rPr>
                <w:rFonts w:ascii="Times New Roman" w:hAnsi="Times New Roman" w:cs="Times New Roman" w:eastAsia="Times New Roman" w:hint="default"/>
                <w:sz w:val="18"/>
                <w:szCs w:val="18"/>
              </w:rPr>
              <w:t>(3)</w:t>
            </w:r>
          </w:p>
          <w:p>
            <w:pPr>
              <w:pStyle w:val="TableParagraph"/>
              <w:spacing w:line="240" w:lineRule="auto"/>
              <w:ind w:left="31" w:right="0"/>
              <w:jc w:val="both"/>
              <w:rPr>
                <w:rFonts w:ascii="Times New Roman" w:hAnsi="Times New Roman" w:cs="Times New Roman" w:eastAsia="Times New Roman"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(2)/(1)</w:t>
            </w:r>
          </w:p>
        </w:tc>
        <w:tc>
          <w:tcPr>
            <w:tcW w:w="7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86" w:right="83"/>
              <w:jc w:val="center"/>
              <w:rPr>
                <w:rFonts w:ascii="宋体" w:hAnsi="宋体" w:cs="宋体" w:eastAsia="宋体" w:hint="default"/>
                <w:sz w:val="18"/>
                <w:szCs w:val="18"/>
              </w:rPr>
            </w:pPr>
            <w:r>
              <w:rPr>
                <w:rFonts w:ascii="宋体" w:hAnsi="宋体" w:cs="宋体" w:eastAsia="宋体" w:hint="default"/>
                <w:sz w:val="18"/>
                <w:szCs w:val="18"/>
              </w:rPr>
              <w:t>项目达 到预定 可使用 状态日 期</w:t>
            </w:r>
          </w:p>
        </w:tc>
        <w:tc>
          <w:tcPr>
            <w:tcW w:w="7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85" w:right="87"/>
              <w:jc w:val="both"/>
              <w:rPr>
                <w:rFonts w:ascii="宋体" w:hAnsi="宋体" w:cs="宋体" w:eastAsia="宋体" w:hint="default"/>
                <w:sz w:val="18"/>
                <w:szCs w:val="18"/>
              </w:rPr>
            </w:pPr>
            <w:r>
              <w:rPr>
                <w:rFonts w:ascii="宋体" w:hAnsi="宋体" w:cs="宋体" w:eastAsia="宋体" w:hint="default"/>
                <w:sz w:val="18"/>
                <w:szCs w:val="18"/>
              </w:rPr>
              <w:t>本报告 期实现 的效益</w:t>
            </w:r>
          </w:p>
        </w:tc>
        <w:tc>
          <w:tcPr>
            <w:tcW w:w="7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85" w:right="85"/>
              <w:jc w:val="center"/>
              <w:rPr>
                <w:rFonts w:ascii="宋体" w:hAnsi="宋体" w:cs="宋体" w:eastAsia="宋体" w:hint="default"/>
                <w:sz w:val="18"/>
                <w:szCs w:val="18"/>
              </w:rPr>
            </w:pPr>
            <w:r>
              <w:rPr>
                <w:rFonts w:ascii="宋体" w:hAnsi="宋体" w:cs="宋体" w:eastAsia="宋体" w:hint="default"/>
                <w:sz w:val="18"/>
                <w:szCs w:val="18"/>
              </w:rPr>
              <w:t>截止报 告期末 累计实 现的效 益</w:t>
            </w:r>
          </w:p>
        </w:tc>
        <w:tc>
          <w:tcPr>
            <w:tcW w:w="7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85" w:right="84"/>
              <w:jc w:val="both"/>
              <w:rPr>
                <w:rFonts w:ascii="宋体" w:hAnsi="宋体" w:cs="宋体" w:eastAsia="宋体" w:hint="default"/>
                <w:sz w:val="18"/>
                <w:szCs w:val="18"/>
              </w:rPr>
            </w:pPr>
            <w:r>
              <w:rPr>
                <w:rFonts w:ascii="宋体" w:hAnsi="宋体" w:cs="宋体" w:eastAsia="宋体" w:hint="default"/>
                <w:sz w:val="18"/>
                <w:szCs w:val="18"/>
              </w:rPr>
              <w:t>是否达 到预计 效益</w:t>
            </w:r>
          </w:p>
        </w:tc>
        <w:tc>
          <w:tcPr>
            <w:tcW w:w="7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85" w:right="85"/>
              <w:jc w:val="center"/>
              <w:rPr>
                <w:rFonts w:ascii="宋体" w:hAnsi="宋体" w:cs="宋体" w:eastAsia="宋体" w:hint="default"/>
                <w:sz w:val="18"/>
                <w:szCs w:val="18"/>
              </w:rPr>
            </w:pPr>
            <w:r>
              <w:rPr>
                <w:rFonts w:ascii="宋体" w:hAnsi="宋体" w:cs="宋体" w:eastAsia="宋体" w:hint="default"/>
                <w:sz w:val="18"/>
                <w:szCs w:val="18"/>
              </w:rPr>
              <w:t>项目可 行性是 否发生 重大变 化</w:t>
            </w:r>
          </w:p>
        </w:tc>
      </w:tr>
      <w:tr>
        <w:trPr>
          <w:trHeight w:val="402" w:hRule="exact"/>
        </w:trPr>
        <w:tc>
          <w:tcPr>
            <w:tcW w:w="9572" w:type="dxa"/>
            <w:gridSpan w:val="1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承诺投资项目</w:t>
            </w:r>
          </w:p>
        </w:tc>
      </w:tr>
      <w:tr>
        <w:trPr>
          <w:trHeight w:val="1026" w:hRule="exact"/>
        </w:trPr>
        <w:tc>
          <w:tcPr>
            <w:tcW w:w="1635" w:type="dxa"/>
            <w:gridSpan w:val="2"/>
            <w:tcBorders>
              <w:top w:val="single" w:sz="4" w:space="0" w:color="000000"/>
              <w:left w:val="single" w:sz="4" w:space="0" w:color="000000"/>
              <w:bottom w:val="single" w:sz="4" w:space="0" w:color="000000"/>
              <w:right w:val="single" w:sz="4" w:space="0" w:color="000000"/>
            </w:tcBorders>
          </w:tcPr>
          <w:p>
            <w:pPr>
              <w:pStyle w:val="TableParagraph"/>
              <w:spacing w:line="309" w:lineRule="auto" w:before="52"/>
              <w:ind w:left="22" w:right="26"/>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智能一卡通整体解 决方案技术升级及 产业化项目</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10,286.6</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10,286.6</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10,540.6</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102.47%</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30</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58" w:right="0"/>
              <w:jc w:val="left"/>
              <w:rPr>
                <w:rFonts w:ascii="Times New Roman" w:hAnsi="Times New Roman" w:cs="Times New Roman" w:eastAsia="Times New Roman" w:hint="default"/>
                <w:sz w:val="18"/>
                <w:szCs w:val="18"/>
              </w:rPr>
            </w:pPr>
            <w:r>
              <w:rPr>
                <w:rFonts w:ascii="Times New Roman"/>
                <w:sz w:val="18"/>
              </w:rPr>
              <w:t>4,642.63</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13,761.4</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7</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1026" w:hRule="exact"/>
        </w:trPr>
        <w:tc>
          <w:tcPr>
            <w:tcW w:w="163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300" w:lineRule="auto"/>
              <w:ind w:left="22" w:right="26"/>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研发中心升级扩建 项目</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3,466.1</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3,466.1</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3,957.58</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2"/>
                <w:sz w:val="18"/>
              </w:rPr>
              <w:t>114.18%</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30</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23" w:type="dxa"/>
            <w:tcBorders>
              <w:top w:val="single" w:sz="4" w:space="0" w:color="000000"/>
              <w:left w:val="single" w:sz="4" w:space="0" w:color="000000"/>
              <w:bottom w:val="single" w:sz="4" w:space="0" w:color="000000"/>
              <w:right w:val="single" w:sz="4" w:space="0" w:color="000000"/>
            </w:tcBorders>
          </w:tcPr>
          <w:p>
            <w:pPr/>
          </w:p>
        </w:tc>
        <w:tc>
          <w:tcPr>
            <w:tcW w:w="722" w:type="dxa"/>
            <w:tcBorders>
              <w:top w:val="single" w:sz="4" w:space="0" w:color="000000"/>
              <w:left w:val="single" w:sz="4" w:space="0" w:color="000000"/>
              <w:bottom w:val="single" w:sz="4" w:space="0" w:color="000000"/>
              <w:right w:val="single" w:sz="4" w:space="0" w:color="000000"/>
            </w:tcBorders>
          </w:tcPr>
          <w:p>
            <w:pP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不适用</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1026" w:hRule="exact"/>
        </w:trPr>
        <w:tc>
          <w:tcPr>
            <w:tcW w:w="163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300" w:lineRule="auto"/>
              <w:ind w:left="22" w:right="26"/>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营销与客服网络扩 建项目</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2,272.4</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2,272.4</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2,379.3</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104.70%</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30</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23" w:type="dxa"/>
            <w:tcBorders>
              <w:top w:val="single" w:sz="4" w:space="0" w:color="000000"/>
              <w:left w:val="single" w:sz="4" w:space="0" w:color="000000"/>
              <w:bottom w:val="single" w:sz="4" w:space="0" w:color="000000"/>
              <w:right w:val="single" w:sz="4" w:space="0" w:color="000000"/>
            </w:tcBorders>
          </w:tcPr>
          <w:p>
            <w:pPr/>
          </w:p>
        </w:tc>
        <w:tc>
          <w:tcPr>
            <w:tcW w:w="722" w:type="dxa"/>
            <w:tcBorders>
              <w:top w:val="single" w:sz="4" w:space="0" w:color="000000"/>
              <w:left w:val="single" w:sz="4" w:space="0" w:color="000000"/>
              <w:bottom w:val="single" w:sz="4" w:space="0" w:color="000000"/>
              <w:right w:val="single" w:sz="4" w:space="0" w:color="000000"/>
            </w:tcBorders>
          </w:tcPr>
          <w:p>
            <w:pP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不适用</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63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收购迪科远望</w:t>
            </w:r>
          </w:p>
          <w:p>
            <w:pPr>
              <w:pStyle w:val="TableParagraph"/>
              <w:spacing w:line="240" w:lineRule="auto" w:before="63"/>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100%</w:t>
            </w:r>
            <w:r>
              <w:rPr>
                <w:rFonts w:ascii="宋体" w:hAnsi="宋体" w:cs="宋体" w:eastAsia="宋体" w:hint="default"/>
                <w:sz w:val="18"/>
                <w:szCs w:val="18"/>
              </w:rPr>
              <w:t>股权项目</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7,095.4</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7,095.4</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7,095.4</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c>
          <w:tcPr>
            <w:tcW w:w="721" w:type="dxa"/>
            <w:tcBorders>
              <w:top w:val="single" w:sz="4" w:space="0" w:color="000000"/>
              <w:left w:val="single" w:sz="4" w:space="0" w:color="000000"/>
              <w:bottom w:val="single" w:sz="4" w:space="0" w:color="000000"/>
              <w:right w:val="single" w:sz="4" w:space="0" w:color="000000"/>
            </w:tcBorders>
          </w:tcPr>
          <w:p>
            <w:pPr/>
          </w:p>
        </w:tc>
        <w:tc>
          <w:tcPr>
            <w:tcW w:w="723" w:type="dxa"/>
            <w:tcBorders>
              <w:top w:val="single" w:sz="4" w:space="0" w:color="000000"/>
              <w:left w:val="single" w:sz="4" w:space="0" w:color="000000"/>
              <w:bottom w:val="single" w:sz="4" w:space="0" w:color="000000"/>
              <w:right w:val="single" w:sz="4" w:space="0" w:color="000000"/>
            </w:tcBorders>
          </w:tcPr>
          <w:p>
            <w:pPr/>
          </w:p>
        </w:tc>
        <w:tc>
          <w:tcPr>
            <w:tcW w:w="722" w:type="dxa"/>
            <w:tcBorders>
              <w:top w:val="single" w:sz="4" w:space="0" w:color="000000"/>
              <w:left w:val="single" w:sz="4" w:space="0" w:color="000000"/>
              <w:bottom w:val="single" w:sz="4" w:space="0" w:color="000000"/>
              <w:right w:val="single" w:sz="4" w:space="0" w:color="000000"/>
            </w:tcBorders>
          </w:tcPr>
          <w:p>
            <w:pP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不适用</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1026" w:hRule="exact"/>
        </w:trPr>
        <w:tc>
          <w:tcPr>
            <w:tcW w:w="163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300" w:lineRule="auto"/>
              <w:ind w:left="22" w:right="26"/>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高校移动互联服务 平台项目</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9,018.25</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9,018.25</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1,446.42</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2,934.89</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32.54%</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4"/>
                <w:sz w:val="18"/>
                <w:szCs w:val="18"/>
              </w:rPr>
              <w:t>11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30</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23" w:type="dxa"/>
            <w:tcBorders>
              <w:top w:val="single" w:sz="4" w:space="0" w:color="000000"/>
              <w:left w:val="single" w:sz="4" w:space="0" w:color="000000"/>
              <w:bottom w:val="single" w:sz="4" w:space="0" w:color="000000"/>
              <w:right w:val="single" w:sz="4" w:space="0" w:color="000000"/>
            </w:tcBorders>
          </w:tcPr>
          <w:p>
            <w:pPr/>
          </w:p>
        </w:tc>
        <w:tc>
          <w:tcPr>
            <w:tcW w:w="722" w:type="dxa"/>
            <w:tcBorders>
              <w:top w:val="single" w:sz="4" w:space="0" w:color="000000"/>
              <w:left w:val="single" w:sz="4" w:space="0" w:color="000000"/>
              <w:bottom w:val="single" w:sz="4" w:space="0" w:color="000000"/>
              <w:right w:val="single" w:sz="4" w:space="0" w:color="000000"/>
            </w:tcBorders>
          </w:tcPr>
          <w:p>
            <w:pP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不适用</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1026" w:hRule="exact"/>
        </w:trPr>
        <w:tc>
          <w:tcPr>
            <w:tcW w:w="163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300" w:lineRule="auto"/>
              <w:ind w:left="22" w:right="26"/>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职业教育产业基地 建设项目</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13,360.3</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8</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13,360.3</w:t>
            </w:r>
          </w:p>
          <w:p>
            <w:pPr>
              <w:pStyle w:val="TableParagraph"/>
              <w:spacing w:line="240" w:lineRule="auto" w:before="105"/>
              <w:ind w:right="22"/>
              <w:jc w:val="right"/>
              <w:rPr>
                <w:rFonts w:ascii="Times New Roman" w:hAnsi="Times New Roman" w:cs="Times New Roman" w:eastAsia="Times New Roman" w:hint="default"/>
                <w:sz w:val="18"/>
                <w:szCs w:val="18"/>
              </w:rPr>
            </w:pPr>
            <w:r>
              <w:rPr>
                <w:rFonts w:ascii="Times New Roman"/>
                <w:sz w:val="18"/>
              </w:rPr>
              <w:t>8</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1,050.06</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2,798.24</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20.94%</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4"/>
                <w:sz w:val="18"/>
                <w:szCs w:val="18"/>
              </w:rPr>
              <w:t>11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30</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23" w:type="dxa"/>
            <w:tcBorders>
              <w:top w:val="single" w:sz="4" w:space="0" w:color="000000"/>
              <w:left w:val="single" w:sz="4" w:space="0" w:color="000000"/>
              <w:bottom w:val="single" w:sz="4" w:space="0" w:color="000000"/>
              <w:right w:val="single" w:sz="4" w:space="0" w:color="000000"/>
            </w:tcBorders>
          </w:tcPr>
          <w:p>
            <w:pPr/>
          </w:p>
        </w:tc>
        <w:tc>
          <w:tcPr>
            <w:tcW w:w="722" w:type="dxa"/>
            <w:tcBorders>
              <w:top w:val="single" w:sz="4" w:space="0" w:color="000000"/>
              <w:left w:val="single" w:sz="4" w:space="0" w:color="000000"/>
              <w:bottom w:val="single" w:sz="4" w:space="0" w:color="000000"/>
              <w:right w:val="single" w:sz="4" w:space="0" w:color="000000"/>
            </w:tcBorders>
          </w:tcPr>
          <w:p>
            <w:pP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不适用</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63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7.</w:t>
            </w:r>
            <w:r>
              <w:rPr>
                <w:rFonts w:ascii="宋体" w:hAnsi="宋体" w:cs="宋体" w:eastAsia="宋体" w:hint="default"/>
                <w:sz w:val="18"/>
                <w:szCs w:val="18"/>
              </w:rPr>
              <w:t>补充流动资金</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9,000</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9,000</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z w:val="18"/>
              </w:rPr>
              <w:t>0</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9,000</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100.00%</w:t>
            </w:r>
          </w:p>
        </w:tc>
        <w:tc>
          <w:tcPr>
            <w:tcW w:w="721" w:type="dxa"/>
            <w:tcBorders>
              <w:top w:val="single" w:sz="4" w:space="0" w:color="000000"/>
              <w:left w:val="single" w:sz="4" w:space="0" w:color="000000"/>
              <w:bottom w:val="single" w:sz="4" w:space="0" w:color="000000"/>
              <w:right w:val="single" w:sz="4" w:space="0" w:color="000000"/>
            </w:tcBorders>
          </w:tcPr>
          <w:p>
            <w:pPr/>
          </w:p>
        </w:tc>
        <w:tc>
          <w:tcPr>
            <w:tcW w:w="723" w:type="dxa"/>
            <w:tcBorders>
              <w:top w:val="single" w:sz="4" w:space="0" w:color="000000"/>
              <w:left w:val="single" w:sz="4" w:space="0" w:color="000000"/>
              <w:bottom w:val="single" w:sz="4" w:space="0" w:color="000000"/>
              <w:right w:val="single" w:sz="4" w:space="0" w:color="000000"/>
            </w:tcBorders>
          </w:tcPr>
          <w:p>
            <w:pPr/>
          </w:p>
        </w:tc>
        <w:tc>
          <w:tcPr>
            <w:tcW w:w="722" w:type="dxa"/>
            <w:tcBorders>
              <w:top w:val="single" w:sz="4" w:space="0" w:color="000000"/>
              <w:left w:val="single" w:sz="4" w:space="0" w:color="000000"/>
              <w:bottom w:val="single" w:sz="4" w:space="0" w:color="000000"/>
              <w:right w:val="single" w:sz="4" w:space="0" w:color="000000"/>
            </w:tcBorders>
          </w:tcPr>
          <w:p>
            <w:pP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不适用</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162" w:hRule="exact"/>
        </w:trPr>
        <w:tc>
          <w:tcPr>
            <w:tcW w:w="1635" w:type="dxa"/>
            <w:gridSpan w:val="2"/>
            <w:tcBorders>
              <w:top w:val="single" w:sz="4" w:space="0" w:color="000000"/>
              <w:left w:val="single" w:sz="4" w:space="0" w:color="000000"/>
              <w:bottom w:val="nil" w:sz="6" w:space="0" w:color="auto"/>
              <w:right w:val="single" w:sz="4" w:space="0" w:color="000000"/>
            </w:tcBorders>
            <w:shd w:val="clear" w:color="auto" w:fill="D2D2D2"/>
          </w:tcPr>
          <w:p>
            <w:pPr/>
          </w:p>
        </w:tc>
        <w:tc>
          <w:tcPr>
            <w:tcW w:w="721" w:type="dxa"/>
            <w:tcBorders>
              <w:top w:val="single" w:sz="4" w:space="0" w:color="000000"/>
              <w:left w:val="single" w:sz="4" w:space="0" w:color="000000"/>
              <w:bottom w:val="nil" w:sz="6" w:space="0" w:color="auto"/>
              <w:right w:val="single" w:sz="4" w:space="0" w:color="000000"/>
            </w:tcBorders>
            <w:shd w:val="clear" w:color="auto" w:fill="D2D2D2"/>
          </w:tcPr>
          <w:p>
            <w:pPr/>
          </w:p>
        </w:tc>
        <w:tc>
          <w:tcPr>
            <w:tcW w:w="721" w:type="dxa"/>
            <w:vMerge w:val="restart"/>
            <w:tcBorders>
              <w:top w:val="single" w:sz="4" w:space="0" w:color="000000"/>
              <w:left w:val="single" w:sz="9" w:space="0" w:color="D2D2D2"/>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54,499.1</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3</w:t>
            </w:r>
          </w:p>
        </w:tc>
        <w:tc>
          <w:tcPr>
            <w:tcW w:w="722" w:type="dxa"/>
            <w:vMerge w:val="restart"/>
            <w:tcBorders>
              <w:top w:val="single" w:sz="4" w:space="0" w:color="000000"/>
              <w:left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54,499.1</w:t>
            </w:r>
          </w:p>
          <w:p>
            <w:pPr>
              <w:pStyle w:val="TableParagraph"/>
              <w:spacing w:line="240" w:lineRule="auto" w:before="105"/>
              <w:ind w:right="22"/>
              <w:jc w:val="right"/>
              <w:rPr>
                <w:rFonts w:ascii="Times New Roman" w:hAnsi="Times New Roman" w:cs="Times New Roman" w:eastAsia="Times New Roman" w:hint="default"/>
                <w:sz w:val="18"/>
                <w:szCs w:val="18"/>
              </w:rPr>
            </w:pPr>
            <w:r>
              <w:rPr>
                <w:rFonts w:ascii="Times New Roman"/>
                <w:sz w:val="18"/>
              </w:rPr>
              <w:t>3</w:t>
            </w:r>
          </w:p>
        </w:tc>
        <w:tc>
          <w:tcPr>
            <w:tcW w:w="720"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56" w:right="0"/>
              <w:jc w:val="left"/>
              <w:rPr>
                <w:rFonts w:ascii="Times New Roman" w:hAnsi="Times New Roman" w:cs="Times New Roman" w:eastAsia="Times New Roman" w:hint="default"/>
                <w:sz w:val="18"/>
                <w:szCs w:val="18"/>
              </w:rPr>
            </w:pPr>
            <w:r>
              <w:rPr>
                <w:rFonts w:ascii="Times New Roman"/>
                <w:sz w:val="18"/>
              </w:rPr>
              <w:t>2,496.48</w:t>
            </w:r>
          </w:p>
        </w:tc>
        <w:tc>
          <w:tcPr>
            <w:tcW w:w="722" w:type="dxa"/>
            <w:vMerge w:val="restart"/>
            <w:tcBorders>
              <w:top w:val="single" w:sz="4" w:space="0" w:color="000000"/>
              <w:left w:val="single" w:sz="4" w:space="0" w:color="000000"/>
              <w:right w:val="single" w:sz="9" w:space="0" w:color="D2D2D2"/>
            </w:tcBorders>
          </w:tcPr>
          <w:p>
            <w:pPr>
              <w:pStyle w:val="TableParagraph"/>
              <w:spacing w:line="240" w:lineRule="auto" w:before="92"/>
              <w:ind w:right="14"/>
              <w:jc w:val="right"/>
              <w:rPr>
                <w:rFonts w:ascii="Times New Roman" w:hAnsi="Times New Roman" w:cs="Times New Roman" w:eastAsia="Times New Roman" w:hint="default"/>
                <w:sz w:val="18"/>
                <w:szCs w:val="18"/>
              </w:rPr>
            </w:pPr>
            <w:r>
              <w:rPr>
                <w:rFonts w:ascii="Times New Roman"/>
                <w:sz w:val="18"/>
              </w:rPr>
              <w:t>38,706.0</w:t>
            </w:r>
          </w:p>
          <w:p>
            <w:pPr>
              <w:pStyle w:val="TableParagraph"/>
              <w:spacing w:line="240" w:lineRule="auto" w:before="105"/>
              <w:ind w:right="15"/>
              <w:jc w:val="right"/>
              <w:rPr>
                <w:rFonts w:ascii="Times New Roman" w:hAnsi="Times New Roman" w:cs="Times New Roman" w:eastAsia="Times New Roman" w:hint="default"/>
                <w:sz w:val="18"/>
                <w:szCs w:val="18"/>
              </w:rPr>
            </w:pPr>
            <w:r>
              <w:rPr>
                <w:rFonts w:ascii="Times New Roman"/>
                <w:sz w:val="18"/>
              </w:rPr>
              <w:t>1</w:t>
            </w:r>
          </w:p>
        </w:tc>
        <w:tc>
          <w:tcPr>
            <w:tcW w:w="721" w:type="dxa"/>
            <w:tcBorders>
              <w:top w:val="single" w:sz="4" w:space="0" w:color="000000"/>
              <w:left w:val="single" w:sz="4" w:space="0" w:color="000000"/>
              <w:bottom w:val="nil" w:sz="6" w:space="0" w:color="auto"/>
              <w:right w:val="single" w:sz="4" w:space="0" w:color="000000"/>
            </w:tcBorders>
            <w:shd w:val="clear" w:color="auto" w:fill="D2D2D2"/>
          </w:tcPr>
          <w:p>
            <w:pPr/>
          </w:p>
        </w:tc>
        <w:tc>
          <w:tcPr>
            <w:tcW w:w="721" w:type="dxa"/>
            <w:tcBorders>
              <w:top w:val="single" w:sz="4" w:space="0" w:color="000000"/>
              <w:left w:val="single" w:sz="4" w:space="0" w:color="000000"/>
              <w:bottom w:val="nil" w:sz="6" w:space="0" w:color="auto"/>
              <w:right w:val="single" w:sz="4" w:space="0" w:color="000000"/>
            </w:tcBorders>
            <w:shd w:val="clear" w:color="auto" w:fill="D2D2D2"/>
          </w:tcPr>
          <w:p>
            <w:pPr/>
          </w:p>
        </w:tc>
        <w:tc>
          <w:tcPr>
            <w:tcW w:w="723" w:type="dxa"/>
            <w:vMerge w:val="restart"/>
            <w:tcBorders>
              <w:top w:val="single" w:sz="4" w:space="0" w:color="000000"/>
              <w:left w:val="single" w:sz="9" w:space="0" w:color="D2D2D2"/>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52" w:right="0"/>
              <w:jc w:val="left"/>
              <w:rPr>
                <w:rFonts w:ascii="Times New Roman" w:hAnsi="Times New Roman" w:cs="Times New Roman" w:eastAsia="Times New Roman" w:hint="default"/>
                <w:sz w:val="18"/>
                <w:szCs w:val="18"/>
              </w:rPr>
            </w:pPr>
            <w:r>
              <w:rPr>
                <w:rFonts w:ascii="Times New Roman"/>
                <w:sz w:val="18"/>
              </w:rPr>
              <w:t>4,642.63</w:t>
            </w:r>
          </w:p>
        </w:tc>
        <w:tc>
          <w:tcPr>
            <w:tcW w:w="722" w:type="dxa"/>
            <w:vMerge w:val="restart"/>
            <w:tcBorders>
              <w:top w:val="single" w:sz="4" w:space="0" w:color="000000"/>
              <w:left w:val="single" w:sz="4" w:space="0" w:color="000000"/>
              <w:right w:val="single" w:sz="9" w:space="0" w:color="D2D2D2"/>
            </w:tcBorders>
          </w:tcPr>
          <w:p>
            <w:pPr>
              <w:pStyle w:val="TableParagraph"/>
              <w:spacing w:line="240" w:lineRule="auto" w:before="92"/>
              <w:ind w:right="14"/>
              <w:jc w:val="right"/>
              <w:rPr>
                <w:rFonts w:ascii="Times New Roman" w:hAnsi="Times New Roman" w:cs="Times New Roman" w:eastAsia="Times New Roman" w:hint="default"/>
                <w:sz w:val="18"/>
                <w:szCs w:val="18"/>
              </w:rPr>
            </w:pPr>
            <w:r>
              <w:rPr>
                <w:rFonts w:ascii="Times New Roman"/>
                <w:sz w:val="18"/>
              </w:rPr>
              <w:t>13,761.4</w:t>
            </w:r>
          </w:p>
          <w:p>
            <w:pPr>
              <w:pStyle w:val="TableParagraph"/>
              <w:spacing w:line="240" w:lineRule="auto" w:before="105"/>
              <w:ind w:right="15"/>
              <w:jc w:val="right"/>
              <w:rPr>
                <w:rFonts w:ascii="Times New Roman" w:hAnsi="Times New Roman" w:cs="Times New Roman" w:eastAsia="Times New Roman" w:hint="default"/>
                <w:sz w:val="18"/>
                <w:szCs w:val="18"/>
              </w:rPr>
            </w:pPr>
            <w:r>
              <w:rPr>
                <w:rFonts w:ascii="Times New Roman"/>
                <w:sz w:val="18"/>
              </w:rPr>
              <w:t>7</w:t>
            </w:r>
          </w:p>
        </w:tc>
        <w:tc>
          <w:tcPr>
            <w:tcW w:w="721" w:type="dxa"/>
            <w:tcBorders>
              <w:top w:val="single" w:sz="4" w:space="0" w:color="000000"/>
              <w:left w:val="single" w:sz="4" w:space="0" w:color="000000"/>
              <w:bottom w:val="nil" w:sz="6" w:space="0" w:color="auto"/>
              <w:right w:val="single" w:sz="4" w:space="0" w:color="000000"/>
            </w:tcBorders>
            <w:shd w:val="clear" w:color="auto" w:fill="D2D2D2"/>
          </w:tcPr>
          <w:p>
            <w:pPr/>
          </w:p>
        </w:tc>
        <w:tc>
          <w:tcPr>
            <w:tcW w:w="722"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391" w:hRule="exact"/>
        </w:trPr>
        <w:tc>
          <w:tcPr>
            <w:tcW w:w="1635" w:type="dxa"/>
            <w:gridSpan w:val="2"/>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承诺投资项目小计</w:t>
            </w:r>
          </w:p>
        </w:tc>
        <w:tc>
          <w:tcPr>
            <w:tcW w:w="72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721" w:type="dxa"/>
            <w:vMerge/>
            <w:tcBorders>
              <w:left w:val="single" w:sz="9" w:space="0" w:color="D2D2D2"/>
              <w:right w:val="single" w:sz="4" w:space="0" w:color="000000"/>
            </w:tcBorders>
          </w:tcPr>
          <w:p>
            <w:pPr/>
          </w:p>
        </w:tc>
        <w:tc>
          <w:tcPr>
            <w:tcW w:w="722" w:type="dxa"/>
            <w:vMerge/>
            <w:tcBorders>
              <w:left w:val="single" w:sz="4" w:space="0" w:color="000000"/>
              <w:right w:val="single" w:sz="4" w:space="0" w:color="000000"/>
            </w:tcBorders>
          </w:tcPr>
          <w:p>
            <w:pPr/>
          </w:p>
        </w:tc>
        <w:tc>
          <w:tcPr>
            <w:tcW w:w="720" w:type="dxa"/>
            <w:vMerge/>
            <w:tcBorders>
              <w:left w:val="single" w:sz="4" w:space="0" w:color="000000"/>
              <w:right w:val="single" w:sz="4" w:space="0" w:color="000000"/>
            </w:tcBorders>
          </w:tcPr>
          <w:p>
            <w:pPr/>
          </w:p>
        </w:tc>
        <w:tc>
          <w:tcPr>
            <w:tcW w:w="722" w:type="dxa"/>
            <w:vMerge/>
            <w:tcBorders>
              <w:left w:val="single" w:sz="4" w:space="0" w:color="000000"/>
              <w:right w:val="single" w:sz="9" w:space="0" w:color="D2D2D2"/>
            </w:tcBorders>
          </w:tcPr>
          <w:p>
            <w:pPr/>
          </w:p>
        </w:tc>
        <w:tc>
          <w:tcPr>
            <w:tcW w:w="72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72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w:t>
            </w:r>
          </w:p>
        </w:tc>
        <w:tc>
          <w:tcPr>
            <w:tcW w:w="723" w:type="dxa"/>
            <w:vMerge/>
            <w:tcBorders>
              <w:left w:val="single" w:sz="9" w:space="0" w:color="D2D2D2"/>
              <w:right w:val="single" w:sz="4" w:space="0" w:color="000000"/>
            </w:tcBorders>
          </w:tcPr>
          <w:p>
            <w:pPr/>
          </w:p>
        </w:tc>
        <w:tc>
          <w:tcPr>
            <w:tcW w:w="722" w:type="dxa"/>
            <w:vMerge/>
            <w:tcBorders>
              <w:left w:val="single" w:sz="4" w:space="0" w:color="000000"/>
              <w:right w:val="single" w:sz="9" w:space="0" w:color="D2D2D2"/>
            </w:tcBorders>
          </w:tcPr>
          <w:p>
            <w:pPr/>
          </w:p>
        </w:tc>
        <w:tc>
          <w:tcPr>
            <w:tcW w:w="72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72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r>
        <w:trPr>
          <w:trHeight w:val="167" w:hRule="exact"/>
        </w:trPr>
        <w:tc>
          <w:tcPr>
            <w:tcW w:w="1635" w:type="dxa"/>
            <w:gridSpan w:val="2"/>
            <w:tcBorders>
              <w:top w:val="nil" w:sz="6" w:space="0" w:color="auto"/>
              <w:left w:val="single" w:sz="4" w:space="0" w:color="000000"/>
              <w:bottom w:val="single" w:sz="4" w:space="0" w:color="000000"/>
              <w:right w:val="single" w:sz="4" w:space="0" w:color="000000"/>
            </w:tcBorders>
            <w:shd w:val="clear" w:color="auto" w:fill="D2D2D2"/>
          </w:tcPr>
          <w:p>
            <w:pPr/>
          </w:p>
        </w:tc>
        <w:tc>
          <w:tcPr>
            <w:tcW w:w="721" w:type="dxa"/>
            <w:tcBorders>
              <w:top w:val="nil" w:sz="6" w:space="0" w:color="auto"/>
              <w:left w:val="single" w:sz="4" w:space="0" w:color="000000"/>
              <w:bottom w:val="single" w:sz="4" w:space="0" w:color="000000"/>
              <w:right w:val="single" w:sz="4" w:space="0" w:color="000000"/>
            </w:tcBorders>
            <w:shd w:val="clear" w:color="auto" w:fill="D2D2D2"/>
          </w:tcPr>
          <w:p>
            <w:pPr/>
          </w:p>
        </w:tc>
        <w:tc>
          <w:tcPr>
            <w:tcW w:w="721" w:type="dxa"/>
            <w:vMerge/>
            <w:tcBorders>
              <w:left w:val="single" w:sz="9" w:space="0" w:color="D2D2D2"/>
              <w:bottom w:val="single" w:sz="4" w:space="0" w:color="000000"/>
              <w:right w:val="single" w:sz="4" w:space="0" w:color="000000"/>
            </w:tcBorders>
          </w:tcPr>
          <w:p>
            <w:pPr/>
          </w:p>
        </w:tc>
        <w:tc>
          <w:tcPr>
            <w:tcW w:w="722" w:type="dxa"/>
            <w:vMerge/>
            <w:tcBorders>
              <w:left w:val="single" w:sz="4" w:space="0" w:color="000000"/>
              <w:bottom w:val="single" w:sz="4" w:space="0" w:color="000000"/>
              <w:right w:val="single" w:sz="4" w:space="0" w:color="000000"/>
            </w:tcBorders>
          </w:tcPr>
          <w:p>
            <w:pPr/>
          </w:p>
        </w:tc>
        <w:tc>
          <w:tcPr>
            <w:tcW w:w="720" w:type="dxa"/>
            <w:vMerge/>
            <w:tcBorders>
              <w:left w:val="single" w:sz="4" w:space="0" w:color="000000"/>
              <w:bottom w:val="single" w:sz="4" w:space="0" w:color="000000"/>
              <w:right w:val="single" w:sz="4" w:space="0" w:color="000000"/>
            </w:tcBorders>
          </w:tcPr>
          <w:p>
            <w:pPr/>
          </w:p>
        </w:tc>
        <w:tc>
          <w:tcPr>
            <w:tcW w:w="722" w:type="dxa"/>
            <w:vMerge/>
            <w:tcBorders>
              <w:left w:val="single" w:sz="4" w:space="0" w:color="000000"/>
              <w:bottom w:val="single" w:sz="4" w:space="0" w:color="000000"/>
              <w:right w:val="single" w:sz="9" w:space="0" w:color="D2D2D2"/>
            </w:tcBorders>
          </w:tcPr>
          <w:p>
            <w:pPr/>
          </w:p>
        </w:tc>
        <w:tc>
          <w:tcPr>
            <w:tcW w:w="721" w:type="dxa"/>
            <w:tcBorders>
              <w:top w:val="nil" w:sz="6" w:space="0" w:color="auto"/>
              <w:left w:val="single" w:sz="4" w:space="0" w:color="000000"/>
              <w:bottom w:val="single" w:sz="4" w:space="0" w:color="000000"/>
              <w:right w:val="single" w:sz="4" w:space="0" w:color="000000"/>
            </w:tcBorders>
            <w:shd w:val="clear" w:color="auto" w:fill="D2D2D2"/>
          </w:tcPr>
          <w:p>
            <w:pPr/>
          </w:p>
        </w:tc>
        <w:tc>
          <w:tcPr>
            <w:tcW w:w="721" w:type="dxa"/>
            <w:tcBorders>
              <w:top w:val="nil" w:sz="6" w:space="0" w:color="auto"/>
              <w:left w:val="single" w:sz="4" w:space="0" w:color="000000"/>
              <w:bottom w:val="single" w:sz="4" w:space="0" w:color="000000"/>
              <w:right w:val="single" w:sz="4" w:space="0" w:color="000000"/>
            </w:tcBorders>
            <w:shd w:val="clear" w:color="auto" w:fill="D2D2D2"/>
          </w:tcPr>
          <w:p>
            <w:pPr/>
          </w:p>
        </w:tc>
        <w:tc>
          <w:tcPr>
            <w:tcW w:w="723" w:type="dxa"/>
            <w:vMerge/>
            <w:tcBorders>
              <w:left w:val="single" w:sz="9" w:space="0" w:color="D2D2D2"/>
              <w:bottom w:val="single" w:sz="4" w:space="0" w:color="000000"/>
              <w:right w:val="single" w:sz="4" w:space="0" w:color="000000"/>
            </w:tcBorders>
          </w:tcPr>
          <w:p>
            <w:pPr/>
          </w:p>
        </w:tc>
        <w:tc>
          <w:tcPr>
            <w:tcW w:w="722" w:type="dxa"/>
            <w:vMerge/>
            <w:tcBorders>
              <w:left w:val="single" w:sz="4" w:space="0" w:color="000000"/>
              <w:bottom w:val="single" w:sz="4" w:space="0" w:color="000000"/>
              <w:right w:val="single" w:sz="9" w:space="0" w:color="D2D2D2"/>
            </w:tcBorders>
          </w:tcPr>
          <w:p>
            <w:pPr/>
          </w:p>
        </w:tc>
        <w:tc>
          <w:tcPr>
            <w:tcW w:w="721" w:type="dxa"/>
            <w:tcBorders>
              <w:top w:val="nil" w:sz="6" w:space="0" w:color="auto"/>
              <w:left w:val="single" w:sz="4" w:space="0" w:color="000000"/>
              <w:bottom w:val="single" w:sz="4" w:space="0" w:color="000000"/>
              <w:right w:val="single" w:sz="4" w:space="0" w:color="000000"/>
            </w:tcBorders>
            <w:shd w:val="clear" w:color="auto" w:fill="D2D2D2"/>
          </w:tcPr>
          <w:p>
            <w:pPr/>
          </w:p>
        </w:tc>
        <w:tc>
          <w:tcPr>
            <w:tcW w:w="722"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396" w:hRule="exact"/>
        </w:trPr>
        <w:tc>
          <w:tcPr>
            <w:tcW w:w="72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8852"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22" w:right="0"/>
              <w:jc w:val="left"/>
              <w:rPr>
                <w:rFonts w:ascii="宋体" w:hAnsi="宋体" w:cs="宋体" w:eastAsia="宋体" w:hint="default"/>
                <w:sz w:val="18"/>
                <w:szCs w:val="18"/>
              </w:rPr>
            </w:pPr>
            <w:r>
              <w:rPr>
                <w:rFonts w:ascii="宋体" w:hAnsi="宋体" w:cs="宋体" w:eastAsia="宋体" w:hint="default"/>
                <w:sz w:val="18"/>
                <w:szCs w:val="18"/>
              </w:rPr>
              <w:t>超募资金投向</w:t>
            </w:r>
          </w:p>
        </w:tc>
      </w:tr>
      <w:tr>
        <w:trPr>
          <w:trHeight w:val="674" w:hRule="exact"/>
        </w:trPr>
        <w:tc>
          <w:tcPr>
            <w:tcW w:w="1635" w:type="dxa"/>
            <w:gridSpan w:val="2"/>
            <w:tcBorders>
              <w:top w:val="single" w:sz="4" w:space="0" w:color="000000"/>
              <w:left w:val="single" w:sz="4" w:space="0" w:color="000000"/>
              <w:bottom w:val="single" w:sz="4" w:space="0" w:color="000000"/>
              <w:right w:val="single" w:sz="4" w:space="0" w:color="000000"/>
            </w:tcBorders>
          </w:tcPr>
          <w:p>
            <w:pPr>
              <w:pStyle w:val="TableParagraph"/>
              <w:spacing w:line="300" w:lineRule="auto" w:before="52"/>
              <w:ind w:left="22" w:right="55"/>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支付收购上海树 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100%</w:t>
            </w:r>
            <w:r>
              <w:rPr>
                <w:rFonts w:ascii="宋体" w:hAnsi="宋体" w:cs="宋体" w:eastAsia="宋体" w:hint="default"/>
                <w:sz w:val="18"/>
                <w:szCs w:val="18"/>
              </w:rPr>
              <w:t>股权部分现</w:t>
            </w:r>
          </w:p>
        </w:tc>
        <w:tc>
          <w:tcPr>
            <w:tcW w:w="721" w:type="dxa"/>
            <w:tcBorders>
              <w:top w:val="single" w:sz="4" w:space="0" w:color="000000"/>
              <w:left w:val="single" w:sz="4" w:space="0" w:color="000000"/>
              <w:bottom w:val="single" w:sz="4" w:space="0" w:color="000000"/>
              <w:right w:val="single" w:sz="4" w:space="0" w:color="000000"/>
            </w:tcBorders>
          </w:tcPr>
          <w:p>
            <w:pP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5,283.45</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5,283.45</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5,344.44</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101.15%</w:t>
            </w:r>
          </w:p>
        </w:tc>
        <w:tc>
          <w:tcPr>
            <w:tcW w:w="721" w:type="dxa"/>
            <w:tcBorders>
              <w:top w:val="single" w:sz="4" w:space="0" w:color="000000"/>
              <w:left w:val="single" w:sz="4" w:space="0" w:color="000000"/>
              <w:bottom w:val="single" w:sz="4" w:space="0" w:color="000000"/>
              <w:right w:val="single" w:sz="4" w:space="0" w:color="000000"/>
            </w:tcBorders>
          </w:tcPr>
          <w:p>
            <w:pPr/>
          </w:p>
        </w:tc>
        <w:tc>
          <w:tcPr>
            <w:tcW w:w="723" w:type="dxa"/>
            <w:tcBorders>
              <w:top w:val="single" w:sz="4" w:space="0" w:color="000000"/>
              <w:left w:val="single" w:sz="4" w:space="0" w:color="000000"/>
              <w:bottom w:val="single" w:sz="4" w:space="0" w:color="000000"/>
              <w:right w:val="single" w:sz="4" w:space="0" w:color="000000"/>
            </w:tcBorders>
          </w:tcPr>
          <w:p>
            <w:pPr/>
          </w:p>
        </w:tc>
        <w:tc>
          <w:tcPr>
            <w:tcW w:w="722" w:type="dxa"/>
            <w:tcBorders>
              <w:top w:val="single" w:sz="4" w:space="0" w:color="000000"/>
              <w:left w:val="single" w:sz="4" w:space="0" w:color="000000"/>
              <w:bottom w:val="single" w:sz="4" w:space="0" w:color="000000"/>
              <w:right w:val="single" w:sz="4" w:space="0" w:color="000000"/>
            </w:tcBorders>
          </w:tcPr>
          <w:p>
            <w:pP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不适用</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spacing w:after="0" w:line="240" w:lineRule="auto"/>
        <w:jc w:val="left"/>
        <w:rPr>
          <w:rFonts w:ascii="宋体" w:hAnsi="宋体" w:cs="宋体" w:eastAsia="宋体" w:hint="default"/>
          <w:sz w:val="18"/>
          <w:szCs w:val="18"/>
        </w:rPr>
        <w:sectPr>
          <w:pgSz w:w="11910" w:h="16840"/>
          <w:pgMar w:header="877" w:footer="979" w:top="1100" w:bottom="1160" w:left="980" w:right="0"/>
        </w:sectPr>
      </w:pPr>
    </w:p>
    <w:p>
      <w:pPr>
        <w:spacing w:line="240" w:lineRule="auto" w:before="10"/>
        <w:rPr>
          <w:rFonts w:ascii="Times New Roman" w:hAnsi="Times New Roman" w:cs="Times New Roman" w:eastAsia="Times New Roman" w:hint="default"/>
          <w:sz w:val="27"/>
          <w:szCs w:val="27"/>
        </w:rPr>
      </w:pPr>
    </w:p>
    <w:tbl>
      <w:tblPr>
        <w:tblW w:w="0" w:type="auto"/>
        <w:jc w:val="left"/>
        <w:tblInd w:w="149" w:type="dxa"/>
        <w:tblLayout w:type="fixed"/>
        <w:tblCellMar>
          <w:top w:w="0" w:type="dxa"/>
          <w:left w:w="0" w:type="dxa"/>
          <w:bottom w:w="0" w:type="dxa"/>
          <w:right w:w="0" w:type="dxa"/>
        </w:tblCellMar>
        <w:tblLook w:val="01E0"/>
      </w:tblPr>
      <w:tblGrid>
        <w:gridCol w:w="1635"/>
        <w:gridCol w:w="721"/>
        <w:gridCol w:w="721"/>
        <w:gridCol w:w="722"/>
        <w:gridCol w:w="720"/>
        <w:gridCol w:w="722"/>
        <w:gridCol w:w="721"/>
        <w:gridCol w:w="721"/>
        <w:gridCol w:w="723"/>
        <w:gridCol w:w="722"/>
        <w:gridCol w:w="721"/>
        <w:gridCol w:w="722"/>
      </w:tblGrid>
      <w:tr>
        <w:trPr>
          <w:trHeight w:val="362" w:hRule="exact"/>
        </w:trPr>
        <w:tc>
          <w:tcPr>
            <w:tcW w:w="16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金对价</w:t>
            </w:r>
          </w:p>
        </w:tc>
        <w:tc>
          <w:tcPr>
            <w:tcW w:w="721" w:type="dxa"/>
            <w:tcBorders>
              <w:top w:val="single" w:sz="4" w:space="0" w:color="000000"/>
              <w:left w:val="single" w:sz="4" w:space="0" w:color="000000"/>
              <w:bottom w:val="single" w:sz="4" w:space="0" w:color="000000"/>
              <w:right w:val="single" w:sz="4" w:space="0" w:color="000000"/>
            </w:tcBorders>
          </w:tcPr>
          <w:p>
            <w:pPr/>
          </w:p>
        </w:tc>
        <w:tc>
          <w:tcPr>
            <w:tcW w:w="721" w:type="dxa"/>
            <w:tcBorders>
              <w:top w:val="single" w:sz="4" w:space="0" w:color="000000"/>
              <w:left w:val="single" w:sz="4" w:space="0" w:color="000000"/>
              <w:bottom w:val="single" w:sz="4" w:space="0" w:color="000000"/>
              <w:right w:val="single" w:sz="4" w:space="0" w:color="000000"/>
            </w:tcBorders>
          </w:tcPr>
          <w:p>
            <w:pPr/>
          </w:p>
        </w:tc>
        <w:tc>
          <w:tcPr>
            <w:tcW w:w="722"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722" w:type="dxa"/>
            <w:tcBorders>
              <w:top w:val="single" w:sz="4" w:space="0" w:color="000000"/>
              <w:left w:val="single" w:sz="4" w:space="0" w:color="000000"/>
              <w:bottom w:val="single" w:sz="4" w:space="0" w:color="000000"/>
              <w:right w:val="single" w:sz="4" w:space="0" w:color="000000"/>
            </w:tcBorders>
          </w:tcPr>
          <w:p>
            <w:pPr/>
          </w:p>
        </w:tc>
        <w:tc>
          <w:tcPr>
            <w:tcW w:w="721" w:type="dxa"/>
            <w:tcBorders>
              <w:top w:val="single" w:sz="4" w:space="0" w:color="000000"/>
              <w:left w:val="single" w:sz="4" w:space="0" w:color="000000"/>
              <w:bottom w:val="single" w:sz="4" w:space="0" w:color="000000"/>
              <w:right w:val="single" w:sz="4" w:space="0" w:color="000000"/>
            </w:tcBorders>
          </w:tcPr>
          <w:p>
            <w:pPr/>
          </w:p>
        </w:tc>
        <w:tc>
          <w:tcPr>
            <w:tcW w:w="721" w:type="dxa"/>
            <w:tcBorders>
              <w:top w:val="single" w:sz="4" w:space="0" w:color="000000"/>
              <w:left w:val="single" w:sz="4" w:space="0" w:color="000000"/>
              <w:bottom w:val="single" w:sz="4" w:space="0" w:color="000000"/>
              <w:right w:val="single" w:sz="4" w:space="0" w:color="000000"/>
            </w:tcBorders>
          </w:tcPr>
          <w:p>
            <w:pPr/>
          </w:p>
        </w:tc>
        <w:tc>
          <w:tcPr>
            <w:tcW w:w="723" w:type="dxa"/>
            <w:tcBorders>
              <w:top w:val="single" w:sz="4" w:space="0" w:color="000000"/>
              <w:left w:val="single" w:sz="4" w:space="0" w:color="000000"/>
              <w:bottom w:val="single" w:sz="4" w:space="0" w:color="000000"/>
              <w:right w:val="single" w:sz="4" w:space="0" w:color="000000"/>
            </w:tcBorders>
          </w:tcPr>
          <w:p>
            <w:pPr/>
          </w:p>
        </w:tc>
        <w:tc>
          <w:tcPr>
            <w:tcW w:w="722" w:type="dxa"/>
            <w:tcBorders>
              <w:top w:val="single" w:sz="4" w:space="0" w:color="000000"/>
              <w:left w:val="single" w:sz="4" w:space="0" w:color="000000"/>
              <w:bottom w:val="single" w:sz="4" w:space="0" w:color="000000"/>
              <w:right w:val="single" w:sz="4" w:space="0" w:color="000000"/>
            </w:tcBorders>
          </w:tcPr>
          <w:p>
            <w:pPr/>
          </w:p>
        </w:tc>
        <w:tc>
          <w:tcPr>
            <w:tcW w:w="721" w:type="dxa"/>
            <w:tcBorders>
              <w:top w:val="single" w:sz="4" w:space="0" w:color="000000"/>
              <w:left w:val="single" w:sz="4" w:space="0" w:color="000000"/>
              <w:bottom w:val="single" w:sz="4" w:space="0" w:color="000000"/>
              <w:right w:val="single" w:sz="4" w:space="0" w:color="000000"/>
            </w:tcBorders>
          </w:tcPr>
          <w:p>
            <w:pPr/>
          </w:p>
        </w:tc>
        <w:tc>
          <w:tcPr>
            <w:tcW w:w="722" w:type="dxa"/>
            <w:tcBorders>
              <w:top w:val="single" w:sz="4" w:space="0" w:color="000000"/>
              <w:left w:val="single" w:sz="4" w:space="0" w:color="000000"/>
              <w:bottom w:val="single" w:sz="4" w:space="0" w:color="000000"/>
              <w:right w:val="single" w:sz="4" w:space="0" w:color="000000"/>
            </w:tcBorders>
          </w:tcPr>
          <w:p>
            <w:pPr/>
          </w:p>
        </w:tc>
      </w:tr>
      <w:tr>
        <w:trPr>
          <w:trHeight w:val="161" w:hRule="exact"/>
        </w:trPr>
        <w:tc>
          <w:tcPr>
            <w:tcW w:w="1635"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1"/>
              <w:ind w:left="22" w:right="160"/>
              <w:jc w:val="left"/>
              <w:rPr>
                <w:rFonts w:ascii="宋体" w:hAnsi="宋体" w:cs="宋体" w:eastAsia="宋体" w:hint="default"/>
                <w:sz w:val="18"/>
                <w:szCs w:val="18"/>
              </w:rPr>
            </w:pPr>
            <w:r>
              <w:rPr>
                <w:rFonts w:ascii="宋体" w:hAnsi="宋体" w:cs="宋体" w:eastAsia="宋体" w:hint="default"/>
                <w:sz w:val="18"/>
                <w:szCs w:val="18"/>
              </w:rPr>
              <w:t>归还银行贷款（如 有）</w:t>
            </w:r>
          </w:p>
        </w:tc>
        <w:tc>
          <w:tcPr>
            <w:tcW w:w="72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w:t>
            </w:r>
          </w:p>
        </w:tc>
        <w:tc>
          <w:tcPr>
            <w:tcW w:w="721" w:type="dxa"/>
            <w:vMerge w:val="restart"/>
            <w:tcBorders>
              <w:top w:val="single" w:sz="4" w:space="0" w:color="000000"/>
              <w:left w:val="single" w:sz="4" w:space="0" w:color="000000"/>
              <w:right w:val="single" w:sz="4" w:space="0" w:color="000000"/>
            </w:tcBorders>
          </w:tcPr>
          <w:p>
            <w:pPr/>
          </w:p>
        </w:tc>
        <w:tc>
          <w:tcPr>
            <w:tcW w:w="722" w:type="dxa"/>
            <w:vMerge w:val="restart"/>
            <w:tcBorders>
              <w:top w:val="single" w:sz="4" w:space="0" w:color="000000"/>
              <w:left w:val="single" w:sz="4" w:space="0" w:color="000000"/>
              <w:right w:val="single" w:sz="4" w:space="0" w:color="000000"/>
            </w:tcBorders>
          </w:tcPr>
          <w:p>
            <w:pPr/>
          </w:p>
        </w:tc>
        <w:tc>
          <w:tcPr>
            <w:tcW w:w="720" w:type="dxa"/>
            <w:vMerge w:val="restart"/>
            <w:tcBorders>
              <w:top w:val="single" w:sz="4" w:space="0" w:color="000000"/>
              <w:left w:val="single" w:sz="4" w:space="0" w:color="000000"/>
              <w:right w:val="single" w:sz="4" w:space="0" w:color="000000"/>
            </w:tcBorders>
          </w:tcPr>
          <w:p>
            <w:pPr/>
          </w:p>
        </w:tc>
        <w:tc>
          <w:tcPr>
            <w:tcW w:w="722"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284" w:right="0"/>
              <w:jc w:val="left"/>
              <w:rPr>
                <w:rFonts w:ascii="Times New Roman" w:hAnsi="Times New Roman" w:cs="Times New Roman" w:eastAsia="Times New Roman" w:hint="default"/>
                <w:sz w:val="18"/>
                <w:szCs w:val="18"/>
              </w:rPr>
            </w:pPr>
            <w:r>
              <w:rPr>
                <w:rFonts w:ascii="Times New Roman"/>
                <w:sz w:val="18"/>
              </w:rPr>
              <w:t>2,500</w:t>
            </w:r>
          </w:p>
        </w:tc>
        <w:tc>
          <w:tcPr>
            <w:tcW w:w="721" w:type="dxa"/>
            <w:vMerge w:val="restart"/>
            <w:tcBorders>
              <w:top w:val="single" w:sz="4" w:space="0" w:color="000000"/>
              <w:left w:val="single" w:sz="4" w:space="0" w:color="000000"/>
              <w:right w:val="single" w:sz="9" w:space="0" w:color="D2D2D2"/>
            </w:tcBorders>
          </w:tcPr>
          <w:p>
            <w:pPr/>
          </w:p>
        </w:tc>
        <w:tc>
          <w:tcPr>
            <w:tcW w:w="721" w:type="dxa"/>
            <w:tcBorders>
              <w:top w:val="single" w:sz="4" w:space="0" w:color="000000"/>
              <w:left w:val="single" w:sz="4" w:space="0" w:color="000000"/>
              <w:bottom w:val="nil" w:sz="6" w:space="0" w:color="auto"/>
              <w:right w:val="single" w:sz="4" w:space="0" w:color="000000"/>
            </w:tcBorders>
            <w:shd w:val="clear" w:color="auto" w:fill="D2D2D2"/>
          </w:tcPr>
          <w:p>
            <w:pPr/>
          </w:p>
        </w:tc>
        <w:tc>
          <w:tcPr>
            <w:tcW w:w="723" w:type="dxa"/>
            <w:tcBorders>
              <w:top w:val="single" w:sz="4" w:space="0" w:color="000000"/>
              <w:left w:val="single" w:sz="4" w:space="0" w:color="000000"/>
              <w:bottom w:val="nil" w:sz="6" w:space="0" w:color="auto"/>
              <w:right w:val="single" w:sz="4" w:space="0" w:color="000000"/>
            </w:tcBorders>
            <w:shd w:val="clear" w:color="auto" w:fill="D2D2D2"/>
          </w:tcPr>
          <w:p>
            <w:pPr/>
          </w:p>
        </w:tc>
        <w:tc>
          <w:tcPr>
            <w:tcW w:w="722" w:type="dxa"/>
            <w:tcBorders>
              <w:top w:val="single" w:sz="4" w:space="0" w:color="000000"/>
              <w:left w:val="single" w:sz="4" w:space="0" w:color="000000"/>
              <w:bottom w:val="nil" w:sz="6" w:space="0" w:color="auto"/>
              <w:right w:val="single" w:sz="4" w:space="0" w:color="000000"/>
            </w:tcBorders>
            <w:shd w:val="clear" w:color="auto" w:fill="D2D2D2"/>
          </w:tcPr>
          <w:p>
            <w:pPr/>
          </w:p>
        </w:tc>
        <w:tc>
          <w:tcPr>
            <w:tcW w:w="721" w:type="dxa"/>
            <w:tcBorders>
              <w:top w:val="single" w:sz="4" w:space="0" w:color="000000"/>
              <w:left w:val="single" w:sz="4" w:space="0" w:color="000000"/>
              <w:bottom w:val="nil" w:sz="6" w:space="0" w:color="auto"/>
              <w:right w:val="single" w:sz="4" w:space="0" w:color="000000"/>
            </w:tcBorders>
            <w:shd w:val="clear" w:color="auto" w:fill="D2D2D2"/>
          </w:tcPr>
          <w:p>
            <w:pPr/>
          </w:p>
        </w:tc>
        <w:tc>
          <w:tcPr>
            <w:tcW w:w="722"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392" w:hRule="exact"/>
        </w:trPr>
        <w:tc>
          <w:tcPr>
            <w:tcW w:w="1635" w:type="dxa"/>
            <w:vMerge/>
            <w:tcBorders>
              <w:left w:val="single" w:sz="4" w:space="0" w:color="000000"/>
              <w:right w:val="single" w:sz="4" w:space="0" w:color="000000"/>
            </w:tcBorders>
            <w:shd w:val="clear" w:color="auto" w:fill="D2D2D2"/>
          </w:tcPr>
          <w:p>
            <w:pPr/>
          </w:p>
        </w:tc>
        <w:tc>
          <w:tcPr>
            <w:tcW w:w="721" w:type="dxa"/>
            <w:vMerge/>
            <w:tcBorders>
              <w:left w:val="single" w:sz="4" w:space="0" w:color="000000"/>
              <w:right w:val="single" w:sz="4" w:space="0" w:color="000000"/>
            </w:tcBorders>
            <w:shd w:val="clear" w:color="auto" w:fill="D2D2D2"/>
          </w:tcPr>
          <w:p>
            <w:pPr/>
          </w:p>
        </w:tc>
        <w:tc>
          <w:tcPr>
            <w:tcW w:w="721" w:type="dxa"/>
            <w:vMerge/>
            <w:tcBorders>
              <w:left w:val="single" w:sz="4" w:space="0" w:color="000000"/>
              <w:right w:val="single" w:sz="4" w:space="0" w:color="000000"/>
            </w:tcBorders>
          </w:tcPr>
          <w:p>
            <w:pPr/>
          </w:p>
        </w:tc>
        <w:tc>
          <w:tcPr>
            <w:tcW w:w="722" w:type="dxa"/>
            <w:vMerge/>
            <w:tcBorders>
              <w:left w:val="single" w:sz="4" w:space="0" w:color="000000"/>
              <w:right w:val="single" w:sz="4" w:space="0" w:color="000000"/>
            </w:tcBorders>
          </w:tcPr>
          <w:p>
            <w:pPr/>
          </w:p>
        </w:tc>
        <w:tc>
          <w:tcPr>
            <w:tcW w:w="720" w:type="dxa"/>
            <w:vMerge/>
            <w:tcBorders>
              <w:left w:val="single" w:sz="4" w:space="0" w:color="000000"/>
              <w:right w:val="single" w:sz="4" w:space="0" w:color="000000"/>
            </w:tcBorders>
          </w:tcPr>
          <w:p>
            <w:pPr/>
          </w:p>
        </w:tc>
        <w:tc>
          <w:tcPr>
            <w:tcW w:w="722" w:type="dxa"/>
            <w:vMerge/>
            <w:tcBorders>
              <w:left w:val="single" w:sz="4" w:space="0" w:color="000000"/>
              <w:right w:val="single" w:sz="4" w:space="0" w:color="000000"/>
            </w:tcBorders>
          </w:tcPr>
          <w:p>
            <w:pPr/>
          </w:p>
        </w:tc>
        <w:tc>
          <w:tcPr>
            <w:tcW w:w="721" w:type="dxa"/>
            <w:vMerge/>
            <w:tcBorders>
              <w:left w:val="single" w:sz="4" w:space="0" w:color="000000"/>
              <w:right w:val="single" w:sz="9" w:space="0" w:color="D2D2D2"/>
            </w:tcBorders>
          </w:tcPr>
          <w:p>
            <w:pPr/>
          </w:p>
        </w:tc>
        <w:tc>
          <w:tcPr>
            <w:tcW w:w="72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left="296" w:right="0"/>
              <w:jc w:val="left"/>
              <w:rPr>
                <w:rFonts w:ascii="Times New Roman" w:hAnsi="Times New Roman" w:cs="Times New Roman" w:eastAsia="Times New Roman" w:hint="default"/>
                <w:sz w:val="18"/>
                <w:szCs w:val="18"/>
              </w:rPr>
            </w:pPr>
            <w:r>
              <w:rPr>
                <w:rFonts w:ascii="Times New Roman"/>
                <w:sz w:val="18"/>
              </w:rPr>
              <w:t>--</w:t>
            </w:r>
          </w:p>
        </w:tc>
        <w:tc>
          <w:tcPr>
            <w:tcW w:w="72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left="295" w:right="0"/>
              <w:jc w:val="left"/>
              <w:rPr>
                <w:rFonts w:ascii="Times New Roman" w:hAnsi="Times New Roman" w:cs="Times New Roman" w:eastAsia="Times New Roman" w:hint="default"/>
                <w:sz w:val="18"/>
                <w:szCs w:val="18"/>
              </w:rPr>
            </w:pPr>
            <w:r>
              <w:rPr>
                <w:rFonts w:ascii="Times New Roman"/>
                <w:sz w:val="18"/>
              </w:rPr>
              <w:t>--</w:t>
            </w:r>
          </w:p>
        </w:tc>
        <w:tc>
          <w:tcPr>
            <w:tcW w:w="72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72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72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r>
        <w:trPr>
          <w:trHeight w:val="161" w:hRule="exact"/>
        </w:trPr>
        <w:tc>
          <w:tcPr>
            <w:tcW w:w="1635" w:type="dxa"/>
            <w:vMerge/>
            <w:tcBorders>
              <w:left w:val="single" w:sz="4" w:space="0" w:color="000000"/>
              <w:bottom w:val="single" w:sz="4" w:space="0" w:color="000000"/>
              <w:right w:val="single" w:sz="4" w:space="0" w:color="000000"/>
            </w:tcBorders>
            <w:shd w:val="clear" w:color="auto" w:fill="D2D2D2"/>
          </w:tcPr>
          <w:p>
            <w:pPr/>
          </w:p>
        </w:tc>
        <w:tc>
          <w:tcPr>
            <w:tcW w:w="721" w:type="dxa"/>
            <w:vMerge/>
            <w:tcBorders>
              <w:left w:val="single" w:sz="4" w:space="0" w:color="000000"/>
              <w:bottom w:val="single" w:sz="4" w:space="0" w:color="000000"/>
              <w:right w:val="single" w:sz="4" w:space="0" w:color="000000"/>
            </w:tcBorders>
            <w:shd w:val="clear" w:color="auto" w:fill="D2D2D2"/>
          </w:tcPr>
          <w:p>
            <w:pPr/>
          </w:p>
        </w:tc>
        <w:tc>
          <w:tcPr>
            <w:tcW w:w="721" w:type="dxa"/>
            <w:vMerge/>
            <w:tcBorders>
              <w:left w:val="single" w:sz="4" w:space="0" w:color="000000"/>
              <w:bottom w:val="single" w:sz="4" w:space="0" w:color="000000"/>
              <w:right w:val="single" w:sz="4" w:space="0" w:color="000000"/>
            </w:tcBorders>
          </w:tcPr>
          <w:p>
            <w:pPr/>
          </w:p>
        </w:tc>
        <w:tc>
          <w:tcPr>
            <w:tcW w:w="722" w:type="dxa"/>
            <w:vMerge/>
            <w:tcBorders>
              <w:left w:val="single" w:sz="4" w:space="0" w:color="000000"/>
              <w:bottom w:val="single" w:sz="4" w:space="0" w:color="000000"/>
              <w:right w:val="single" w:sz="4" w:space="0" w:color="000000"/>
            </w:tcBorders>
          </w:tcPr>
          <w:p>
            <w:pPr/>
          </w:p>
        </w:tc>
        <w:tc>
          <w:tcPr>
            <w:tcW w:w="720" w:type="dxa"/>
            <w:vMerge/>
            <w:tcBorders>
              <w:left w:val="single" w:sz="4" w:space="0" w:color="000000"/>
              <w:bottom w:val="single" w:sz="4" w:space="0" w:color="000000"/>
              <w:right w:val="single" w:sz="4" w:space="0" w:color="000000"/>
            </w:tcBorders>
          </w:tcPr>
          <w:p>
            <w:pPr/>
          </w:p>
        </w:tc>
        <w:tc>
          <w:tcPr>
            <w:tcW w:w="722" w:type="dxa"/>
            <w:vMerge/>
            <w:tcBorders>
              <w:left w:val="single" w:sz="4" w:space="0" w:color="000000"/>
              <w:bottom w:val="single" w:sz="4" w:space="0" w:color="000000"/>
              <w:right w:val="single" w:sz="4" w:space="0" w:color="000000"/>
            </w:tcBorders>
          </w:tcPr>
          <w:p>
            <w:pPr/>
          </w:p>
        </w:tc>
        <w:tc>
          <w:tcPr>
            <w:tcW w:w="721" w:type="dxa"/>
            <w:vMerge/>
            <w:tcBorders>
              <w:left w:val="single" w:sz="4" w:space="0" w:color="000000"/>
              <w:bottom w:val="single" w:sz="4" w:space="0" w:color="000000"/>
              <w:right w:val="single" w:sz="9" w:space="0" w:color="D2D2D2"/>
            </w:tcBorders>
          </w:tcPr>
          <w:p>
            <w:pPr/>
          </w:p>
        </w:tc>
        <w:tc>
          <w:tcPr>
            <w:tcW w:w="721" w:type="dxa"/>
            <w:tcBorders>
              <w:top w:val="nil" w:sz="6" w:space="0" w:color="auto"/>
              <w:left w:val="single" w:sz="4" w:space="0" w:color="000000"/>
              <w:bottom w:val="single" w:sz="4" w:space="0" w:color="000000"/>
              <w:right w:val="single" w:sz="4" w:space="0" w:color="000000"/>
            </w:tcBorders>
            <w:shd w:val="clear" w:color="auto" w:fill="D2D2D2"/>
          </w:tcPr>
          <w:p>
            <w:pPr/>
          </w:p>
        </w:tc>
        <w:tc>
          <w:tcPr>
            <w:tcW w:w="723" w:type="dxa"/>
            <w:tcBorders>
              <w:top w:val="nil" w:sz="6" w:space="0" w:color="auto"/>
              <w:left w:val="single" w:sz="4" w:space="0" w:color="000000"/>
              <w:bottom w:val="single" w:sz="4" w:space="0" w:color="000000"/>
              <w:right w:val="single" w:sz="4" w:space="0" w:color="000000"/>
            </w:tcBorders>
            <w:shd w:val="clear" w:color="auto" w:fill="D2D2D2"/>
          </w:tcPr>
          <w:p>
            <w:pPr/>
          </w:p>
        </w:tc>
        <w:tc>
          <w:tcPr>
            <w:tcW w:w="722" w:type="dxa"/>
            <w:tcBorders>
              <w:top w:val="nil" w:sz="6" w:space="0" w:color="auto"/>
              <w:left w:val="single" w:sz="4" w:space="0" w:color="000000"/>
              <w:bottom w:val="single" w:sz="4" w:space="0" w:color="000000"/>
              <w:right w:val="single" w:sz="4" w:space="0" w:color="000000"/>
            </w:tcBorders>
            <w:shd w:val="clear" w:color="auto" w:fill="D2D2D2"/>
          </w:tcPr>
          <w:p>
            <w:pPr/>
          </w:p>
        </w:tc>
        <w:tc>
          <w:tcPr>
            <w:tcW w:w="721" w:type="dxa"/>
            <w:tcBorders>
              <w:top w:val="nil" w:sz="6" w:space="0" w:color="auto"/>
              <w:left w:val="single" w:sz="4" w:space="0" w:color="000000"/>
              <w:bottom w:val="single" w:sz="4" w:space="0" w:color="000000"/>
              <w:right w:val="single" w:sz="4" w:space="0" w:color="000000"/>
            </w:tcBorders>
            <w:shd w:val="clear" w:color="auto" w:fill="D2D2D2"/>
          </w:tcPr>
          <w:p>
            <w:pPr/>
          </w:p>
        </w:tc>
        <w:tc>
          <w:tcPr>
            <w:tcW w:w="722"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161" w:hRule="exact"/>
        </w:trPr>
        <w:tc>
          <w:tcPr>
            <w:tcW w:w="1635"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51"/>
              <w:ind w:left="22" w:right="160"/>
              <w:jc w:val="left"/>
              <w:rPr>
                <w:rFonts w:ascii="宋体" w:hAnsi="宋体" w:cs="宋体" w:eastAsia="宋体" w:hint="default"/>
                <w:sz w:val="18"/>
                <w:szCs w:val="18"/>
              </w:rPr>
            </w:pPr>
            <w:r>
              <w:rPr>
                <w:rFonts w:ascii="宋体" w:hAnsi="宋体" w:cs="宋体" w:eastAsia="宋体" w:hint="default"/>
                <w:sz w:val="18"/>
                <w:szCs w:val="18"/>
              </w:rPr>
              <w:t>补充流动资金（如 有）</w:t>
            </w:r>
          </w:p>
        </w:tc>
        <w:tc>
          <w:tcPr>
            <w:tcW w:w="72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w:t>
            </w:r>
          </w:p>
        </w:tc>
        <w:tc>
          <w:tcPr>
            <w:tcW w:w="721" w:type="dxa"/>
            <w:vMerge w:val="restart"/>
            <w:tcBorders>
              <w:top w:val="single" w:sz="4" w:space="0" w:color="000000"/>
              <w:left w:val="single" w:sz="4" w:space="0" w:color="000000"/>
              <w:right w:val="single" w:sz="4" w:space="0" w:color="000000"/>
            </w:tcBorders>
          </w:tcPr>
          <w:p>
            <w:pPr/>
          </w:p>
        </w:tc>
        <w:tc>
          <w:tcPr>
            <w:tcW w:w="722" w:type="dxa"/>
            <w:vMerge w:val="restart"/>
            <w:tcBorders>
              <w:top w:val="single" w:sz="4" w:space="0" w:color="000000"/>
              <w:left w:val="single" w:sz="4" w:space="0" w:color="000000"/>
              <w:right w:val="single" w:sz="4" w:space="0" w:color="000000"/>
            </w:tcBorders>
          </w:tcPr>
          <w:p>
            <w:pPr/>
          </w:p>
        </w:tc>
        <w:tc>
          <w:tcPr>
            <w:tcW w:w="720" w:type="dxa"/>
            <w:vMerge w:val="restart"/>
            <w:tcBorders>
              <w:top w:val="single" w:sz="4" w:space="0" w:color="000000"/>
              <w:left w:val="single" w:sz="4" w:space="0" w:color="000000"/>
              <w:right w:val="single" w:sz="4" w:space="0" w:color="000000"/>
            </w:tcBorders>
          </w:tcPr>
          <w:p>
            <w:pPr/>
          </w:p>
        </w:tc>
        <w:tc>
          <w:tcPr>
            <w:tcW w:w="722"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284" w:right="0"/>
              <w:jc w:val="left"/>
              <w:rPr>
                <w:rFonts w:ascii="Times New Roman" w:hAnsi="Times New Roman" w:cs="Times New Roman" w:eastAsia="Times New Roman" w:hint="default"/>
                <w:sz w:val="18"/>
                <w:szCs w:val="18"/>
              </w:rPr>
            </w:pPr>
            <w:r>
              <w:rPr>
                <w:rFonts w:ascii="Times New Roman"/>
                <w:sz w:val="18"/>
              </w:rPr>
              <w:t>7,000</w:t>
            </w:r>
          </w:p>
        </w:tc>
        <w:tc>
          <w:tcPr>
            <w:tcW w:w="721" w:type="dxa"/>
            <w:vMerge w:val="restart"/>
            <w:tcBorders>
              <w:top w:val="single" w:sz="4" w:space="0" w:color="000000"/>
              <w:left w:val="single" w:sz="4" w:space="0" w:color="000000"/>
              <w:right w:val="single" w:sz="9" w:space="0" w:color="D2D2D2"/>
            </w:tcBorders>
          </w:tcPr>
          <w:p>
            <w:pPr/>
          </w:p>
        </w:tc>
        <w:tc>
          <w:tcPr>
            <w:tcW w:w="721" w:type="dxa"/>
            <w:tcBorders>
              <w:top w:val="single" w:sz="4" w:space="0" w:color="000000"/>
              <w:left w:val="single" w:sz="4" w:space="0" w:color="000000"/>
              <w:bottom w:val="nil" w:sz="6" w:space="0" w:color="auto"/>
              <w:right w:val="single" w:sz="4" w:space="0" w:color="000000"/>
            </w:tcBorders>
            <w:shd w:val="clear" w:color="auto" w:fill="D2D2D2"/>
          </w:tcPr>
          <w:p>
            <w:pPr/>
          </w:p>
        </w:tc>
        <w:tc>
          <w:tcPr>
            <w:tcW w:w="723" w:type="dxa"/>
            <w:tcBorders>
              <w:top w:val="single" w:sz="4" w:space="0" w:color="000000"/>
              <w:left w:val="single" w:sz="4" w:space="0" w:color="000000"/>
              <w:bottom w:val="nil" w:sz="6" w:space="0" w:color="auto"/>
              <w:right w:val="single" w:sz="4" w:space="0" w:color="000000"/>
            </w:tcBorders>
            <w:shd w:val="clear" w:color="auto" w:fill="D2D2D2"/>
          </w:tcPr>
          <w:p>
            <w:pPr/>
          </w:p>
        </w:tc>
        <w:tc>
          <w:tcPr>
            <w:tcW w:w="722" w:type="dxa"/>
            <w:tcBorders>
              <w:top w:val="single" w:sz="4" w:space="0" w:color="000000"/>
              <w:left w:val="single" w:sz="4" w:space="0" w:color="000000"/>
              <w:bottom w:val="nil" w:sz="6" w:space="0" w:color="auto"/>
              <w:right w:val="single" w:sz="4" w:space="0" w:color="000000"/>
            </w:tcBorders>
            <w:shd w:val="clear" w:color="auto" w:fill="D2D2D2"/>
          </w:tcPr>
          <w:p>
            <w:pPr/>
          </w:p>
        </w:tc>
        <w:tc>
          <w:tcPr>
            <w:tcW w:w="721" w:type="dxa"/>
            <w:tcBorders>
              <w:top w:val="single" w:sz="4" w:space="0" w:color="000000"/>
              <w:left w:val="single" w:sz="4" w:space="0" w:color="000000"/>
              <w:bottom w:val="nil" w:sz="6" w:space="0" w:color="auto"/>
              <w:right w:val="single" w:sz="4" w:space="0" w:color="000000"/>
            </w:tcBorders>
            <w:shd w:val="clear" w:color="auto" w:fill="D2D2D2"/>
          </w:tcPr>
          <w:p>
            <w:pPr/>
          </w:p>
        </w:tc>
        <w:tc>
          <w:tcPr>
            <w:tcW w:w="722"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393" w:hRule="exact"/>
        </w:trPr>
        <w:tc>
          <w:tcPr>
            <w:tcW w:w="1635" w:type="dxa"/>
            <w:vMerge/>
            <w:tcBorders>
              <w:left w:val="single" w:sz="4" w:space="0" w:color="000000"/>
              <w:right w:val="single" w:sz="4" w:space="0" w:color="000000"/>
            </w:tcBorders>
            <w:shd w:val="clear" w:color="auto" w:fill="D2D2D2"/>
          </w:tcPr>
          <w:p>
            <w:pPr/>
          </w:p>
        </w:tc>
        <w:tc>
          <w:tcPr>
            <w:tcW w:w="721" w:type="dxa"/>
            <w:vMerge/>
            <w:tcBorders>
              <w:left w:val="single" w:sz="4" w:space="0" w:color="000000"/>
              <w:right w:val="single" w:sz="4" w:space="0" w:color="000000"/>
            </w:tcBorders>
            <w:shd w:val="clear" w:color="auto" w:fill="D2D2D2"/>
          </w:tcPr>
          <w:p>
            <w:pPr/>
          </w:p>
        </w:tc>
        <w:tc>
          <w:tcPr>
            <w:tcW w:w="721" w:type="dxa"/>
            <w:vMerge/>
            <w:tcBorders>
              <w:left w:val="single" w:sz="4" w:space="0" w:color="000000"/>
              <w:right w:val="single" w:sz="4" w:space="0" w:color="000000"/>
            </w:tcBorders>
          </w:tcPr>
          <w:p>
            <w:pPr/>
          </w:p>
        </w:tc>
        <w:tc>
          <w:tcPr>
            <w:tcW w:w="722" w:type="dxa"/>
            <w:vMerge/>
            <w:tcBorders>
              <w:left w:val="single" w:sz="4" w:space="0" w:color="000000"/>
              <w:right w:val="single" w:sz="4" w:space="0" w:color="000000"/>
            </w:tcBorders>
          </w:tcPr>
          <w:p>
            <w:pPr/>
          </w:p>
        </w:tc>
        <w:tc>
          <w:tcPr>
            <w:tcW w:w="720" w:type="dxa"/>
            <w:vMerge/>
            <w:tcBorders>
              <w:left w:val="single" w:sz="4" w:space="0" w:color="000000"/>
              <w:right w:val="single" w:sz="4" w:space="0" w:color="000000"/>
            </w:tcBorders>
          </w:tcPr>
          <w:p>
            <w:pPr/>
          </w:p>
        </w:tc>
        <w:tc>
          <w:tcPr>
            <w:tcW w:w="722" w:type="dxa"/>
            <w:vMerge/>
            <w:tcBorders>
              <w:left w:val="single" w:sz="4" w:space="0" w:color="000000"/>
              <w:right w:val="single" w:sz="4" w:space="0" w:color="000000"/>
            </w:tcBorders>
          </w:tcPr>
          <w:p>
            <w:pPr/>
          </w:p>
        </w:tc>
        <w:tc>
          <w:tcPr>
            <w:tcW w:w="721" w:type="dxa"/>
            <w:vMerge/>
            <w:tcBorders>
              <w:left w:val="single" w:sz="4" w:space="0" w:color="000000"/>
              <w:right w:val="single" w:sz="9" w:space="0" w:color="D2D2D2"/>
            </w:tcBorders>
          </w:tcPr>
          <w:p>
            <w:pPr/>
          </w:p>
        </w:tc>
        <w:tc>
          <w:tcPr>
            <w:tcW w:w="72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left="296" w:right="0"/>
              <w:jc w:val="left"/>
              <w:rPr>
                <w:rFonts w:ascii="Times New Roman" w:hAnsi="Times New Roman" w:cs="Times New Roman" w:eastAsia="Times New Roman" w:hint="default"/>
                <w:sz w:val="18"/>
                <w:szCs w:val="18"/>
              </w:rPr>
            </w:pPr>
            <w:r>
              <w:rPr>
                <w:rFonts w:ascii="Times New Roman"/>
                <w:sz w:val="18"/>
              </w:rPr>
              <w:t>--</w:t>
            </w:r>
          </w:p>
        </w:tc>
        <w:tc>
          <w:tcPr>
            <w:tcW w:w="72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left="295" w:right="0"/>
              <w:jc w:val="left"/>
              <w:rPr>
                <w:rFonts w:ascii="Times New Roman" w:hAnsi="Times New Roman" w:cs="Times New Roman" w:eastAsia="Times New Roman" w:hint="default"/>
                <w:sz w:val="18"/>
                <w:szCs w:val="18"/>
              </w:rPr>
            </w:pPr>
            <w:r>
              <w:rPr>
                <w:rFonts w:ascii="Times New Roman"/>
                <w:sz w:val="18"/>
              </w:rPr>
              <w:t>--</w:t>
            </w:r>
          </w:p>
        </w:tc>
        <w:tc>
          <w:tcPr>
            <w:tcW w:w="72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72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72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r>
        <w:trPr>
          <w:trHeight w:val="161" w:hRule="exact"/>
        </w:trPr>
        <w:tc>
          <w:tcPr>
            <w:tcW w:w="1635" w:type="dxa"/>
            <w:vMerge/>
            <w:tcBorders>
              <w:left w:val="single" w:sz="4" w:space="0" w:color="000000"/>
              <w:bottom w:val="single" w:sz="4" w:space="0" w:color="000000"/>
              <w:right w:val="single" w:sz="4" w:space="0" w:color="000000"/>
            </w:tcBorders>
            <w:shd w:val="clear" w:color="auto" w:fill="D2D2D2"/>
          </w:tcPr>
          <w:p>
            <w:pPr/>
          </w:p>
        </w:tc>
        <w:tc>
          <w:tcPr>
            <w:tcW w:w="721" w:type="dxa"/>
            <w:vMerge/>
            <w:tcBorders>
              <w:left w:val="single" w:sz="4" w:space="0" w:color="000000"/>
              <w:bottom w:val="single" w:sz="4" w:space="0" w:color="000000"/>
              <w:right w:val="single" w:sz="4" w:space="0" w:color="000000"/>
            </w:tcBorders>
            <w:shd w:val="clear" w:color="auto" w:fill="D2D2D2"/>
          </w:tcPr>
          <w:p>
            <w:pPr/>
          </w:p>
        </w:tc>
        <w:tc>
          <w:tcPr>
            <w:tcW w:w="721" w:type="dxa"/>
            <w:vMerge/>
            <w:tcBorders>
              <w:left w:val="single" w:sz="4" w:space="0" w:color="000000"/>
              <w:bottom w:val="single" w:sz="4" w:space="0" w:color="000000"/>
              <w:right w:val="single" w:sz="4" w:space="0" w:color="000000"/>
            </w:tcBorders>
          </w:tcPr>
          <w:p>
            <w:pPr/>
          </w:p>
        </w:tc>
        <w:tc>
          <w:tcPr>
            <w:tcW w:w="722" w:type="dxa"/>
            <w:vMerge/>
            <w:tcBorders>
              <w:left w:val="single" w:sz="4" w:space="0" w:color="000000"/>
              <w:bottom w:val="single" w:sz="4" w:space="0" w:color="000000"/>
              <w:right w:val="single" w:sz="4" w:space="0" w:color="000000"/>
            </w:tcBorders>
          </w:tcPr>
          <w:p>
            <w:pPr/>
          </w:p>
        </w:tc>
        <w:tc>
          <w:tcPr>
            <w:tcW w:w="720" w:type="dxa"/>
            <w:vMerge/>
            <w:tcBorders>
              <w:left w:val="single" w:sz="4" w:space="0" w:color="000000"/>
              <w:bottom w:val="single" w:sz="4" w:space="0" w:color="000000"/>
              <w:right w:val="single" w:sz="4" w:space="0" w:color="000000"/>
            </w:tcBorders>
          </w:tcPr>
          <w:p>
            <w:pPr/>
          </w:p>
        </w:tc>
        <w:tc>
          <w:tcPr>
            <w:tcW w:w="722" w:type="dxa"/>
            <w:vMerge/>
            <w:tcBorders>
              <w:left w:val="single" w:sz="4" w:space="0" w:color="000000"/>
              <w:bottom w:val="single" w:sz="4" w:space="0" w:color="000000"/>
              <w:right w:val="single" w:sz="4" w:space="0" w:color="000000"/>
            </w:tcBorders>
          </w:tcPr>
          <w:p>
            <w:pPr/>
          </w:p>
        </w:tc>
        <w:tc>
          <w:tcPr>
            <w:tcW w:w="721" w:type="dxa"/>
            <w:vMerge/>
            <w:tcBorders>
              <w:left w:val="single" w:sz="4" w:space="0" w:color="000000"/>
              <w:bottom w:val="single" w:sz="4" w:space="0" w:color="000000"/>
              <w:right w:val="single" w:sz="9" w:space="0" w:color="D2D2D2"/>
            </w:tcBorders>
          </w:tcPr>
          <w:p>
            <w:pPr/>
          </w:p>
        </w:tc>
        <w:tc>
          <w:tcPr>
            <w:tcW w:w="721" w:type="dxa"/>
            <w:tcBorders>
              <w:top w:val="nil" w:sz="6" w:space="0" w:color="auto"/>
              <w:left w:val="single" w:sz="4" w:space="0" w:color="000000"/>
              <w:bottom w:val="single" w:sz="4" w:space="0" w:color="000000"/>
              <w:right w:val="single" w:sz="4" w:space="0" w:color="000000"/>
            </w:tcBorders>
            <w:shd w:val="clear" w:color="auto" w:fill="D2D2D2"/>
          </w:tcPr>
          <w:p>
            <w:pPr/>
          </w:p>
        </w:tc>
        <w:tc>
          <w:tcPr>
            <w:tcW w:w="723" w:type="dxa"/>
            <w:tcBorders>
              <w:top w:val="nil" w:sz="6" w:space="0" w:color="auto"/>
              <w:left w:val="single" w:sz="4" w:space="0" w:color="000000"/>
              <w:bottom w:val="single" w:sz="4" w:space="0" w:color="000000"/>
              <w:right w:val="single" w:sz="4" w:space="0" w:color="000000"/>
            </w:tcBorders>
            <w:shd w:val="clear" w:color="auto" w:fill="D2D2D2"/>
          </w:tcPr>
          <w:p>
            <w:pPr/>
          </w:p>
        </w:tc>
        <w:tc>
          <w:tcPr>
            <w:tcW w:w="722" w:type="dxa"/>
            <w:tcBorders>
              <w:top w:val="nil" w:sz="6" w:space="0" w:color="auto"/>
              <w:left w:val="single" w:sz="4" w:space="0" w:color="000000"/>
              <w:bottom w:val="single" w:sz="4" w:space="0" w:color="000000"/>
              <w:right w:val="single" w:sz="4" w:space="0" w:color="000000"/>
            </w:tcBorders>
            <w:shd w:val="clear" w:color="auto" w:fill="D2D2D2"/>
          </w:tcPr>
          <w:p>
            <w:pPr/>
          </w:p>
        </w:tc>
        <w:tc>
          <w:tcPr>
            <w:tcW w:w="721" w:type="dxa"/>
            <w:tcBorders>
              <w:top w:val="nil" w:sz="6" w:space="0" w:color="auto"/>
              <w:left w:val="single" w:sz="4" w:space="0" w:color="000000"/>
              <w:bottom w:val="single" w:sz="4" w:space="0" w:color="000000"/>
              <w:right w:val="single" w:sz="4" w:space="0" w:color="000000"/>
            </w:tcBorders>
            <w:shd w:val="clear" w:color="auto" w:fill="D2D2D2"/>
          </w:tcPr>
          <w:p>
            <w:pPr/>
          </w:p>
        </w:tc>
        <w:tc>
          <w:tcPr>
            <w:tcW w:w="722"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161" w:hRule="exact"/>
        </w:trPr>
        <w:tc>
          <w:tcPr>
            <w:tcW w:w="163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超募资金投向小计</w:t>
            </w:r>
          </w:p>
        </w:tc>
        <w:tc>
          <w:tcPr>
            <w:tcW w:w="72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w:t>
            </w:r>
          </w:p>
        </w:tc>
        <w:tc>
          <w:tcPr>
            <w:tcW w:w="721"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58" w:right="0"/>
              <w:jc w:val="left"/>
              <w:rPr>
                <w:rFonts w:ascii="Times New Roman" w:hAnsi="Times New Roman" w:cs="Times New Roman" w:eastAsia="Times New Roman" w:hint="default"/>
                <w:sz w:val="18"/>
                <w:szCs w:val="18"/>
              </w:rPr>
            </w:pPr>
            <w:r>
              <w:rPr>
                <w:rFonts w:ascii="Times New Roman"/>
                <w:sz w:val="18"/>
              </w:rPr>
              <w:t>5,283.45</w:t>
            </w:r>
          </w:p>
        </w:tc>
        <w:tc>
          <w:tcPr>
            <w:tcW w:w="722"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57" w:right="0"/>
              <w:jc w:val="left"/>
              <w:rPr>
                <w:rFonts w:ascii="Times New Roman" w:hAnsi="Times New Roman" w:cs="Times New Roman" w:eastAsia="Times New Roman" w:hint="default"/>
                <w:sz w:val="18"/>
                <w:szCs w:val="18"/>
              </w:rPr>
            </w:pPr>
            <w:r>
              <w:rPr>
                <w:rFonts w:ascii="Times New Roman"/>
                <w:sz w:val="18"/>
              </w:rPr>
              <w:t>5,283.45</w:t>
            </w:r>
          </w:p>
        </w:tc>
        <w:tc>
          <w:tcPr>
            <w:tcW w:w="720" w:type="dxa"/>
            <w:vMerge w:val="restart"/>
            <w:tcBorders>
              <w:top w:val="single" w:sz="4" w:space="0" w:color="000000"/>
              <w:left w:val="single" w:sz="4" w:space="0" w:color="000000"/>
              <w:right w:val="single" w:sz="4" w:space="0" w:color="000000"/>
            </w:tcBorders>
          </w:tcPr>
          <w:p>
            <w:pPr/>
          </w:p>
        </w:tc>
        <w:tc>
          <w:tcPr>
            <w:tcW w:w="722" w:type="dxa"/>
            <w:vMerge w:val="restart"/>
            <w:tcBorders>
              <w:top w:val="single" w:sz="4" w:space="0" w:color="000000"/>
              <w:left w:val="single" w:sz="4" w:space="0" w:color="000000"/>
              <w:right w:val="single" w:sz="9" w:space="0" w:color="D2D2D2"/>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z w:val="18"/>
              </w:rPr>
              <w:t>14,844.4</w:t>
            </w:r>
          </w:p>
          <w:p>
            <w:pPr>
              <w:pStyle w:val="TableParagraph"/>
              <w:spacing w:line="240" w:lineRule="auto" w:before="105"/>
              <w:ind w:right="15"/>
              <w:jc w:val="right"/>
              <w:rPr>
                <w:rFonts w:ascii="Times New Roman" w:hAnsi="Times New Roman" w:cs="Times New Roman" w:eastAsia="Times New Roman" w:hint="default"/>
                <w:sz w:val="18"/>
                <w:szCs w:val="18"/>
              </w:rPr>
            </w:pPr>
            <w:r>
              <w:rPr>
                <w:rFonts w:ascii="Times New Roman"/>
                <w:sz w:val="18"/>
              </w:rPr>
              <w:t>4</w:t>
            </w:r>
          </w:p>
        </w:tc>
        <w:tc>
          <w:tcPr>
            <w:tcW w:w="721" w:type="dxa"/>
            <w:tcBorders>
              <w:top w:val="single" w:sz="4" w:space="0" w:color="000000"/>
              <w:left w:val="single" w:sz="4" w:space="0" w:color="000000"/>
              <w:bottom w:val="nil" w:sz="6" w:space="0" w:color="auto"/>
              <w:right w:val="single" w:sz="4" w:space="0" w:color="000000"/>
            </w:tcBorders>
            <w:shd w:val="clear" w:color="auto" w:fill="D2D2D2"/>
          </w:tcPr>
          <w:p>
            <w:pPr/>
          </w:p>
        </w:tc>
        <w:tc>
          <w:tcPr>
            <w:tcW w:w="721" w:type="dxa"/>
            <w:tcBorders>
              <w:top w:val="single" w:sz="4" w:space="0" w:color="000000"/>
              <w:left w:val="single" w:sz="4" w:space="0" w:color="000000"/>
              <w:bottom w:val="nil" w:sz="6" w:space="0" w:color="auto"/>
              <w:right w:val="single" w:sz="4" w:space="0" w:color="000000"/>
            </w:tcBorders>
            <w:shd w:val="clear" w:color="auto" w:fill="D2D2D2"/>
          </w:tcPr>
          <w:p>
            <w:pPr/>
          </w:p>
        </w:tc>
        <w:tc>
          <w:tcPr>
            <w:tcW w:w="723" w:type="dxa"/>
            <w:vMerge w:val="restart"/>
            <w:tcBorders>
              <w:top w:val="single" w:sz="4" w:space="0" w:color="000000"/>
              <w:left w:val="single" w:sz="9" w:space="0" w:color="D2D2D2"/>
              <w:right w:val="single" w:sz="4" w:space="0" w:color="000000"/>
            </w:tcBorders>
          </w:tcPr>
          <w:p>
            <w:pPr/>
          </w:p>
        </w:tc>
        <w:tc>
          <w:tcPr>
            <w:tcW w:w="722" w:type="dxa"/>
            <w:vMerge w:val="restart"/>
            <w:tcBorders>
              <w:top w:val="single" w:sz="4" w:space="0" w:color="000000"/>
              <w:left w:val="single" w:sz="4" w:space="0" w:color="000000"/>
              <w:right w:val="single" w:sz="9" w:space="0" w:color="D2D2D2"/>
            </w:tcBorders>
          </w:tcPr>
          <w:p>
            <w:pPr/>
          </w:p>
        </w:tc>
        <w:tc>
          <w:tcPr>
            <w:tcW w:w="721" w:type="dxa"/>
            <w:tcBorders>
              <w:top w:val="single" w:sz="4" w:space="0" w:color="000000"/>
              <w:left w:val="single" w:sz="4" w:space="0" w:color="000000"/>
              <w:bottom w:val="nil" w:sz="6" w:space="0" w:color="auto"/>
              <w:right w:val="single" w:sz="4" w:space="0" w:color="000000"/>
            </w:tcBorders>
            <w:shd w:val="clear" w:color="auto" w:fill="D2D2D2"/>
          </w:tcPr>
          <w:p>
            <w:pPr/>
          </w:p>
        </w:tc>
        <w:tc>
          <w:tcPr>
            <w:tcW w:w="722"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392" w:hRule="exact"/>
        </w:trPr>
        <w:tc>
          <w:tcPr>
            <w:tcW w:w="1635" w:type="dxa"/>
            <w:vMerge/>
            <w:tcBorders>
              <w:left w:val="single" w:sz="4" w:space="0" w:color="000000"/>
              <w:right w:val="single" w:sz="4" w:space="0" w:color="000000"/>
            </w:tcBorders>
            <w:shd w:val="clear" w:color="auto" w:fill="D2D2D2"/>
          </w:tcPr>
          <w:p>
            <w:pPr/>
          </w:p>
        </w:tc>
        <w:tc>
          <w:tcPr>
            <w:tcW w:w="721" w:type="dxa"/>
            <w:vMerge/>
            <w:tcBorders>
              <w:left w:val="single" w:sz="4" w:space="0" w:color="000000"/>
              <w:right w:val="single" w:sz="4" w:space="0" w:color="000000"/>
            </w:tcBorders>
            <w:shd w:val="clear" w:color="auto" w:fill="D2D2D2"/>
          </w:tcPr>
          <w:p>
            <w:pPr/>
          </w:p>
        </w:tc>
        <w:tc>
          <w:tcPr>
            <w:tcW w:w="721" w:type="dxa"/>
            <w:vMerge/>
            <w:tcBorders>
              <w:left w:val="single" w:sz="4" w:space="0" w:color="000000"/>
              <w:right w:val="single" w:sz="4" w:space="0" w:color="000000"/>
            </w:tcBorders>
          </w:tcPr>
          <w:p>
            <w:pPr/>
          </w:p>
        </w:tc>
        <w:tc>
          <w:tcPr>
            <w:tcW w:w="722" w:type="dxa"/>
            <w:vMerge/>
            <w:tcBorders>
              <w:left w:val="single" w:sz="4" w:space="0" w:color="000000"/>
              <w:right w:val="single" w:sz="4" w:space="0" w:color="000000"/>
            </w:tcBorders>
          </w:tcPr>
          <w:p>
            <w:pPr/>
          </w:p>
        </w:tc>
        <w:tc>
          <w:tcPr>
            <w:tcW w:w="720" w:type="dxa"/>
            <w:vMerge/>
            <w:tcBorders>
              <w:left w:val="single" w:sz="4" w:space="0" w:color="000000"/>
              <w:right w:val="single" w:sz="4" w:space="0" w:color="000000"/>
            </w:tcBorders>
          </w:tcPr>
          <w:p>
            <w:pPr/>
          </w:p>
        </w:tc>
        <w:tc>
          <w:tcPr>
            <w:tcW w:w="722" w:type="dxa"/>
            <w:vMerge/>
            <w:tcBorders>
              <w:left w:val="single" w:sz="4" w:space="0" w:color="000000"/>
              <w:right w:val="single" w:sz="9" w:space="0" w:color="D2D2D2"/>
            </w:tcBorders>
          </w:tcPr>
          <w:p>
            <w:pPr/>
          </w:p>
        </w:tc>
        <w:tc>
          <w:tcPr>
            <w:tcW w:w="72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left="295" w:right="0"/>
              <w:jc w:val="left"/>
              <w:rPr>
                <w:rFonts w:ascii="Times New Roman" w:hAnsi="Times New Roman" w:cs="Times New Roman" w:eastAsia="Times New Roman" w:hint="default"/>
                <w:sz w:val="18"/>
                <w:szCs w:val="18"/>
              </w:rPr>
            </w:pPr>
            <w:r>
              <w:rPr>
                <w:rFonts w:ascii="Times New Roman"/>
                <w:sz w:val="18"/>
              </w:rPr>
              <w:t>--</w:t>
            </w:r>
          </w:p>
        </w:tc>
        <w:tc>
          <w:tcPr>
            <w:tcW w:w="72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left="296" w:right="0"/>
              <w:jc w:val="left"/>
              <w:rPr>
                <w:rFonts w:ascii="Times New Roman" w:hAnsi="Times New Roman" w:cs="Times New Roman" w:eastAsia="Times New Roman" w:hint="default"/>
                <w:sz w:val="18"/>
                <w:szCs w:val="18"/>
              </w:rPr>
            </w:pPr>
            <w:r>
              <w:rPr>
                <w:rFonts w:ascii="Times New Roman"/>
                <w:sz w:val="18"/>
              </w:rPr>
              <w:t>--</w:t>
            </w:r>
          </w:p>
        </w:tc>
        <w:tc>
          <w:tcPr>
            <w:tcW w:w="723" w:type="dxa"/>
            <w:vMerge/>
            <w:tcBorders>
              <w:left w:val="single" w:sz="9" w:space="0" w:color="D2D2D2"/>
              <w:right w:val="single" w:sz="4" w:space="0" w:color="000000"/>
            </w:tcBorders>
          </w:tcPr>
          <w:p>
            <w:pPr/>
          </w:p>
        </w:tc>
        <w:tc>
          <w:tcPr>
            <w:tcW w:w="722" w:type="dxa"/>
            <w:vMerge/>
            <w:tcBorders>
              <w:left w:val="single" w:sz="4" w:space="0" w:color="000000"/>
              <w:right w:val="single" w:sz="9" w:space="0" w:color="D2D2D2"/>
            </w:tcBorders>
          </w:tcPr>
          <w:p>
            <w:pPr/>
          </w:p>
        </w:tc>
        <w:tc>
          <w:tcPr>
            <w:tcW w:w="72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72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r>
        <w:trPr>
          <w:trHeight w:val="161" w:hRule="exact"/>
        </w:trPr>
        <w:tc>
          <w:tcPr>
            <w:tcW w:w="1635" w:type="dxa"/>
            <w:vMerge/>
            <w:tcBorders>
              <w:left w:val="single" w:sz="4" w:space="0" w:color="000000"/>
              <w:bottom w:val="single" w:sz="4" w:space="0" w:color="000000"/>
              <w:right w:val="single" w:sz="4" w:space="0" w:color="000000"/>
            </w:tcBorders>
            <w:shd w:val="clear" w:color="auto" w:fill="D2D2D2"/>
          </w:tcPr>
          <w:p>
            <w:pPr/>
          </w:p>
        </w:tc>
        <w:tc>
          <w:tcPr>
            <w:tcW w:w="721" w:type="dxa"/>
            <w:vMerge/>
            <w:tcBorders>
              <w:left w:val="single" w:sz="4" w:space="0" w:color="000000"/>
              <w:bottom w:val="single" w:sz="4" w:space="0" w:color="000000"/>
              <w:right w:val="single" w:sz="4" w:space="0" w:color="000000"/>
            </w:tcBorders>
            <w:shd w:val="clear" w:color="auto" w:fill="D2D2D2"/>
          </w:tcPr>
          <w:p>
            <w:pPr/>
          </w:p>
        </w:tc>
        <w:tc>
          <w:tcPr>
            <w:tcW w:w="721" w:type="dxa"/>
            <w:vMerge/>
            <w:tcBorders>
              <w:left w:val="single" w:sz="4" w:space="0" w:color="000000"/>
              <w:bottom w:val="single" w:sz="4" w:space="0" w:color="000000"/>
              <w:right w:val="single" w:sz="4" w:space="0" w:color="000000"/>
            </w:tcBorders>
          </w:tcPr>
          <w:p>
            <w:pPr/>
          </w:p>
        </w:tc>
        <w:tc>
          <w:tcPr>
            <w:tcW w:w="722" w:type="dxa"/>
            <w:vMerge/>
            <w:tcBorders>
              <w:left w:val="single" w:sz="4" w:space="0" w:color="000000"/>
              <w:bottom w:val="single" w:sz="4" w:space="0" w:color="000000"/>
              <w:right w:val="single" w:sz="4" w:space="0" w:color="000000"/>
            </w:tcBorders>
          </w:tcPr>
          <w:p>
            <w:pPr/>
          </w:p>
        </w:tc>
        <w:tc>
          <w:tcPr>
            <w:tcW w:w="720" w:type="dxa"/>
            <w:vMerge/>
            <w:tcBorders>
              <w:left w:val="single" w:sz="4" w:space="0" w:color="000000"/>
              <w:bottom w:val="single" w:sz="4" w:space="0" w:color="000000"/>
              <w:right w:val="single" w:sz="4" w:space="0" w:color="000000"/>
            </w:tcBorders>
          </w:tcPr>
          <w:p>
            <w:pPr/>
          </w:p>
        </w:tc>
        <w:tc>
          <w:tcPr>
            <w:tcW w:w="722" w:type="dxa"/>
            <w:vMerge/>
            <w:tcBorders>
              <w:left w:val="single" w:sz="4" w:space="0" w:color="000000"/>
              <w:bottom w:val="single" w:sz="4" w:space="0" w:color="000000"/>
              <w:right w:val="single" w:sz="9" w:space="0" w:color="D2D2D2"/>
            </w:tcBorders>
          </w:tcPr>
          <w:p>
            <w:pPr/>
          </w:p>
        </w:tc>
        <w:tc>
          <w:tcPr>
            <w:tcW w:w="721" w:type="dxa"/>
            <w:tcBorders>
              <w:top w:val="nil" w:sz="6" w:space="0" w:color="auto"/>
              <w:left w:val="single" w:sz="4" w:space="0" w:color="000000"/>
              <w:bottom w:val="single" w:sz="4" w:space="0" w:color="000000"/>
              <w:right w:val="single" w:sz="4" w:space="0" w:color="000000"/>
            </w:tcBorders>
            <w:shd w:val="clear" w:color="auto" w:fill="D2D2D2"/>
          </w:tcPr>
          <w:p>
            <w:pPr/>
          </w:p>
        </w:tc>
        <w:tc>
          <w:tcPr>
            <w:tcW w:w="721" w:type="dxa"/>
            <w:tcBorders>
              <w:top w:val="nil" w:sz="6" w:space="0" w:color="auto"/>
              <w:left w:val="single" w:sz="4" w:space="0" w:color="000000"/>
              <w:bottom w:val="single" w:sz="4" w:space="0" w:color="000000"/>
              <w:right w:val="single" w:sz="4" w:space="0" w:color="000000"/>
            </w:tcBorders>
            <w:shd w:val="clear" w:color="auto" w:fill="D2D2D2"/>
          </w:tcPr>
          <w:p>
            <w:pPr/>
          </w:p>
        </w:tc>
        <w:tc>
          <w:tcPr>
            <w:tcW w:w="723" w:type="dxa"/>
            <w:vMerge/>
            <w:tcBorders>
              <w:left w:val="single" w:sz="9" w:space="0" w:color="D2D2D2"/>
              <w:bottom w:val="single" w:sz="4" w:space="0" w:color="000000"/>
              <w:right w:val="single" w:sz="4" w:space="0" w:color="000000"/>
            </w:tcBorders>
          </w:tcPr>
          <w:p>
            <w:pPr/>
          </w:p>
        </w:tc>
        <w:tc>
          <w:tcPr>
            <w:tcW w:w="722" w:type="dxa"/>
            <w:vMerge/>
            <w:tcBorders>
              <w:left w:val="single" w:sz="4" w:space="0" w:color="000000"/>
              <w:bottom w:val="single" w:sz="4" w:space="0" w:color="000000"/>
              <w:right w:val="single" w:sz="9" w:space="0" w:color="D2D2D2"/>
            </w:tcBorders>
          </w:tcPr>
          <w:p>
            <w:pPr/>
          </w:p>
        </w:tc>
        <w:tc>
          <w:tcPr>
            <w:tcW w:w="721" w:type="dxa"/>
            <w:tcBorders>
              <w:top w:val="nil" w:sz="6" w:space="0" w:color="auto"/>
              <w:left w:val="single" w:sz="4" w:space="0" w:color="000000"/>
              <w:bottom w:val="single" w:sz="4" w:space="0" w:color="000000"/>
              <w:right w:val="single" w:sz="4" w:space="0" w:color="000000"/>
            </w:tcBorders>
            <w:shd w:val="clear" w:color="auto" w:fill="D2D2D2"/>
          </w:tcPr>
          <w:p>
            <w:pPr/>
          </w:p>
        </w:tc>
        <w:tc>
          <w:tcPr>
            <w:tcW w:w="722"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161" w:hRule="exact"/>
        </w:trPr>
        <w:tc>
          <w:tcPr>
            <w:tcW w:w="163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2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w:t>
            </w:r>
          </w:p>
        </w:tc>
        <w:tc>
          <w:tcPr>
            <w:tcW w:w="721"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59,782.5</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8</w:t>
            </w:r>
          </w:p>
        </w:tc>
        <w:tc>
          <w:tcPr>
            <w:tcW w:w="722" w:type="dxa"/>
            <w:vMerge w:val="restart"/>
            <w:tcBorders>
              <w:top w:val="single" w:sz="4" w:space="0" w:color="000000"/>
              <w:left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59,782.5</w:t>
            </w:r>
          </w:p>
          <w:p>
            <w:pPr>
              <w:pStyle w:val="TableParagraph"/>
              <w:spacing w:line="240" w:lineRule="auto" w:before="105"/>
              <w:ind w:right="22"/>
              <w:jc w:val="right"/>
              <w:rPr>
                <w:rFonts w:ascii="Times New Roman" w:hAnsi="Times New Roman" w:cs="Times New Roman" w:eastAsia="Times New Roman" w:hint="default"/>
                <w:sz w:val="18"/>
                <w:szCs w:val="18"/>
              </w:rPr>
            </w:pPr>
            <w:r>
              <w:rPr>
                <w:rFonts w:ascii="Times New Roman"/>
                <w:sz w:val="18"/>
              </w:rPr>
              <w:t>8</w:t>
            </w:r>
          </w:p>
        </w:tc>
        <w:tc>
          <w:tcPr>
            <w:tcW w:w="720"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56" w:right="0"/>
              <w:jc w:val="left"/>
              <w:rPr>
                <w:rFonts w:ascii="Times New Roman" w:hAnsi="Times New Roman" w:cs="Times New Roman" w:eastAsia="Times New Roman" w:hint="default"/>
                <w:sz w:val="18"/>
                <w:szCs w:val="18"/>
              </w:rPr>
            </w:pPr>
            <w:r>
              <w:rPr>
                <w:rFonts w:ascii="Times New Roman"/>
                <w:sz w:val="18"/>
              </w:rPr>
              <w:t>2,496.48</w:t>
            </w:r>
          </w:p>
        </w:tc>
        <w:tc>
          <w:tcPr>
            <w:tcW w:w="722" w:type="dxa"/>
            <w:vMerge w:val="restart"/>
            <w:tcBorders>
              <w:top w:val="single" w:sz="4" w:space="0" w:color="000000"/>
              <w:left w:val="single" w:sz="4" w:space="0" w:color="000000"/>
              <w:right w:val="single" w:sz="9" w:space="0" w:color="D2D2D2"/>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z w:val="18"/>
              </w:rPr>
              <w:t>53,550.4</w:t>
            </w:r>
          </w:p>
          <w:p>
            <w:pPr>
              <w:pStyle w:val="TableParagraph"/>
              <w:spacing w:line="240" w:lineRule="auto" w:before="105"/>
              <w:ind w:right="15"/>
              <w:jc w:val="right"/>
              <w:rPr>
                <w:rFonts w:ascii="Times New Roman" w:hAnsi="Times New Roman" w:cs="Times New Roman" w:eastAsia="Times New Roman" w:hint="default"/>
                <w:sz w:val="18"/>
                <w:szCs w:val="18"/>
              </w:rPr>
            </w:pPr>
            <w:r>
              <w:rPr>
                <w:rFonts w:ascii="Times New Roman"/>
                <w:sz w:val="18"/>
              </w:rPr>
              <w:t>5</w:t>
            </w:r>
          </w:p>
        </w:tc>
        <w:tc>
          <w:tcPr>
            <w:tcW w:w="721" w:type="dxa"/>
            <w:tcBorders>
              <w:top w:val="single" w:sz="4" w:space="0" w:color="000000"/>
              <w:left w:val="single" w:sz="4" w:space="0" w:color="000000"/>
              <w:bottom w:val="nil" w:sz="6" w:space="0" w:color="auto"/>
              <w:right w:val="single" w:sz="4" w:space="0" w:color="000000"/>
            </w:tcBorders>
            <w:shd w:val="clear" w:color="auto" w:fill="D2D2D2"/>
          </w:tcPr>
          <w:p>
            <w:pPr/>
          </w:p>
        </w:tc>
        <w:tc>
          <w:tcPr>
            <w:tcW w:w="721" w:type="dxa"/>
            <w:tcBorders>
              <w:top w:val="single" w:sz="4" w:space="0" w:color="000000"/>
              <w:left w:val="single" w:sz="4" w:space="0" w:color="000000"/>
              <w:bottom w:val="nil" w:sz="6" w:space="0" w:color="auto"/>
              <w:right w:val="single" w:sz="4" w:space="0" w:color="000000"/>
            </w:tcBorders>
            <w:shd w:val="clear" w:color="auto" w:fill="D2D2D2"/>
          </w:tcPr>
          <w:p>
            <w:pPr/>
          </w:p>
        </w:tc>
        <w:tc>
          <w:tcPr>
            <w:tcW w:w="723" w:type="dxa"/>
            <w:vMerge w:val="restart"/>
            <w:tcBorders>
              <w:top w:val="single" w:sz="4" w:space="0" w:color="000000"/>
              <w:left w:val="single" w:sz="9" w:space="0" w:color="D2D2D2"/>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52" w:right="0"/>
              <w:jc w:val="left"/>
              <w:rPr>
                <w:rFonts w:ascii="Times New Roman" w:hAnsi="Times New Roman" w:cs="Times New Roman" w:eastAsia="Times New Roman" w:hint="default"/>
                <w:sz w:val="18"/>
                <w:szCs w:val="18"/>
              </w:rPr>
            </w:pPr>
            <w:r>
              <w:rPr>
                <w:rFonts w:ascii="Times New Roman"/>
                <w:sz w:val="18"/>
              </w:rPr>
              <w:t>4,642.63</w:t>
            </w:r>
          </w:p>
        </w:tc>
        <w:tc>
          <w:tcPr>
            <w:tcW w:w="722" w:type="dxa"/>
            <w:vMerge w:val="restart"/>
            <w:tcBorders>
              <w:top w:val="single" w:sz="4" w:space="0" w:color="000000"/>
              <w:left w:val="single" w:sz="4" w:space="0" w:color="000000"/>
              <w:right w:val="single" w:sz="9" w:space="0" w:color="D2D2D2"/>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z w:val="18"/>
              </w:rPr>
              <w:t>13,761.4</w:t>
            </w:r>
          </w:p>
          <w:p>
            <w:pPr>
              <w:pStyle w:val="TableParagraph"/>
              <w:spacing w:line="240" w:lineRule="auto" w:before="105"/>
              <w:ind w:right="15"/>
              <w:jc w:val="right"/>
              <w:rPr>
                <w:rFonts w:ascii="Times New Roman" w:hAnsi="Times New Roman" w:cs="Times New Roman" w:eastAsia="Times New Roman" w:hint="default"/>
                <w:sz w:val="18"/>
                <w:szCs w:val="18"/>
              </w:rPr>
            </w:pPr>
            <w:r>
              <w:rPr>
                <w:rFonts w:ascii="Times New Roman"/>
                <w:sz w:val="18"/>
              </w:rPr>
              <w:t>7</w:t>
            </w:r>
          </w:p>
        </w:tc>
        <w:tc>
          <w:tcPr>
            <w:tcW w:w="721" w:type="dxa"/>
            <w:tcBorders>
              <w:top w:val="single" w:sz="4" w:space="0" w:color="000000"/>
              <w:left w:val="single" w:sz="4" w:space="0" w:color="000000"/>
              <w:bottom w:val="nil" w:sz="6" w:space="0" w:color="auto"/>
              <w:right w:val="single" w:sz="4" w:space="0" w:color="000000"/>
            </w:tcBorders>
            <w:shd w:val="clear" w:color="auto" w:fill="D2D2D2"/>
          </w:tcPr>
          <w:p>
            <w:pPr/>
          </w:p>
        </w:tc>
        <w:tc>
          <w:tcPr>
            <w:tcW w:w="722"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392" w:hRule="exact"/>
        </w:trPr>
        <w:tc>
          <w:tcPr>
            <w:tcW w:w="1635" w:type="dxa"/>
            <w:vMerge/>
            <w:tcBorders>
              <w:left w:val="single" w:sz="4" w:space="0" w:color="000000"/>
              <w:right w:val="single" w:sz="4" w:space="0" w:color="000000"/>
            </w:tcBorders>
            <w:shd w:val="clear" w:color="auto" w:fill="D2D2D2"/>
          </w:tcPr>
          <w:p>
            <w:pPr/>
          </w:p>
        </w:tc>
        <w:tc>
          <w:tcPr>
            <w:tcW w:w="721" w:type="dxa"/>
            <w:vMerge/>
            <w:tcBorders>
              <w:left w:val="single" w:sz="4" w:space="0" w:color="000000"/>
              <w:right w:val="single" w:sz="4" w:space="0" w:color="000000"/>
            </w:tcBorders>
            <w:shd w:val="clear" w:color="auto" w:fill="D2D2D2"/>
          </w:tcPr>
          <w:p>
            <w:pPr/>
          </w:p>
        </w:tc>
        <w:tc>
          <w:tcPr>
            <w:tcW w:w="721" w:type="dxa"/>
            <w:vMerge/>
            <w:tcBorders>
              <w:left w:val="single" w:sz="4" w:space="0" w:color="000000"/>
              <w:right w:val="single" w:sz="4" w:space="0" w:color="000000"/>
            </w:tcBorders>
          </w:tcPr>
          <w:p>
            <w:pPr/>
          </w:p>
        </w:tc>
        <w:tc>
          <w:tcPr>
            <w:tcW w:w="722" w:type="dxa"/>
            <w:vMerge/>
            <w:tcBorders>
              <w:left w:val="single" w:sz="4" w:space="0" w:color="000000"/>
              <w:right w:val="single" w:sz="4" w:space="0" w:color="000000"/>
            </w:tcBorders>
          </w:tcPr>
          <w:p>
            <w:pPr/>
          </w:p>
        </w:tc>
        <w:tc>
          <w:tcPr>
            <w:tcW w:w="720" w:type="dxa"/>
            <w:vMerge/>
            <w:tcBorders>
              <w:left w:val="single" w:sz="4" w:space="0" w:color="000000"/>
              <w:right w:val="single" w:sz="4" w:space="0" w:color="000000"/>
            </w:tcBorders>
          </w:tcPr>
          <w:p>
            <w:pPr/>
          </w:p>
        </w:tc>
        <w:tc>
          <w:tcPr>
            <w:tcW w:w="722" w:type="dxa"/>
            <w:vMerge/>
            <w:tcBorders>
              <w:left w:val="single" w:sz="4" w:space="0" w:color="000000"/>
              <w:right w:val="single" w:sz="9" w:space="0" w:color="D2D2D2"/>
            </w:tcBorders>
          </w:tcPr>
          <w:p>
            <w:pPr/>
          </w:p>
        </w:tc>
        <w:tc>
          <w:tcPr>
            <w:tcW w:w="72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left="295" w:right="0"/>
              <w:jc w:val="left"/>
              <w:rPr>
                <w:rFonts w:ascii="Times New Roman" w:hAnsi="Times New Roman" w:cs="Times New Roman" w:eastAsia="Times New Roman" w:hint="default"/>
                <w:sz w:val="18"/>
                <w:szCs w:val="18"/>
              </w:rPr>
            </w:pPr>
            <w:r>
              <w:rPr>
                <w:rFonts w:ascii="Times New Roman"/>
                <w:sz w:val="18"/>
              </w:rPr>
              <w:t>--</w:t>
            </w:r>
          </w:p>
        </w:tc>
        <w:tc>
          <w:tcPr>
            <w:tcW w:w="72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left="296" w:right="0"/>
              <w:jc w:val="left"/>
              <w:rPr>
                <w:rFonts w:ascii="Times New Roman" w:hAnsi="Times New Roman" w:cs="Times New Roman" w:eastAsia="Times New Roman" w:hint="default"/>
                <w:sz w:val="18"/>
                <w:szCs w:val="18"/>
              </w:rPr>
            </w:pPr>
            <w:r>
              <w:rPr>
                <w:rFonts w:ascii="Times New Roman"/>
                <w:sz w:val="18"/>
              </w:rPr>
              <w:t>--</w:t>
            </w:r>
          </w:p>
        </w:tc>
        <w:tc>
          <w:tcPr>
            <w:tcW w:w="723" w:type="dxa"/>
            <w:vMerge/>
            <w:tcBorders>
              <w:left w:val="single" w:sz="9" w:space="0" w:color="D2D2D2"/>
              <w:right w:val="single" w:sz="4" w:space="0" w:color="000000"/>
            </w:tcBorders>
          </w:tcPr>
          <w:p>
            <w:pPr/>
          </w:p>
        </w:tc>
        <w:tc>
          <w:tcPr>
            <w:tcW w:w="722" w:type="dxa"/>
            <w:vMerge/>
            <w:tcBorders>
              <w:left w:val="single" w:sz="4" w:space="0" w:color="000000"/>
              <w:right w:val="single" w:sz="9" w:space="0" w:color="D2D2D2"/>
            </w:tcBorders>
          </w:tcPr>
          <w:p>
            <w:pPr/>
          </w:p>
        </w:tc>
        <w:tc>
          <w:tcPr>
            <w:tcW w:w="72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72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r>
        <w:trPr>
          <w:trHeight w:val="161" w:hRule="exact"/>
        </w:trPr>
        <w:tc>
          <w:tcPr>
            <w:tcW w:w="1635" w:type="dxa"/>
            <w:vMerge/>
            <w:tcBorders>
              <w:left w:val="single" w:sz="4" w:space="0" w:color="000000"/>
              <w:bottom w:val="single" w:sz="4" w:space="0" w:color="000000"/>
              <w:right w:val="single" w:sz="4" w:space="0" w:color="000000"/>
            </w:tcBorders>
            <w:shd w:val="clear" w:color="auto" w:fill="D2D2D2"/>
          </w:tcPr>
          <w:p>
            <w:pPr/>
          </w:p>
        </w:tc>
        <w:tc>
          <w:tcPr>
            <w:tcW w:w="721" w:type="dxa"/>
            <w:vMerge/>
            <w:tcBorders>
              <w:left w:val="single" w:sz="4" w:space="0" w:color="000000"/>
              <w:bottom w:val="single" w:sz="4" w:space="0" w:color="000000"/>
              <w:right w:val="single" w:sz="4" w:space="0" w:color="000000"/>
            </w:tcBorders>
            <w:shd w:val="clear" w:color="auto" w:fill="D2D2D2"/>
          </w:tcPr>
          <w:p>
            <w:pPr/>
          </w:p>
        </w:tc>
        <w:tc>
          <w:tcPr>
            <w:tcW w:w="721" w:type="dxa"/>
            <w:vMerge/>
            <w:tcBorders>
              <w:left w:val="single" w:sz="4" w:space="0" w:color="000000"/>
              <w:bottom w:val="single" w:sz="4" w:space="0" w:color="000000"/>
              <w:right w:val="single" w:sz="4" w:space="0" w:color="000000"/>
            </w:tcBorders>
          </w:tcPr>
          <w:p>
            <w:pPr/>
          </w:p>
        </w:tc>
        <w:tc>
          <w:tcPr>
            <w:tcW w:w="722" w:type="dxa"/>
            <w:vMerge/>
            <w:tcBorders>
              <w:left w:val="single" w:sz="4" w:space="0" w:color="000000"/>
              <w:bottom w:val="single" w:sz="4" w:space="0" w:color="000000"/>
              <w:right w:val="single" w:sz="4" w:space="0" w:color="000000"/>
            </w:tcBorders>
          </w:tcPr>
          <w:p>
            <w:pPr/>
          </w:p>
        </w:tc>
        <w:tc>
          <w:tcPr>
            <w:tcW w:w="720" w:type="dxa"/>
            <w:vMerge/>
            <w:tcBorders>
              <w:left w:val="single" w:sz="4" w:space="0" w:color="000000"/>
              <w:bottom w:val="single" w:sz="4" w:space="0" w:color="000000"/>
              <w:right w:val="single" w:sz="4" w:space="0" w:color="000000"/>
            </w:tcBorders>
          </w:tcPr>
          <w:p>
            <w:pPr/>
          </w:p>
        </w:tc>
        <w:tc>
          <w:tcPr>
            <w:tcW w:w="722" w:type="dxa"/>
            <w:vMerge/>
            <w:tcBorders>
              <w:left w:val="single" w:sz="4" w:space="0" w:color="000000"/>
              <w:bottom w:val="single" w:sz="4" w:space="0" w:color="000000"/>
              <w:right w:val="single" w:sz="9" w:space="0" w:color="D2D2D2"/>
            </w:tcBorders>
          </w:tcPr>
          <w:p>
            <w:pPr/>
          </w:p>
        </w:tc>
        <w:tc>
          <w:tcPr>
            <w:tcW w:w="721" w:type="dxa"/>
            <w:tcBorders>
              <w:top w:val="nil" w:sz="6" w:space="0" w:color="auto"/>
              <w:left w:val="single" w:sz="4" w:space="0" w:color="000000"/>
              <w:bottom w:val="single" w:sz="4" w:space="0" w:color="000000"/>
              <w:right w:val="single" w:sz="4" w:space="0" w:color="000000"/>
            </w:tcBorders>
            <w:shd w:val="clear" w:color="auto" w:fill="D2D2D2"/>
          </w:tcPr>
          <w:p>
            <w:pPr/>
          </w:p>
        </w:tc>
        <w:tc>
          <w:tcPr>
            <w:tcW w:w="721" w:type="dxa"/>
            <w:tcBorders>
              <w:top w:val="nil" w:sz="6" w:space="0" w:color="auto"/>
              <w:left w:val="single" w:sz="4" w:space="0" w:color="000000"/>
              <w:bottom w:val="single" w:sz="4" w:space="0" w:color="000000"/>
              <w:right w:val="single" w:sz="4" w:space="0" w:color="000000"/>
            </w:tcBorders>
            <w:shd w:val="clear" w:color="auto" w:fill="D2D2D2"/>
          </w:tcPr>
          <w:p>
            <w:pPr/>
          </w:p>
        </w:tc>
        <w:tc>
          <w:tcPr>
            <w:tcW w:w="723" w:type="dxa"/>
            <w:vMerge/>
            <w:tcBorders>
              <w:left w:val="single" w:sz="9" w:space="0" w:color="D2D2D2"/>
              <w:bottom w:val="single" w:sz="4" w:space="0" w:color="000000"/>
              <w:right w:val="single" w:sz="4" w:space="0" w:color="000000"/>
            </w:tcBorders>
          </w:tcPr>
          <w:p>
            <w:pPr/>
          </w:p>
        </w:tc>
        <w:tc>
          <w:tcPr>
            <w:tcW w:w="722" w:type="dxa"/>
            <w:vMerge/>
            <w:tcBorders>
              <w:left w:val="single" w:sz="4" w:space="0" w:color="000000"/>
              <w:bottom w:val="single" w:sz="4" w:space="0" w:color="000000"/>
              <w:right w:val="single" w:sz="9" w:space="0" w:color="D2D2D2"/>
            </w:tcBorders>
          </w:tcPr>
          <w:p>
            <w:pPr/>
          </w:p>
        </w:tc>
        <w:tc>
          <w:tcPr>
            <w:tcW w:w="721" w:type="dxa"/>
            <w:tcBorders>
              <w:top w:val="nil" w:sz="6" w:space="0" w:color="auto"/>
              <w:left w:val="single" w:sz="4" w:space="0" w:color="000000"/>
              <w:bottom w:val="single" w:sz="4" w:space="0" w:color="000000"/>
              <w:right w:val="single" w:sz="4" w:space="0" w:color="000000"/>
            </w:tcBorders>
            <w:shd w:val="clear" w:color="auto" w:fill="D2D2D2"/>
          </w:tcPr>
          <w:p>
            <w:pPr/>
          </w:p>
        </w:tc>
        <w:tc>
          <w:tcPr>
            <w:tcW w:w="722"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1026" w:hRule="exact"/>
        </w:trPr>
        <w:tc>
          <w:tcPr>
            <w:tcW w:w="16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18"/>
              <w:jc w:val="left"/>
              <w:rPr>
                <w:rFonts w:ascii="宋体" w:hAnsi="宋体" w:cs="宋体" w:eastAsia="宋体" w:hint="default"/>
                <w:sz w:val="18"/>
                <w:szCs w:val="18"/>
              </w:rPr>
            </w:pPr>
            <w:r>
              <w:rPr>
                <w:rFonts w:ascii="宋体" w:hAnsi="宋体" w:cs="宋体" w:eastAsia="宋体" w:hint="default"/>
                <w:sz w:val="18"/>
                <w:szCs w:val="18"/>
              </w:rPr>
              <w:t>未达到计划进度或 预计收益的情况和 原因（分具体项目）</w:t>
            </w:r>
          </w:p>
        </w:tc>
        <w:tc>
          <w:tcPr>
            <w:tcW w:w="72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216"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3"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714" w:hRule="exact"/>
        </w:trPr>
        <w:tc>
          <w:tcPr>
            <w:tcW w:w="16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160"/>
              <w:jc w:val="left"/>
              <w:rPr>
                <w:rFonts w:ascii="宋体" w:hAnsi="宋体" w:cs="宋体" w:eastAsia="宋体" w:hint="default"/>
                <w:sz w:val="18"/>
                <w:szCs w:val="18"/>
              </w:rPr>
            </w:pPr>
            <w:r>
              <w:rPr>
                <w:rFonts w:ascii="宋体" w:hAnsi="宋体" w:cs="宋体" w:eastAsia="宋体" w:hint="default"/>
                <w:sz w:val="18"/>
                <w:szCs w:val="18"/>
              </w:rPr>
              <w:t>项目可行性发生重 大变化的情况说明</w:t>
            </w:r>
          </w:p>
        </w:tc>
        <w:tc>
          <w:tcPr>
            <w:tcW w:w="72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216"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402" w:hRule="exact"/>
        </w:trPr>
        <w:tc>
          <w:tcPr>
            <w:tcW w:w="163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04"/>
              <w:ind w:left="22" w:right="22"/>
              <w:jc w:val="left"/>
              <w:rPr>
                <w:rFonts w:ascii="宋体" w:hAnsi="宋体" w:cs="宋体" w:eastAsia="宋体" w:hint="default"/>
                <w:sz w:val="18"/>
                <w:szCs w:val="18"/>
              </w:rPr>
            </w:pPr>
            <w:r>
              <w:rPr>
                <w:rFonts w:ascii="宋体" w:hAnsi="宋体" w:cs="宋体" w:eastAsia="宋体" w:hint="default"/>
                <w:spacing w:val="-5"/>
                <w:sz w:val="18"/>
                <w:szCs w:val="18"/>
              </w:rPr>
              <w:t>超募资金的金额、用</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途及使用进展情况</w:t>
            </w:r>
          </w:p>
        </w:tc>
        <w:tc>
          <w:tcPr>
            <w:tcW w:w="72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216"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适用</w:t>
            </w:r>
          </w:p>
        </w:tc>
      </w:tr>
      <w:tr>
        <w:trPr>
          <w:trHeight w:val="4970" w:hRule="exact"/>
        </w:trPr>
        <w:tc>
          <w:tcPr>
            <w:tcW w:w="1635" w:type="dxa"/>
            <w:vMerge/>
            <w:tcBorders>
              <w:left w:val="single" w:sz="4" w:space="0" w:color="000000"/>
              <w:bottom w:val="single" w:sz="4" w:space="0" w:color="000000"/>
              <w:right w:val="single" w:sz="4" w:space="0" w:color="000000"/>
            </w:tcBorders>
            <w:shd w:val="clear" w:color="auto" w:fill="D2D2D2"/>
          </w:tcPr>
          <w:p>
            <w:pPr/>
          </w:p>
        </w:tc>
        <w:tc>
          <w:tcPr>
            <w:tcW w:w="72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216"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both"/>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、公司超募资金金额为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13,877.56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p>
          <w:p>
            <w:pPr>
              <w:pStyle w:val="TableParagraph"/>
              <w:spacing w:line="240" w:lineRule="auto" w:before="102"/>
              <w:ind w:left="23" w:right="0"/>
              <w:jc w:val="both"/>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日，公司第二届董事会第三次会议及第二届监事会第二次会议审议通过，</w:t>
            </w:r>
          </w:p>
          <w:p>
            <w:pPr>
              <w:pStyle w:val="TableParagraph"/>
              <w:spacing w:line="240" w:lineRule="auto" w:before="64"/>
              <w:ind w:left="23" w:right="0"/>
              <w:jc w:val="both"/>
              <w:rPr>
                <w:rFonts w:ascii="宋体" w:hAnsi="宋体" w:cs="宋体" w:eastAsia="宋体" w:hint="default"/>
                <w:sz w:val="18"/>
                <w:szCs w:val="18"/>
              </w:rPr>
            </w:pPr>
            <w:r>
              <w:rPr>
                <w:rFonts w:ascii="宋体" w:hAnsi="宋体" w:cs="宋体" w:eastAsia="宋体" w:hint="default"/>
                <w:sz w:val="18"/>
                <w:szCs w:val="18"/>
              </w:rPr>
              <w:t>公司使用超募资金</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2,500.00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万元提前偿还银行贷款；</w:t>
            </w:r>
          </w:p>
          <w:p>
            <w:pPr>
              <w:pStyle w:val="TableParagraph"/>
              <w:spacing w:line="240" w:lineRule="auto" w:before="101"/>
              <w:ind w:left="23" w:right="0"/>
              <w:jc w:val="both"/>
              <w:rPr>
                <w:rFonts w:ascii="宋体" w:hAnsi="宋体" w:cs="宋体" w:eastAsia="宋体" w:hint="default"/>
                <w:sz w:val="18"/>
                <w:szCs w:val="18"/>
              </w:rPr>
            </w:pPr>
            <w:r>
              <w:rPr>
                <w:rFonts w:ascii="Times New Roman" w:hAnsi="Times New Roman" w:cs="Times New Roman" w:eastAsia="Times New Roman" w:hint="default"/>
                <w:spacing w:val="-8"/>
                <w:sz w:val="18"/>
                <w:szCs w:val="18"/>
              </w:rPr>
              <w:t>3</w:t>
            </w:r>
            <w:r>
              <w:rPr>
                <w:rFonts w:ascii="宋体" w:hAnsi="宋体" w:cs="宋体" w:eastAsia="宋体" w:hint="default"/>
                <w:spacing w:val="-8"/>
                <w:sz w:val="18"/>
                <w:szCs w:val="18"/>
              </w:rPr>
              <w:t>、</w:t>
            </w:r>
            <w:r>
              <w:rPr>
                <w:rFonts w:ascii="Times New Roman" w:hAnsi="Times New Roman" w:cs="Times New Roman" w:eastAsia="Times New Roman" w:hint="default"/>
                <w:spacing w:val="-8"/>
                <w:sz w:val="18"/>
                <w:szCs w:val="18"/>
              </w:rPr>
              <w:t>2012</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月</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日，经公司第二届董事会第十二次会议及第二届监事会第七次会议审议通</w:t>
            </w:r>
          </w:p>
          <w:p>
            <w:pPr>
              <w:pStyle w:val="TableParagraph"/>
              <w:spacing w:line="240" w:lineRule="auto" w:before="64"/>
              <w:ind w:left="23" w:right="0"/>
              <w:jc w:val="both"/>
              <w:rPr>
                <w:rFonts w:ascii="宋体" w:hAnsi="宋体" w:cs="宋体" w:eastAsia="宋体" w:hint="default"/>
                <w:sz w:val="18"/>
                <w:szCs w:val="18"/>
              </w:rPr>
            </w:pPr>
            <w:r>
              <w:rPr>
                <w:rFonts w:ascii="宋体" w:hAnsi="宋体" w:cs="宋体" w:eastAsia="宋体" w:hint="default"/>
                <w:sz w:val="18"/>
                <w:szCs w:val="18"/>
              </w:rPr>
              <w:t>过，公司使用部分超募资金</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2,500.00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万元用于永久补充流动资金；</w:t>
            </w:r>
          </w:p>
          <w:p>
            <w:pPr>
              <w:pStyle w:val="TableParagraph"/>
              <w:spacing w:line="240" w:lineRule="auto" w:before="101"/>
              <w:ind w:left="23" w:right="0"/>
              <w:jc w:val="both"/>
              <w:rPr>
                <w:rFonts w:ascii="宋体" w:hAnsi="宋体" w:cs="宋体" w:eastAsia="宋体" w:hint="default"/>
                <w:sz w:val="18"/>
                <w:szCs w:val="18"/>
              </w:rPr>
            </w:pPr>
            <w:r>
              <w:rPr>
                <w:rFonts w:ascii="Times New Roman" w:hAnsi="Times New Roman" w:cs="Times New Roman" w:eastAsia="Times New Roman" w:hint="default"/>
                <w:spacing w:val="-5"/>
                <w:sz w:val="18"/>
                <w:szCs w:val="18"/>
              </w:rPr>
              <w:t>4</w:t>
            </w:r>
            <w:r>
              <w:rPr>
                <w:rFonts w:ascii="宋体" w:hAnsi="宋体" w:cs="宋体" w:eastAsia="宋体" w:hint="default"/>
                <w:spacing w:val="-5"/>
                <w:sz w:val="18"/>
                <w:szCs w:val="18"/>
              </w:rPr>
              <w:t>、</w:t>
            </w:r>
            <w:r>
              <w:rPr>
                <w:rFonts w:ascii="Times New Roman" w:hAnsi="Times New Roman" w:cs="Times New Roman" w:eastAsia="Times New Roman" w:hint="default"/>
                <w:spacing w:val="-5"/>
                <w:sz w:val="18"/>
                <w:szCs w:val="18"/>
              </w:rPr>
              <w:t>2013</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pacing w:val="-3"/>
                <w:sz w:val="18"/>
                <w:szCs w:val="18"/>
              </w:rPr>
              <w:t>11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4"/>
                <w:sz w:val="18"/>
                <w:szCs w:val="18"/>
              </w:rPr>
              <w:t> </w:t>
            </w:r>
            <w:r>
              <w:rPr>
                <w:rFonts w:ascii="宋体" w:hAnsi="宋体" w:cs="宋体" w:eastAsia="宋体" w:hint="default"/>
                <w:spacing w:val="-6"/>
                <w:sz w:val="18"/>
                <w:szCs w:val="18"/>
              </w:rPr>
              <w:t>日，经公司</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年第三次临时股东大会审议通过，公司使用部分超募资</w:t>
            </w:r>
          </w:p>
          <w:p>
            <w:pPr>
              <w:pStyle w:val="TableParagraph"/>
              <w:spacing w:line="240" w:lineRule="auto" w:before="64"/>
              <w:ind w:left="23" w:right="0"/>
              <w:jc w:val="both"/>
              <w:rPr>
                <w:rFonts w:ascii="宋体" w:hAnsi="宋体" w:cs="宋体" w:eastAsia="宋体" w:hint="default"/>
                <w:sz w:val="18"/>
                <w:szCs w:val="18"/>
              </w:rPr>
            </w:pPr>
            <w:r>
              <w:rPr>
                <w:rFonts w:ascii="宋体" w:hAnsi="宋体" w:cs="宋体" w:eastAsia="宋体" w:hint="default"/>
                <w:sz w:val="18"/>
                <w:szCs w:val="18"/>
              </w:rPr>
              <w:t>金</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2,500.00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万元用于永久补充流动资金；</w:t>
            </w:r>
          </w:p>
          <w:p>
            <w:pPr>
              <w:pStyle w:val="TableParagraph"/>
              <w:spacing w:line="240" w:lineRule="auto" w:before="102"/>
              <w:ind w:left="23" w:right="0"/>
              <w:jc w:val="both"/>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pacing w:val="-90"/>
                <w:sz w:val="18"/>
                <w:szCs w:val="18"/>
              </w:rPr>
              <w:t>、</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日</w:t>
            </w:r>
            <w:r>
              <w:rPr>
                <w:rFonts w:ascii="宋体" w:hAnsi="宋体" w:cs="宋体" w:eastAsia="宋体" w:hint="default"/>
                <w:spacing w:val="-90"/>
                <w:sz w:val="18"/>
                <w:szCs w:val="18"/>
              </w:rPr>
              <w:t>，</w:t>
            </w:r>
            <w:r>
              <w:rPr>
                <w:rFonts w:ascii="宋体" w:hAnsi="宋体" w:cs="宋体" w:eastAsia="宋体" w:hint="default"/>
                <w:sz w:val="18"/>
                <w:szCs w:val="18"/>
              </w:rPr>
              <w:t>经公司</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年年度股东大会审议通过</w:t>
            </w:r>
            <w:r>
              <w:rPr>
                <w:rFonts w:ascii="宋体" w:hAnsi="宋体" w:cs="宋体" w:eastAsia="宋体" w:hint="default"/>
                <w:spacing w:val="-90"/>
                <w:sz w:val="18"/>
                <w:szCs w:val="18"/>
              </w:rPr>
              <w:t>，</w:t>
            </w:r>
            <w:r>
              <w:rPr>
                <w:rFonts w:ascii="宋体" w:hAnsi="宋体" w:cs="宋体" w:eastAsia="宋体" w:hint="default"/>
                <w:sz w:val="18"/>
                <w:szCs w:val="18"/>
              </w:rPr>
              <w:t>公司使用部分超募资金</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2,000</w:t>
            </w:r>
            <w:r>
              <w:rPr>
                <w:rFonts w:ascii="Times New Roman" w:hAnsi="Times New Roman" w:cs="Times New Roman" w:eastAsia="Times New Roman" w:hint="default"/>
                <w:spacing w:val="-1"/>
                <w:sz w:val="18"/>
                <w:szCs w:val="18"/>
              </w:rPr>
              <w:t>.</w:t>
            </w:r>
            <w:r>
              <w:rPr>
                <w:rFonts w:ascii="Times New Roman" w:hAnsi="Times New Roman" w:cs="Times New Roman" w:eastAsia="Times New Roman" w:hint="default"/>
                <w:sz w:val="18"/>
                <w:szCs w:val="18"/>
              </w:rPr>
              <w:t>00</w:t>
            </w:r>
          </w:p>
          <w:p>
            <w:pPr>
              <w:pStyle w:val="TableParagraph"/>
              <w:spacing w:line="240" w:lineRule="auto" w:before="64"/>
              <w:ind w:left="23" w:right="0"/>
              <w:jc w:val="both"/>
              <w:rPr>
                <w:rFonts w:ascii="宋体" w:hAnsi="宋体" w:cs="宋体" w:eastAsia="宋体" w:hint="default"/>
                <w:sz w:val="18"/>
                <w:szCs w:val="18"/>
              </w:rPr>
            </w:pPr>
            <w:r>
              <w:rPr>
                <w:rFonts w:ascii="宋体" w:hAnsi="宋体" w:cs="宋体" w:eastAsia="宋体" w:hint="default"/>
                <w:sz w:val="18"/>
                <w:szCs w:val="18"/>
              </w:rPr>
              <w:t>万元用于永久补充流动资金；</w:t>
            </w:r>
          </w:p>
          <w:p>
            <w:pPr>
              <w:pStyle w:val="TableParagraph"/>
              <w:spacing w:line="307" w:lineRule="auto" w:before="115"/>
              <w:ind w:left="23" w:right="21"/>
              <w:jc w:val="both"/>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日，公司</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年第二次临时股东大会审议通过《关于使用超募资金支付 收购上海树维信息科技有限公司</w:t>
            </w:r>
            <w:r>
              <w:rPr>
                <w:rFonts w:ascii="宋体" w:hAnsi="宋体" w:cs="宋体" w:eastAsia="宋体" w:hint="default"/>
                <w:spacing w:val="-31"/>
                <w:sz w:val="18"/>
                <w:szCs w:val="18"/>
              </w:rPr>
              <w:t> </w:t>
            </w:r>
            <w:r>
              <w:rPr>
                <w:rFonts w:ascii="Times New Roman" w:hAnsi="Times New Roman" w:cs="Times New Roman" w:eastAsia="Times New Roman" w:hint="default"/>
                <w:spacing w:val="-6"/>
                <w:sz w:val="18"/>
                <w:szCs w:val="18"/>
              </w:rPr>
              <w:t>100%</w:t>
            </w:r>
            <w:r>
              <w:rPr>
                <w:rFonts w:ascii="宋体" w:hAnsi="宋体" w:cs="宋体" w:eastAsia="宋体" w:hint="default"/>
                <w:spacing w:val="-6"/>
                <w:sz w:val="18"/>
                <w:szCs w:val="18"/>
              </w:rPr>
              <w:t>股权部分现金对价的议案》，计划使用剩余全部超募资</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2"/>
                <w:sz w:val="18"/>
                <w:szCs w:val="18"/>
              </w:rPr>
              <w:t>金及其利息收入（具体金额以资金转出日当日银行结息余额为准）支付收购上海树维信息科</w:t>
            </w:r>
            <w:r>
              <w:rPr>
                <w:rFonts w:ascii="宋体" w:hAnsi="宋体" w:cs="宋体" w:eastAsia="宋体" w:hint="default"/>
                <w:spacing w:val="-52"/>
                <w:sz w:val="18"/>
                <w:szCs w:val="18"/>
              </w:rPr>
              <w:t> </w:t>
            </w:r>
            <w:r>
              <w:rPr>
                <w:rFonts w:ascii="宋体" w:hAnsi="宋体" w:cs="宋体" w:eastAsia="宋体" w:hint="default"/>
                <w:spacing w:val="-52"/>
                <w:sz w:val="18"/>
                <w:szCs w:val="18"/>
              </w:rPr>
            </w:r>
            <w:r>
              <w:rPr>
                <w:rFonts w:ascii="宋体" w:hAnsi="宋体" w:cs="宋体" w:eastAsia="宋体" w:hint="default"/>
                <w:sz w:val="18"/>
                <w:szCs w:val="18"/>
              </w:rPr>
              <w:t>技有限公司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100%</w:t>
            </w:r>
            <w:r>
              <w:rPr>
                <w:rFonts w:ascii="宋体" w:hAnsi="宋体" w:cs="宋体" w:eastAsia="宋体" w:hint="default"/>
                <w:sz w:val="18"/>
                <w:szCs w:val="18"/>
              </w:rPr>
              <w:t>股权部分现金对价，公司于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r>
              <w:rPr>
                <w:rFonts w:ascii="Times New Roman" w:hAnsi="Times New Roman" w:cs="Times New Roman" w:eastAsia="Times New Roman" w:hint="default"/>
                <w:sz w:val="18"/>
                <w:szCs w:val="18"/>
              </w:rPr>
              <w:t>2015</w:t>
            </w:r>
          </w:p>
          <w:p>
            <w:pPr>
              <w:pStyle w:val="TableParagraph"/>
              <w:spacing w:line="240" w:lineRule="auto" w:before="7"/>
              <w:ind w:left="23" w:right="0"/>
              <w:jc w:val="both"/>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日分别使用超募资金向上海树维支付</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500.00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r>
              <w:rPr>
                <w:rFonts w:ascii="Times New Roman" w:hAnsi="Times New Roman" w:cs="Times New Roman" w:eastAsia="Times New Roman" w:hint="default"/>
                <w:sz w:val="18"/>
                <w:szCs w:val="18"/>
              </w:rPr>
              <w:t>3,480.00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万元、</w:t>
            </w:r>
            <w:r>
              <w:rPr>
                <w:rFonts w:ascii="Times New Roman" w:hAnsi="Times New Roman" w:cs="Times New Roman" w:eastAsia="Times New Roman" w:hint="default"/>
                <w:sz w:val="18"/>
                <w:szCs w:val="18"/>
              </w:rPr>
              <w:t>1,364.44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万元</w:t>
            </w:r>
          </w:p>
          <w:p>
            <w:pPr>
              <w:pStyle w:val="TableParagraph"/>
              <w:spacing w:line="240" w:lineRule="auto" w:before="64"/>
              <w:ind w:left="23" w:right="0"/>
              <w:jc w:val="both"/>
              <w:rPr>
                <w:rFonts w:ascii="宋体" w:hAnsi="宋体" w:cs="宋体" w:eastAsia="宋体" w:hint="default"/>
                <w:sz w:val="18"/>
                <w:szCs w:val="18"/>
              </w:rPr>
            </w:pPr>
            <w:r>
              <w:rPr>
                <w:rFonts w:ascii="宋体" w:hAnsi="宋体" w:cs="宋体" w:eastAsia="宋体" w:hint="default"/>
                <w:sz w:val="18"/>
                <w:szCs w:val="18"/>
              </w:rPr>
              <w:t>的股权转让对价款，共计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5,344.44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p>
        </w:tc>
      </w:tr>
      <w:tr>
        <w:trPr>
          <w:trHeight w:val="402" w:hRule="exact"/>
        </w:trPr>
        <w:tc>
          <w:tcPr>
            <w:tcW w:w="163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1"/>
              <w:ind w:right="0"/>
              <w:jc w:val="left"/>
              <w:rPr>
                <w:rFonts w:ascii="Times New Roman" w:hAnsi="Times New Roman" w:cs="Times New Roman" w:eastAsia="Times New Roman" w:hint="default"/>
                <w:sz w:val="25"/>
                <w:szCs w:val="25"/>
              </w:rPr>
            </w:pPr>
          </w:p>
          <w:p>
            <w:pPr>
              <w:pStyle w:val="TableParagraph"/>
              <w:spacing w:line="316" w:lineRule="auto"/>
              <w:ind w:left="22" w:right="160"/>
              <w:jc w:val="left"/>
              <w:rPr>
                <w:rFonts w:ascii="宋体" w:hAnsi="宋体" w:cs="宋体" w:eastAsia="宋体" w:hint="default"/>
                <w:sz w:val="18"/>
                <w:szCs w:val="18"/>
              </w:rPr>
            </w:pPr>
            <w:r>
              <w:rPr>
                <w:rFonts w:ascii="宋体" w:hAnsi="宋体" w:cs="宋体" w:eastAsia="宋体" w:hint="default"/>
                <w:sz w:val="18"/>
                <w:szCs w:val="18"/>
              </w:rPr>
              <w:t>募集资金投资项目 实施地点变更情况</w:t>
            </w:r>
          </w:p>
        </w:tc>
        <w:tc>
          <w:tcPr>
            <w:tcW w:w="72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216"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402" w:hRule="exact"/>
        </w:trPr>
        <w:tc>
          <w:tcPr>
            <w:tcW w:w="1635" w:type="dxa"/>
            <w:vMerge/>
            <w:tcBorders>
              <w:left w:val="single" w:sz="4" w:space="0" w:color="000000"/>
              <w:right w:val="single" w:sz="4" w:space="0" w:color="000000"/>
            </w:tcBorders>
            <w:shd w:val="clear" w:color="auto" w:fill="D2D2D2"/>
          </w:tcPr>
          <w:p>
            <w:pPr/>
          </w:p>
        </w:tc>
        <w:tc>
          <w:tcPr>
            <w:tcW w:w="72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216" w:type="dxa"/>
            <w:gridSpan w:val="10"/>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635" w:type="dxa"/>
            <w:vMerge/>
            <w:tcBorders>
              <w:left w:val="single" w:sz="4" w:space="0" w:color="000000"/>
              <w:bottom w:val="single" w:sz="4" w:space="0" w:color="000000"/>
              <w:right w:val="single" w:sz="4" w:space="0" w:color="000000"/>
            </w:tcBorders>
            <w:shd w:val="clear" w:color="auto" w:fill="D2D2D2"/>
          </w:tcPr>
          <w:p>
            <w:pPr/>
          </w:p>
        </w:tc>
        <w:tc>
          <w:tcPr>
            <w:tcW w:w="72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216" w:type="dxa"/>
            <w:gridSpan w:val="10"/>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63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1"/>
              <w:ind w:right="0"/>
              <w:jc w:val="left"/>
              <w:rPr>
                <w:rFonts w:ascii="Times New Roman" w:hAnsi="Times New Roman" w:cs="Times New Roman" w:eastAsia="Times New Roman" w:hint="default"/>
                <w:sz w:val="25"/>
                <w:szCs w:val="25"/>
              </w:rPr>
            </w:pPr>
          </w:p>
          <w:p>
            <w:pPr>
              <w:pStyle w:val="TableParagraph"/>
              <w:spacing w:line="316" w:lineRule="auto"/>
              <w:ind w:left="22" w:right="160"/>
              <w:jc w:val="left"/>
              <w:rPr>
                <w:rFonts w:ascii="宋体" w:hAnsi="宋体" w:cs="宋体" w:eastAsia="宋体" w:hint="default"/>
                <w:sz w:val="18"/>
                <w:szCs w:val="18"/>
              </w:rPr>
            </w:pPr>
            <w:r>
              <w:rPr>
                <w:rFonts w:ascii="宋体" w:hAnsi="宋体" w:cs="宋体" w:eastAsia="宋体" w:hint="default"/>
                <w:sz w:val="18"/>
                <w:szCs w:val="18"/>
              </w:rPr>
              <w:t>募集资金投资项目 实施方式调整情况</w:t>
            </w:r>
          </w:p>
        </w:tc>
        <w:tc>
          <w:tcPr>
            <w:tcW w:w="72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216"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402" w:hRule="exact"/>
        </w:trPr>
        <w:tc>
          <w:tcPr>
            <w:tcW w:w="1635" w:type="dxa"/>
            <w:vMerge/>
            <w:tcBorders>
              <w:left w:val="single" w:sz="4" w:space="0" w:color="000000"/>
              <w:right w:val="single" w:sz="4" w:space="0" w:color="000000"/>
            </w:tcBorders>
            <w:shd w:val="clear" w:color="auto" w:fill="D2D2D2"/>
          </w:tcPr>
          <w:p>
            <w:pPr/>
          </w:p>
        </w:tc>
        <w:tc>
          <w:tcPr>
            <w:tcW w:w="72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216" w:type="dxa"/>
            <w:gridSpan w:val="10"/>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635" w:type="dxa"/>
            <w:vMerge/>
            <w:tcBorders>
              <w:left w:val="single" w:sz="4" w:space="0" w:color="000000"/>
              <w:bottom w:val="single" w:sz="4" w:space="0" w:color="000000"/>
              <w:right w:val="single" w:sz="4" w:space="0" w:color="000000"/>
            </w:tcBorders>
            <w:shd w:val="clear" w:color="auto" w:fill="D2D2D2"/>
          </w:tcPr>
          <w:p>
            <w:pPr/>
          </w:p>
        </w:tc>
        <w:tc>
          <w:tcPr>
            <w:tcW w:w="72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216" w:type="dxa"/>
            <w:gridSpan w:val="10"/>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635"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2"/>
              <w:ind w:left="22" w:right="160"/>
              <w:jc w:val="both"/>
              <w:rPr>
                <w:rFonts w:ascii="宋体" w:hAnsi="宋体" w:cs="宋体" w:eastAsia="宋体" w:hint="default"/>
                <w:sz w:val="18"/>
                <w:szCs w:val="18"/>
              </w:rPr>
            </w:pPr>
            <w:r>
              <w:rPr>
                <w:rFonts w:ascii="宋体" w:hAnsi="宋体" w:cs="宋体" w:eastAsia="宋体" w:hint="default"/>
                <w:sz w:val="18"/>
                <w:szCs w:val="18"/>
              </w:rPr>
              <w:t>募集资金投资项目 先期投入及置换情 况</w:t>
            </w:r>
          </w:p>
        </w:tc>
        <w:tc>
          <w:tcPr>
            <w:tcW w:w="72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216"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625" w:hRule="exact"/>
        </w:trPr>
        <w:tc>
          <w:tcPr>
            <w:tcW w:w="1635" w:type="dxa"/>
            <w:vMerge/>
            <w:tcBorders>
              <w:left w:val="single" w:sz="4" w:space="0" w:color="000000"/>
              <w:bottom w:val="single" w:sz="4" w:space="0" w:color="000000"/>
              <w:right w:val="single" w:sz="4" w:space="0" w:color="000000"/>
            </w:tcBorders>
            <w:shd w:val="clear" w:color="auto" w:fill="D2D2D2"/>
          </w:tcPr>
          <w:p>
            <w:pPr/>
          </w:p>
        </w:tc>
        <w:tc>
          <w:tcPr>
            <w:tcW w:w="72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216" w:type="dxa"/>
            <w:gridSpan w:val="10"/>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77" w:footer="979" w:top="110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
        <w:rPr>
          <w:rFonts w:ascii="Times New Roman" w:hAnsi="Times New Roman" w:cs="Times New Roman" w:eastAsia="Times New Roman" w:hint="default"/>
          <w:sz w:val="15"/>
          <w:szCs w:val="15"/>
        </w:rPr>
      </w:pPr>
    </w:p>
    <w:p>
      <w:pPr>
        <w:spacing w:before="0"/>
        <w:ind w:left="0" w:right="1135" w:firstLine="0"/>
        <w:jc w:val="right"/>
        <w:rPr>
          <w:rFonts w:ascii="宋体" w:hAnsi="宋体" w:cs="宋体" w:eastAsia="宋体" w:hint="default"/>
          <w:sz w:val="18"/>
          <w:szCs w:val="18"/>
        </w:rPr>
      </w:pPr>
      <w:r>
        <w:rPr/>
        <w:pict>
          <v:shape style="position:absolute;margin-left:56.459999pt;margin-top:-107.64827pt;width:479.35pt;height:358.7pt;mso-position-horizontal-relative:page;mso-position-vertical-relative:paragraph;z-index:131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635"/>
                    <w:gridCol w:w="721"/>
                    <w:gridCol w:w="7216"/>
                  </w:tblGrid>
                  <w:tr>
                    <w:trPr>
                      <w:trHeight w:val="402" w:hRule="exact"/>
                    </w:trPr>
                    <w:tc>
                      <w:tcPr>
                        <w:tcW w:w="1635"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51"/>
                          <w:ind w:left="22" w:right="160"/>
                          <w:jc w:val="both"/>
                          <w:rPr>
                            <w:rFonts w:ascii="宋体" w:hAnsi="宋体" w:cs="宋体" w:eastAsia="宋体" w:hint="default"/>
                            <w:sz w:val="18"/>
                            <w:szCs w:val="18"/>
                          </w:rPr>
                        </w:pPr>
                        <w:r>
                          <w:rPr>
                            <w:rFonts w:ascii="宋体" w:hAnsi="宋体" w:cs="宋体" w:eastAsia="宋体" w:hint="default"/>
                            <w:sz w:val="18"/>
                            <w:szCs w:val="18"/>
                          </w:rPr>
                          <w:t>用闲置募集资金暂 时补充流动资金情 况</w:t>
                        </w:r>
                      </w:p>
                    </w:tc>
                    <w:tc>
                      <w:tcPr>
                        <w:tcW w:w="72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624" w:hRule="exact"/>
                    </w:trPr>
                    <w:tc>
                      <w:tcPr>
                        <w:tcW w:w="1635" w:type="dxa"/>
                        <w:vMerge/>
                        <w:tcBorders>
                          <w:left w:val="single" w:sz="4" w:space="0" w:color="000000"/>
                          <w:bottom w:val="single" w:sz="4" w:space="0" w:color="000000"/>
                          <w:right w:val="single" w:sz="4" w:space="0" w:color="000000"/>
                        </w:tcBorders>
                        <w:shd w:val="clear" w:color="auto" w:fill="D2D2D2"/>
                      </w:tcPr>
                      <w:p>
                        <w:pPr/>
                      </w:p>
                    </w:tc>
                    <w:tc>
                      <w:tcPr>
                        <w:tcW w:w="72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21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63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1"/>
                            <w:szCs w:val="21"/>
                          </w:rPr>
                        </w:pPr>
                      </w:p>
                      <w:p>
                        <w:pPr>
                          <w:pStyle w:val="TableParagraph"/>
                          <w:spacing w:line="316" w:lineRule="auto"/>
                          <w:ind w:left="22" w:right="160"/>
                          <w:jc w:val="both"/>
                          <w:rPr>
                            <w:rFonts w:ascii="宋体" w:hAnsi="宋体" w:cs="宋体" w:eastAsia="宋体" w:hint="default"/>
                            <w:sz w:val="18"/>
                            <w:szCs w:val="18"/>
                          </w:rPr>
                        </w:pPr>
                        <w:r>
                          <w:rPr>
                            <w:rFonts w:ascii="宋体" w:hAnsi="宋体" w:cs="宋体" w:eastAsia="宋体" w:hint="default"/>
                            <w:sz w:val="18"/>
                            <w:szCs w:val="18"/>
                          </w:rPr>
                          <w:t>项目实施出现募集 资金结余的金额及 原因</w:t>
                        </w:r>
                      </w:p>
                    </w:tc>
                    <w:tc>
                      <w:tcPr>
                        <w:tcW w:w="72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适用</w:t>
                        </w:r>
                      </w:p>
                    </w:tc>
                  </w:tr>
                  <w:tr>
                    <w:trPr>
                      <w:trHeight w:val="2978" w:hRule="exact"/>
                    </w:trPr>
                    <w:tc>
                      <w:tcPr>
                        <w:tcW w:w="1635" w:type="dxa"/>
                        <w:vMerge/>
                        <w:tcBorders>
                          <w:left w:val="single" w:sz="4" w:space="0" w:color="000000"/>
                          <w:bottom w:val="single" w:sz="4" w:space="0" w:color="000000"/>
                          <w:right w:val="single" w:sz="4" w:space="0" w:color="000000"/>
                        </w:tcBorders>
                        <w:shd w:val="clear" w:color="auto" w:fill="D2D2D2"/>
                      </w:tcPr>
                      <w:p>
                        <w:pPr/>
                      </w:p>
                    </w:tc>
                    <w:tc>
                      <w:tcPr>
                        <w:tcW w:w="72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21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3" w:right="20"/>
                          <w:jc w:val="left"/>
                          <w:rPr>
                            <w:rFonts w:ascii="宋体" w:hAnsi="宋体" w:cs="宋体" w:eastAsia="宋体" w:hint="default"/>
                            <w:sz w:val="18"/>
                            <w:szCs w:val="18"/>
                          </w:rPr>
                        </w:pPr>
                        <w:r>
                          <w:rPr>
                            <w:rFonts w:ascii="Times New Roman" w:hAnsi="Times New Roman" w:cs="Times New Roman" w:eastAsia="Times New Roman" w:hint="default"/>
                            <w:spacing w:val="-1"/>
                            <w:sz w:val="18"/>
                            <w:szCs w:val="18"/>
                          </w:rPr>
                          <w:t>1</w:t>
                        </w:r>
                        <w:r>
                          <w:rPr>
                            <w:rFonts w:ascii="宋体" w:hAnsi="宋体" w:cs="宋体" w:eastAsia="宋体" w:hint="default"/>
                            <w:spacing w:val="-1"/>
                            <w:sz w:val="18"/>
                            <w:szCs w:val="18"/>
                          </w:rPr>
                          <w:t>、公司首次公开发行股票并在创业板上市募集资金投资项目</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智能一卡通整体解决方案技术</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升级及产业化项目</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研发中心升级扩建项目</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营销与客服网络扩建项目</w:t>
                        </w:r>
                        <w:r>
                          <w:rPr>
                            <w:rFonts w:ascii="Times New Roman" w:hAnsi="Times New Roman" w:cs="Times New Roman" w:eastAsia="Times New Roman" w:hint="default"/>
                            <w:sz w:val="18"/>
                            <w:szCs w:val="18"/>
                          </w:rPr>
                          <w:t>”</w:t>
                        </w:r>
                        <w:r>
                          <w:rPr>
                            <w:rFonts w:ascii="宋体" w:hAnsi="宋体" w:cs="宋体" w:eastAsia="宋体" w:hint="default"/>
                            <w:sz w:val="18"/>
                            <w:szCs w:val="18"/>
                          </w:rPr>
                          <w:t>已经结项； </w:t>
                        </w: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、上述三个项目承诺投入募集资金总额</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16,025.10 </w:t>
                        </w:r>
                        <w:r>
                          <w:rPr>
                            <w:rFonts w:ascii="宋体" w:hAnsi="宋体" w:cs="宋体" w:eastAsia="宋体" w:hint="default"/>
                            <w:spacing w:val="-10"/>
                            <w:sz w:val="18"/>
                            <w:szCs w:val="18"/>
                          </w:rPr>
                          <w:t>万元，结项时（截至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2014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31 </w:t>
                        </w:r>
                        <w:r>
                          <w:rPr>
                            <w:rFonts w:ascii="宋体" w:hAnsi="宋体" w:cs="宋体" w:eastAsia="宋体" w:hint="default"/>
                            <w:spacing w:val="-45"/>
                            <w:sz w:val="18"/>
                            <w:szCs w:val="18"/>
                          </w:rPr>
                          <w:t>日）</w:t>
                        </w:r>
                        <w:r>
                          <w:rPr>
                            <w:rFonts w:ascii="宋体" w:hAnsi="宋体" w:cs="宋体" w:eastAsia="宋体" w:hint="default"/>
                            <w:sz w:val="18"/>
                            <w:szCs w:val="18"/>
                          </w:rPr>
                        </w:r>
                      </w:p>
                      <w:p>
                        <w:pPr>
                          <w:pStyle w:val="TableParagraph"/>
                          <w:spacing w:line="246" w:lineRule="exact"/>
                          <w:ind w:left="23" w:right="0"/>
                          <w:jc w:val="left"/>
                          <w:rPr>
                            <w:rFonts w:ascii="宋体" w:hAnsi="宋体" w:cs="宋体" w:eastAsia="宋体" w:hint="default"/>
                            <w:sz w:val="18"/>
                            <w:szCs w:val="18"/>
                          </w:rPr>
                        </w:pPr>
                        <w:r>
                          <w:rPr>
                            <w:rFonts w:ascii="宋体" w:hAnsi="宋体" w:cs="宋体" w:eastAsia="宋体" w:hint="default"/>
                            <w:sz w:val="18"/>
                            <w:szCs w:val="18"/>
                          </w:rPr>
                          <w:t>募集资金投入总额</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16,918.15</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万元，其中已累计投入募集资金</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16,109.65</w:t>
                        </w:r>
                        <w:r>
                          <w:rPr>
                            <w:rFonts w:ascii="Times New Roman" w:hAnsi="Times New Roman" w:cs="Times New Roman" w:eastAsia="Times New Roman" w:hint="default"/>
                            <w:spacing w:val="-5"/>
                            <w:sz w:val="18"/>
                            <w:szCs w:val="18"/>
                          </w:rPr>
                          <w:t> </w:t>
                        </w:r>
                        <w:r>
                          <w:rPr>
                            <w:rFonts w:ascii="宋体" w:hAnsi="宋体" w:cs="宋体" w:eastAsia="宋体" w:hint="default"/>
                            <w:spacing w:val="-3"/>
                            <w:sz w:val="18"/>
                            <w:szCs w:val="18"/>
                          </w:rPr>
                          <w:t>万元，应付未付金额</w:t>
                        </w:r>
                      </w:p>
                      <w:p>
                        <w:pPr>
                          <w:pStyle w:val="TableParagraph"/>
                          <w:spacing w:line="240" w:lineRule="auto" w:before="63"/>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808.50 </w:t>
                        </w:r>
                        <w:r>
                          <w:rPr>
                            <w:rFonts w:ascii="宋体" w:hAnsi="宋体" w:cs="宋体" w:eastAsia="宋体" w:hint="default"/>
                            <w:sz w:val="18"/>
                            <w:szCs w:val="18"/>
                          </w:rPr>
                          <w:t>万元，募投项目节余资金</w:t>
                        </w:r>
                        <w:r>
                          <w:rPr>
                            <w:rFonts w:ascii="Times New Roman" w:hAnsi="Times New Roman" w:cs="Times New Roman" w:eastAsia="Times New Roman" w:hint="default"/>
                            <w:sz w:val="18"/>
                            <w:szCs w:val="18"/>
                          </w:rPr>
                          <w:t>-893.05</w:t>
                        </w:r>
                        <w:r>
                          <w:rPr>
                            <w:rFonts w:ascii="Times New Roman" w:hAnsi="Times New Roman" w:cs="Times New Roman" w:eastAsia="Times New Roman" w:hint="default"/>
                            <w:spacing w:val="-14"/>
                            <w:sz w:val="18"/>
                            <w:szCs w:val="18"/>
                          </w:rPr>
                          <w:t> </w:t>
                        </w:r>
                        <w:r>
                          <w:rPr>
                            <w:rFonts w:ascii="宋体" w:hAnsi="宋体" w:cs="宋体" w:eastAsia="宋体" w:hint="default"/>
                            <w:sz w:val="18"/>
                            <w:szCs w:val="18"/>
                          </w:rPr>
                          <w:t>万元。由于募集资金专户利息收入（扣除手续费后</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净额为</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1,010.79</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万元，故节余资金总计</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117.74</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万元；</w:t>
                        </w:r>
                      </w:p>
                      <w:p>
                        <w:pPr>
                          <w:pStyle w:val="TableParagraph"/>
                          <w:spacing w:line="240" w:lineRule="auto" w:before="101"/>
                          <w:ind w:left="23" w:right="0"/>
                          <w:jc w:val="left"/>
                          <w:rPr>
                            <w:rFonts w:ascii="宋体" w:hAnsi="宋体" w:cs="宋体" w:eastAsia="宋体" w:hint="default"/>
                            <w:sz w:val="18"/>
                            <w:szCs w:val="18"/>
                          </w:rPr>
                        </w:pPr>
                        <w:r>
                          <w:rPr>
                            <w:rFonts w:ascii="Times New Roman" w:hAnsi="Times New Roman" w:cs="Times New Roman" w:eastAsia="Times New Roman" w:hint="default"/>
                            <w:spacing w:val="-4"/>
                            <w:sz w:val="18"/>
                            <w:szCs w:val="18"/>
                          </w:rPr>
                          <w:t>3</w:t>
                        </w:r>
                        <w:r>
                          <w:rPr>
                            <w:rFonts w:ascii="宋体" w:hAnsi="宋体" w:cs="宋体" w:eastAsia="宋体" w:hint="default"/>
                            <w:spacing w:val="-4"/>
                            <w:sz w:val="18"/>
                            <w:szCs w:val="18"/>
                          </w:rPr>
                          <w:t>、鉴于上述三个项目结项后，公司将募集资金专户内剩余的募集资金共计约 </w:t>
                        </w:r>
                        <w:r>
                          <w:rPr>
                            <w:rFonts w:ascii="Times New Roman" w:hAnsi="Times New Roman" w:cs="Times New Roman" w:eastAsia="Times New Roman" w:hint="default"/>
                            <w:sz w:val="18"/>
                            <w:szCs w:val="18"/>
                          </w:rPr>
                          <w:t>926.24</w:t>
                        </w:r>
                        <w:r>
                          <w:rPr>
                            <w:rFonts w:ascii="Times New Roman" w:hAnsi="Times New Roman" w:cs="Times New Roman" w:eastAsia="Times New Roman" w:hint="default"/>
                            <w:spacing w:val="-23"/>
                            <w:sz w:val="18"/>
                            <w:szCs w:val="18"/>
                          </w:rPr>
                          <w:t> </w:t>
                        </w:r>
                        <w:r>
                          <w:rPr>
                            <w:rFonts w:ascii="宋体" w:hAnsi="宋体" w:cs="宋体" w:eastAsia="宋体" w:hint="default"/>
                            <w:spacing w:val="-15"/>
                            <w:sz w:val="18"/>
                            <w:szCs w:val="18"/>
                          </w:rPr>
                          <w:t>万元（含</w:t>
                        </w:r>
                      </w:p>
                      <w:p>
                        <w:pPr>
                          <w:pStyle w:val="TableParagraph"/>
                          <w:spacing w:line="302" w:lineRule="auto" w:before="63"/>
                          <w:ind w:left="23" w:right="78"/>
                          <w:jc w:val="left"/>
                          <w:rPr>
                            <w:rFonts w:ascii="宋体" w:hAnsi="宋体" w:cs="宋体" w:eastAsia="宋体" w:hint="default"/>
                            <w:sz w:val="18"/>
                            <w:szCs w:val="18"/>
                          </w:rPr>
                        </w:pPr>
                        <w:r>
                          <w:rPr>
                            <w:rFonts w:ascii="宋体" w:hAnsi="宋体" w:cs="宋体" w:eastAsia="宋体" w:hint="default"/>
                            <w:sz w:val="18"/>
                            <w:szCs w:val="18"/>
                          </w:rPr>
                          <w:t>节余资金</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117.74</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万元、应付未付金额</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808.50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万元）永久性补充流动资金，且募集资金专户 已经注销，故募集资金投资项目应付未付金额由公司自有资金进行支付。</w:t>
                        </w:r>
                      </w:p>
                    </w:tc>
                  </w:tr>
                  <w:tr>
                    <w:trPr>
                      <w:trHeight w:val="1729" w:hRule="exact"/>
                    </w:trPr>
                    <w:tc>
                      <w:tcPr>
                        <w:tcW w:w="16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4"/>
                            <w:szCs w:val="24"/>
                          </w:rPr>
                        </w:pPr>
                      </w:p>
                      <w:p>
                        <w:pPr>
                          <w:pStyle w:val="TableParagraph"/>
                          <w:spacing w:line="319" w:lineRule="auto"/>
                          <w:ind w:left="22" w:right="160"/>
                          <w:jc w:val="left"/>
                          <w:rPr>
                            <w:rFonts w:ascii="宋体" w:hAnsi="宋体" w:cs="宋体" w:eastAsia="宋体" w:hint="default"/>
                            <w:sz w:val="18"/>
                            <w:szCs w:val="18"/>
                          </w:rPr>
                        </w:pPr>
                        <w:r>
                          <w:rPr>
                            <w:rFonts w:ascii="宋体" w:hAnsi="宋体" w:cs="宋体" w:eastAsia="宋体" w:hint="default"/>
                            <w:sz w:val="18"/>
                            <w:szCs w:val="18"/>
                          </w:rPr>
                          <w:t>尚未使用的募集资 金用途及去向</w:t>
                        </w:r>
                      </w:p>
                    </w:tc>
                    <w:tc>
                      <w:tcPr>
                        <w:tcW w:w="72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pacing w:val="-5"/>
                            <w:sz w:val="18"/>
                            <w:szCs w:val="18"/>
                          </w:rPr>
                          <w:t>1</w:t>
                        </w:r>
                        <w:r>
                          <w:rPr>
                            <w:rFonts w:ascii="宋体" w:hAnsi="宋体" w:cs="宋体" w:eastAsia="宋体" w:hint="default"/>
                            <w:spacing w:val="-5"/>
                            <w:sz w:val="18"/>
                            <w:szCs w:val="18"/>
                          </w:rPr>
                          <w:t>、公司于</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日办理了</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年重大资产重组募集配套资金专户的注销手续，账</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户内利息余额</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0.32 </w:t>
                        </w:r>
                        <w:r>
                          <w:rPr>
                            <w:rFonts w:ascii="宋体" w:hAnsi="宋体" w:cs="宋体" w:eastAsia="宋体" w:hint="default"/>
                            <w:sz w:val="18"/>
                            <w:szCs w:val="18"/>
                          </w:rPr>
                          <w:t>万元转入公司基本户内。</w:t>
                        </w:r>
                      </w:p>
                      <w:p>
                        <w:pPr>
                          <w:pStyle w:val="TableParagraph"/>
                          <w:spacing w:line="240" w:lineRule="auto" w:before="102"/>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、公司使用暂时闲置的募集资金进行现金管理部分期末未到期，分别为渤海银行</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5,700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郑州银行</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7,400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万、交通银行</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1,500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万，共计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14,600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p>
                      <w:p>
                        <w:pPr>
                          <w:pStyle w:val="TableParagraph"/>
                          <w:spacing w:line="240" w:lineRule="auto" w:before="102"/>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、其余尚未使用的募集资金均存储于募集资金专户中。</w:t>
                        </w:r>
                      </w:p>
                    </w:tc>
                  </w:tr>
                  <w:tr>
                    <w:trPr>
                      <w:trHeight w:val="1028" w:hRule="exact"/>
                    </w:trPr>
                    <w:tc>
                      <w:tcPr>
                        <w:tcW w:w="16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2"/>
                          <w:ind w:left="22" w:right="160"/>
                          <w:jc w:val="both"/>
                          <w:rPr>
                            <w:rFonts w:ascii="宋体" w:hAnsi="宋体" w:cs="宋体" w:eastAsia="宋体" w:hint="default"/>
                            <w:sz w:val="18"/>
                            <w:szCs w:val="18"/>
                          </w:rPr>
                        </w:pPr>
                        <w:r>
                          <w:rPr>
                            <w:rFonts w:ascii="宋体" w:hAnsi="宋体" w:cs="宋体" w:eastAsia="宋体" w:hint="default"/>
                            <w:sz w:val="18"/>
                            <w:szCs w:val="18"/>
                          </w:rPr>
                          <w:t>募集资金使用及披 露中存在的问题或 其他情况</w:t>
                        </w:r>
                      </w:p>
                    </w:tc>
                    <w:tc>
                      <w:tcPr>
                        <w:tcW w:w="72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3" w:right="0"/>
                          <w:jc w:val="left"/>
                          <w:rPr>
                            <w:rFonts w:ascii="宋体" w:hAnsi="宋体" w:cs="宋体" w:eastAsia="宋体" w:hint="default"/>
                            <w:sz w:val="18"/>
                            <w:szCs w:val="18"/>
                          </w:rPr>
                        </w:pPr>
                        <w:r>
                          <w:rPr>
                            <w:rFonts w:ascii="宋体" w:hAnsi="宋体" w:cs="宋体" w:eastAsia="宋体" w:hint="default"/>
                            <w:sz w:val="18"/>
                            <w:szCs w:val="18"/>
                          </w:rPr>
                          <w:t>不适用</w:t>
                        </w:r>
                      </w:p>
                    </w:tc>
                  </w:tr>
                </w:tbl>
                <w:p>
                  <w:pPr/>
                </w:p>
              </w:txbxContent>
            </v:textbox>
            <w10:wrap type="none"/>
          </v:shape>
        </w:pict>
      </w:r>
      <w:r>
        <w:rPr>
          <w:rFonts w:ascii="宋体" w:hAnsi="宋体" w:cs="宋体" w:eastAsia="宋体" w:hint="default"/>
          <w:sz w:val="18"/>
          <w:szCs w:val="18"/>
        </w:rPr>
        <w:t>，</w:t>
      </w:r>
    </w:p>
    <w:p>
      <w:pPr>
        <w:spacing w:line="240" w:lineRule="auto" w:before="4"/>
        <w:rPr>
          <w:rFonts w:ascii="宋体" w:hAnsi="宋体" w:cs="宋体" w:eastAsia="宋体" w:hint="default"/>
          <w:sz w:val="26"/>
          <w:szCs w:val="26"/>
        </w:rPr>
      </w:pPr>
    </w:p>
    <w:p>
      <w:pPr>
        <w:spacing w:before="44"/>
        <w:ind w:left="0" w:right="1137" w:firstLine="0"/>
        <w:jc w:val="right"/>
        <w:rPr>
          <w:rFonts w:ascii="宋体" w:hAnsi="宋体" w:cs="宋体" w:eastAsia="宋体" w:hint="default"/>
          <w:sz w:val="18"/>
          <w:szCs w:val="18"/>
        </w:rPr>
      </w:pPr>
      <w:r>
        <w:rPr>
          <w:rFonts w:ascii="宋体" w:hAnsi="宋体" w:cs="宋体" w:eastAsia="宋体" w:hint="default"/>
          <w:sz w:val="18"/>
          <w:szCs w:val="18"/>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8"/>
          <w:szCs w:val="18"/>
        </w:rPr>
      </w:pPr>
    </w:p>
    <w:p>
      <w:pPr>
        <w:spacing w:before="44"/>
        <w:ind w:left="0" w:right="1140" w:firstLine="0"/>
        <w:jc w:val="right"/>
        <w:rPr>
          <w:rFonts w:ascii="宋体" w:hAnsi="宋体" w:cs="宋体" w:eastAsia="宋体" w:hint="default"/>
          <w:sz w:val="18"/>
          <w:szCs w:val="18"/>
        </w:rPr>
      </w:pPr>
      <w:r>
        <w:rPr>
          <w:rFonts w:ascii="宋体" w:hAnsi="宋体" w:cs="宋体" w:eastAsia="宋体" w:hint="default"/>
          <w:sz w:val="18"/>
          <w:szCs w:val="18"/>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7"/>
          <w:szCs w:val="17"/>
        </w:rPr>
      </w:pPr>
    </w:p>
    <w:p>
      <w:pPr>
        <w:pStyle w:val="Heading4"/>
        <w:spacing w:line="240" w:lineRule="auto" w:before="35"/>
        <w:ind w:right="1117"/>
        <w:jc w:val="left"/>
        <w:rPr>
          <w:b w:val="0"/>
          <w:bCs w:val="0"/>
        </w:rPr>
      </w:pPr>
      <w:bookmarkStart w:name="（3）募集资金变更项目情况" w:id="51"/>
      <w:bookmarkEnd w:id="51"/>
      <w:r>
        <w:rPr>
          <w:b w:val="0"/>
          <w:bCs w:val="0"/>
        </w:rPr>
      </w:r>
      <w:r>
        <w:rPr/>
        <w:t>（</w:t>
      </w:r>
      <w:r>
        <w:rPr>
          <w:rFonts w:ascii="Times New Roman" w:hAnsi="Times New Roman" w:cs="Times New Roman" w:eastAsia="Times New Roman" w:hint="default"/>
        </w:rPr>
        <w:t>3</w:t>
      </w:r>
      <w:r>
        <w:rPr/>
        <w:t>）募集资金变更项目情况</w:t>
      </w:r>
      <w:r>
        <w:rPr>
          <w:b w:val="0"/>
          <w:bCs w:val="0"/>
        </w:rPr>
      </w:r>
    </w:p>
    <w:p>
      <w:pPr>
        <w:spacing w:line="240" w:lineRule="auto" w:before="8"/>
        <w:rPr>
          <w:rFonts w:ascii="宋体" w:hAnsi="宋体" w:cs="宋体" w:eastAsia="宋体" w:hint="default"/>
          <w:b/>
          <w:bCs/>
          <w:sz w:val="26"/>
          <w:szCs w:val="26"/>
        </w:rPr>
      </w:pPr>
    </w:p>
    <w:p>
      <w:pPr>
        <w:spacing w:line="338" w:lineRule="auto" w:before="0"/>
        <w:ind w:left="154" w:right="733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公司报告期不存在募集资金变更项目情况。</w:t>
      </w:r>
    </w:p>
    <w:p>
      <w:pPr>
        <w:spacing w:line="240" w:lineRule="auto" w:before="4"/>
        <w:rPr>
          <w:rFonts w:ascii="宋体" w:hAnsi="宋体" w:cs="宋体" w:eastAsia="宋体" w:hint="default"/>
          <w:sz w:val="19"/>
          <w:szCs w:val="19"/>
        </w:rPr>
      </w:pPr>
    </w:p>
    <w:p>
      <w:pPr>
        <w:pStyle w:val="Heading2"/>
        <w:spacing w:line="240" w:lineRule="auto"/>
        <w:ind w:right="1117"/>
        <w:jc w:val="left"/>
        <w:rPr>
          <w:b w:val="0"/>
          <w:bCs w:val="0"/>
        </w:rPr>
      </w:pPr>
      <w:bookmarkStart w:name="六、重大资产和股权出售" w:id="52"/>
      <w:bookmarkEnd w:id="52"/>
      <w:r>
        <w:rPr>
          <w:b w:val="0"/>
          <w:bCs w:val="0"/>
        </w:rPr>
      </w:r>
      <w:r>
        <w:rPr/>
        <w:t>六、重大资产和股权出售</w:t>
      </w:r>
      <w:r>
        <w:rPr>
          <w:b w:val="0"/>
          <w:bCs w:val="0"/>
        </w:rPr>
      </w:r>
    </w:p>
    <w:p>
      <w:pPr>
        <w:spacing w:line="240" w:lineRule="auto" w:before="9"/>
        <w:rPr>
          <w:rFonts w:ascii="宋体" w:hAnsi="宋体" w:cs="宋体" w:eastAsia="宋体" w:hint="default"/>
          <w:b/>
          <w:bCs/>
          <w:sz w:val="24"/>
          <w:szCs w:val="24"/>
        </w:rPr>
      </w:pPr>
    </w:p>
    <w:p>
      <w:pPr>
        <w:pStyle w:val="Heading4"/>
        <w:spacing w:line="240" w:lineRule="auto"/>
        <w:ind w:right="1117"/>
        <w:jc w:val="left"/>
        <w:rPr>
          <w:b w:val="0"/>
          <w:bCs w:val="0"/>
        </w:rPr>
      </w:pPr>
      <w:bookmarkStart w:name="1、出售重大资产情况" w:id="53"/>
      <w:bookmarkEnd w:id="53"/>
      <w:r>
        <w:rPr>
          <w:b w:val="0"/>
          <w:bCs w:val="0"/>
        </w:rPr>
      </w:r>
      <w:r>
        <w:rPr>
          <w:rFonts w:ascii="Times New Roman" w:hAnsi="Times New Roman" w:cs="Times New Roman" w:eastAsia="Times New Roman" w:hint="default"/>
        </w:rPr>
        <w:t>1</w:t>
      </w:r>
      <w:r>
        <w:rPr/>
        <w:t>、出售重大资产情况</w:t>
      </w:r>
      <w:r>
        <w:rPr>
          <w:b w:val="0"/>
          <w:bCs w:val="0"/>
        </w:rPr>
      </w:r>
    </w:p>
    <w:p>
      <w:pPr>
        <w:spacing w:line="240" w:lineRule="auto" w:before="8"/>
        <w:rPr>
          <w:rFonts w:ascii="宋体" w:hAnsi="宋体" w:cs="宋体" w:eastAsia="宋体" w:hint="default"/>
          <w:b/>
          <w:bCs/>
          <w:sz w:val="26"/>
          <w:szCs w:val="26"/>
        </w:rPr>
      </w:pPr>
    </w:p>
    <w:p>
      <w:pPr>
        <w:spacing w:line="340" w:lineRule="auto" w:before="0"/>
        <w:ind w:left="154" w:right="841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公司报告期未出售重大资产。</w:t>
      </w:r>
    </w:p>
    <w:p>
      <w:pPr>
        <w:spacing w:line="240" w:lineRule="auto" w:before="12"/>
        <w:rPr>
          <w:rFonts w:ascii="宋体" w:hAnsi="宋体" w:cs="宋体" w:eastAsia="宋体" w:hint="default"/>
          <w:sz w:val="20"/>
          <w:szCs w:val="20"/>
        </w:rPr>
      </w:pPr>
    </w:p>
    <w:p>
      <w:pPr>
        <w:pStyle w:val="Heading4"/>
        <w:spacing w:line="240" w:lineRule="auto"/>
        <w:ind w:right="1117"/>
        <w:jc w:val="left"/>
        <w:rPr>
          <w:b w:val="0"/>
          <w:bCs w:val="0"/>
        </w:rPr>
      </w:pPr>
      <w:bookmarkStart w:name="2、出售重大股权情况" w:id="54"/>
      <w:bookmarkEnd w:id="54"/>
      <w:r>
        <w:rPr>
          <w:b w:val="0"/>
          <w:bCs w:val="0"/>
        </w:rPr>
      </w:r>
      <w:r>
        <w:rPr>
          <w:rFonts w:ascii="Times New Roman" w:hAnsi="Times New Roman" w:cs="Times New Roman" w:eastAsia="Times New Roman" w:hint="default"/>
        </w:rPr>
        <w:t>2</w:t>
      </w:r>
      <w:r>
        <w:rPr/>
        <w:t>、出售重大股权情况</w:t>
      </w:r>
      <w:r>
        <w:rPr>
          <w:b w:val="0"/>
          <w:bCs w:val="0"/>
        </w:rPr>
      </w:r>
    </w:p>
    <w:p>
      <w:pPr>
        <w:spacing w:line="240" w:lineRule="auto" w:before="9"/>
        <w:rPr>
          <w:rFonts w:ascii="宋体" w:hAnsi="宋体" w:cs="宋体" w:eastAsia="宋体" w:hint="default"/>
          <w:b/>
          <w:bCs/>
          <w:sz w:val="26"/>
          <w:szCs w:val="26"/>
        </w:rPr>
      </w:pPr>
    </w:p>
    <w:p>
      <w:pPr>
        <w:spacing w:before="0"/>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3"/>
        <w:rPr>
          <w:rFonts w:ascii="宋体" w:hAnsi="宋体" w:cs="宋体" w:eastAsia="宋体" w:hint="default"/>
          <w:sz w:val="23"/>
          <w:szCs w:val="23"/>
        </w:rPr>
      </w:pPr>
    </w:p>
    <w:p>
      <w:pPr>
        <w:pStyle w:val="Heading2"/>
        <w:spacing w:line="240" w:lineRule="auto"/>
        <w:ind w:right="1117"/>
        <w:jc w:val="left"/>
        <w:rPr>
          <w:b w:val="0"/>
          <w:bCs w:val="0"/>
        </w:rPr>
      </w:pPr>
      <w:bookmarkStart w:name="七、主要控股参股公司分析" w:id="55"/>
      <w:bookmarkEnd w:id="55"/>
      <w:r>
        <w:rPr>
          <w:b w:val="0"/>
          <w:bCs w:val="0"/>
        </w:rPr>
      </w:r>
      <w:r>
        <w:rPr/>
        <w:t>七、主要控股参股公司分析</w:t>
      </w:r>
      <w:r>
        <w:rPr>
          <w:b w:val="0"/>
          <w:bCs w:val="0"/>
        </w:rPr>
      </w:r>
    </w:p>
    <w:p>
      <w:pPr>
        <w:spacing w:line="240" w:lineRule="auto" w:before="9"/>
        <w:rPr>
          <w:rFonts w:ascii="宋体" w:hAnsi="宋体" w:cs="宋体" w:eastAsia="宋体" w:hint="default"/>
          <w:b/>
          <w:bCs/>
          <w:sz w:val="26"/>
          <w:szCs w:val="26"/>
        </w:rPr>
      </w:pPr>
    </w:p>
    <w:p>
      <w:pPr>
        <w:spacing w:before="0"/>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before="102"/>
        <w:ind w:left="154" w:right="1117" w:firstLine="0"/>
        <w:jc w:val="left"/>
        <w:rPr>
          <w:rFonts w:ascii="宋体" w:hAnsi="宋体" w:cs="宋体" w:eastAsia="宋体" w:hint="default"/>
          <w:sz w:val="18"/>
          <w:szCs w:val="18"/>
        </w:rPr>
      </w:pPr>
      <w:r>
        <w:rPr>
          <w:rFonts w:ascii="宋体" w:hAnsi="宋体" w:cs="宋体" w:eastAsia="宋体" w:hint="default"/>
          <w:sz w:val="18"/>
          <w:szCs w:val="18"/>
        </w:rPr>
        <w:t>主要子公司及对公司净利润影响达</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宋体" w:hAnsi="宋体" w:cs="宋体" w:eastAsia="宋体" w:hint="default"/>
          <w:sz w:val="18"/>
          <w:szCs w:val="18"/>
        </w:rPr>
        <w:t>以上的参股公司情况</w:t>
      </w:r>
    </w:p>
    <w:p>
      <w:pPr>
        <w:spacing w:after="0"/>
        <w:jc w:val="left"/>
        <w:rPr>
          <w:rFonts w:ascii="宋体" w:hAnsi="宋体" w:cs="宋体" w:eastAsia="宋体" w:hint="default"/>
          <w:sz w:val="18"/>
          <w:szCs w:val="18"/>
        </w:rPr>
        <w:sectPr>
          <w:pgSz w:w="11910" w:h="16840"/>
          <w:pgMar w:header="877" w:footer="979" w:top="1100" w:bottom="1160" w:left="980" w:right="0"/>
        </w:sectPr>
      </w:pPr>
    </w:p>
    <w:p>
      <w:pPr>
        <w:spacing w:line="240" w:lineRule="auto" w:before="13"/>
        <w:rPr>
          <w:rFonts w:ascii="宋体" w:hAnsi="宋体" w:cs="宋体" w:eastAsia="宋体" w:hint="default"/>
          <w:sz w:val="21"/>
          <w:szCs w:val="21"/>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054"/>
        <w:gridCol w:w="1196"/>
        <w:gridCol w:w="1045"/>
        <w:gridCol w:w="1046"/>
        <w:gridCol w:w="1045"/>
        <w:gridCol w:w="1045"/>
        <w:gridCol w:w="1046"/>
        <w:gridCol w:w="1045"/>
        <w:gridCol w:w="1046"/>
      </w:tblGrid>
      <w:tr>
        <w:trPr>
          <w:trHeight w:val="401" w:hRule="exact"/>
        </w:trPr>
        <w:tc>
          <w:tcPr>
            <w:tcW w:w="10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62" w:right="0"/>
              <w:jc w:val="left"/>
              <w:rPr>
                <w:rFonts w:ascii="宋体" w:hAnsi="宋体" w:cs="宋体" w:eastAsia="宋体" w:hint="default"/>
                <w:sz w:val="18"/>
                <w:szCs w:val="18"/>
              </w:rPr>
            </w:pPr>
            <w:r>
              <w:rPr>
                <w:rFonts w:ascii="宋体" w:hAnsi="宋体" w:cs="宋体" w:eastAsia="宋体" w:hint="default"/>
                <w:sz w:val="18"/>
                <w:szCs w:val="18"/>
              </w:rPr>
              <w:t>公司名称</w:t>
            </w: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33" w:right="0"/>
              <w:jc w:val="left"/>
              <w:rPr>
                <w:rFonts w:ascii="宋体" w:hAnsi="宋体" w:cs="宋体" w:eastAsia="宋体" w:hint="default"/>
                <w:sz w:val="18"/>
                <w:szCs w:val="18"/>
              </w:rPr>
            </w:pPr>
            <w:r>
              <w:rPr>
                <w:rFonts w:ascii="宋体" w:hAnsi="宋体" w:cs="宋体" w:eastAsia="宋体" w:hint="default"/>
                <w:sz w:val="18"/>
                <w:szCs w:val="18"/>
              </w:rPr>
              <w:t>公司类型</w:t>
            </w:r>
          </w:p>
        </w:tc>
        <w:tc>
          <w:tcPr>
            <w:tcW w:w="10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57" w:right="0"/>
              <w:jc w:val="left"/>
              <w:rPr>
                <w:rFonts w:ascii="宋体" w:hAnsi="宋体" w:cs="宋体" w:eastAsia="宋体" w:hint="default"/>
                <w:sz w:val="18"/>
                <w:szCs w:val="18"/>
              </w:rPr>
            </w:pPr>
            <w:r>
              <w:rPr>
                <w:rFonts w:ascii="宋体" w:hAnsi="宋体" w:cs="宋体" w:eastAsia="宋体" w:hint="default"/>
                <w:sz w:val="18"/>
                <w:szCs w:val="18"/>
              </w:rPr>
              <w:t>主要业务</w:t>
            </w:r>
          </w:p>
        </w:tc>
        <w:tc>
          <w:tcPr>
            <w:tcW w:w="10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57" w:right="0"/>
              <w:jc w:val="left"/>
              <w:rPr>
                <w:rFonts w:ascii="宋体" w:hAnsi="宋体" w:cs="宋体" w:eastAsia="宋体" w:hint="default"/>
                <w:sz w:val="18"/>
                <w:szCs w:val="18"/>
              </w:rPr>
            </w:pPr>
            <w:r>
              <w:rPr>
                <w:rFonts w:ascii="宋体" w:hAnsi="宋体" w:cs="宋体" w:eastAsia="宋体" w:hint="default"/>
                <w:sz w:val="18"/>
                <w:szCs w:val="18"/>
              </w:rPr>
              <w:t>注册资本</w:t>
            </w:r>
          </w:p>
        </w:tc>
        <w:tc>
          <w:tcPr>
            <w:tcW w:w="10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47" w:right="0"/>
              <w:jc w:val="left"/>
              <w:rPr>
                <w:rFonts w:ascii="宋体" w:hAnsi="宋体" w:cs="宋体" w:eastAsia="宋体" w:hint="default"/>
                <w:sz w:val="18"/>
                <w:szCs w:val="18"/>
              </w:rPr>
            </w:pPr>
            <w:r>
              <w:rPr>
                <w:rFonts w:ascii="宋体" w:hAnsi="宋体" w:cs="宋体" w:eastAsia="宋体" w:hint="default"/>
                <w:sz w:val="18"/>
                <w:szCs w:val="18"/>
              </w:rPr>
              <w:t>总资产</w:t>
            </w:r>
          </w:p>
        </w:tc>
        <w:tc>
          <w:tcPr>
            <w:tcW w:w="10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48" w:right="0"/>
              <w:jc w:val="left"/>
              <w:rPr>
                <w:rFonts w:ascii="宋体" w:hAnsi="宋体" w:cs="宋体" w:eastAsia="宋体" w:hint="default"/>
                <w:sz w:val="18"/>
                <w:szCs w:val="18"/>
              </w:rPr>
            </w:pPr>
            <w:r>
              <w:rPr>
                <w:rFonts w:ascii="宋体" w:hAnsi="宋体" w:cs="宋体" w:eastAsia="宋体" w:hint="default"/>
                <w:sz w:val="18"/>
                <w:szCs w:val="18"/>
              </w:rPr>
              <w:t>净资产</w:t>
            </w:r>
          </w:p>
        </w:tc>
        <w:tc>
          <w:tcPr>
            <w:tcW w:w="10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57"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0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57" w:right="0"/>
              <w:jc w:val="left"/>
              <w:rPr>
                <w:rFonts w:ascii="宋体" w:hAnsi="宋体" w:cs="宋体" w:eastAsia="宋体" w:hint="default"/>
                <w:sz w:val="18"/>
                <w:szCs w:val="18"/>
              </w:rPr>
            </w:pPr>
            <w:r>
              <w:rPr>
                <w:rFonts w:ascii="宋体" w:hAnsi="宋体" w:cs="宋体" w:eastAsia="宋体" w:hint="default"/>
                <w:sz w:val="18"/>
                <w:szCs w:val="18"/>
              </w:rPr>
              <w:t>营业利润</w:t>
            </w:r>
          </w:p>
        </w:tc>
        <w:tc>
          <w:tcPr>
            <w:tcW w:w="10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47" w:right="0"/>
              <w:jc w:val="left"/>
              <w:rPr>
                <w:rFonts w:ascii="宋体" w:hAnsi="宋体" w:cs="宋体" w:eastAsia="宋体" w:hint="default"/>
                <w:sz w:val="18"/>
                <w:szCs w:val="18"/>
              </w:rPr>
            </w:pPr>
            <w:r>
              <w:rPr>
                <w:rFonts w:ascii="宋体" w:hAnsi="宋体" w:cs="宋体" w:eastAsia="宋体" w:hint="default"/>
                <w:sz w:val="18"/>
                <w:szCs w:val="18"/>
              </w:rPr>
              <w:t>净利润</w:t>
            </w:r>
          </w:p>
        </w:tc>
      </w:tr>
      <w:tr>
        <w:trPr>
          <w:trHeight w:val="1338" w:hRule="exact"/>
        </w:trPr>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319" w:lineRule="auto"/>
              <w:ind w:left="22" w:right="119"/>
              <w:jc w:val="both"/>
              <w:rPr>
                <w:rFonts w:ascii="宋体" w:hAnsi="宋体" w:cs="宋体" w:eastAsia="宋体" w:hint="default"/>
                <w:sz w:val="18"/>
                <w:szCs w:val="18"/>
              </w:rPr>
            </w:pPr>
            <w:r>
              <w:rPr>
                <w:rFonts w:ascii="宋体" w:hAnsi="宋体" w:cs="宋体" w:eastAsia="宋体" w:hint="default"/>
                <w:sz w:val="18"/>
                <w:szCs w:val="18"/>
              </w:rPr>
              <w:t>北京迪科远 望科技有限 公司</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2"/>
              <w:ind w:left="22" w:right="110"/>
              <w:jc w:val="both"/>
              <w:rPr>
                <w:rFonts w:ascii="宋体" w:hAnsi="宋体" w:cs="宋体" w:eastAsia="宋体" w:hint="default"/>
                <w:sz w:val="18"/>
                <w:szCs w:val="18"/>
              </w:rPr>
            </w:pPr>
            <w:r>
              <w:rPr>
                <w:rFonts w:ascii="宋体" w:hAnsi="宋体" w:cs="宋体" w:eastAsia="宋体" w:hint="default"/>
                <w:sz w:val="18"/>
                <w:szCs w:val="18"/>
              </w:rPr>
              <w:t>智能一卡通 系统及产品 的研发、生 产、销售</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10,000,000.0</w:t>
            </w:r>
          </w:p>
          <w:p>
            <w:pPr>
              <w:pStyle w:val="TableParagraph"/>
              <w:spacing w:line="240" w:lineRule="auto" w:before="105"/>
              <w:ind w:left="22" w:right="0"/>
              <w:jc w:val="left"/>
              <w:rPr>
                <w:rFonts w:ascii="Times New Roman" w:hAnsi="Times New Roman" w:cs="Times New Roman" w:eastAsia="Times New Roman" w:hint="default"/>
                <w:sz w:val="18"/>
                <w:szCs w:val="18"/>
              </w:rPr>
            </w:pPr>
            <w:r>
              <w:rPr>
                <w:rFonts w:ascii="Times New Roman"/>
                <w:sz w:val="18"/>
              </w:rPr>
              <w:t>0</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169,053,268.</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65</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122,863,514.</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53</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2"/>
                <w:sz w:val="18"/>
              </w:rPr>
              <w:t>114,822,811.</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72</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31,666,744.3</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1</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26,508,924.8</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4</w:t>
            </w:r>
          </w:p>
        </w:tc>
      </w:tr>
      <w:tr>
        <w:trPr>
          <w:trHeight w:val="1963" w:hRule="exact"/>
        </w:trPr>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316" w:lineRule="auto"/>
              <w:ind w:left="22" w:right="119"/>
              <w:jc w:val="both"/>
              <w:rPr>
                <w:rFonts w:ascii="宋体" w:hAnsi="宋体" w:cs="宋体" w:eastAsia="宋体" w:hint="default"/>
                <w:sz w:val="18"/>
                <w:szCs w:val="18"/>
              </w:rPr>
            </w:pPr>
            <w:r>
              <w:rPr>
                <w:rFonts w:ascii="宋体" w:hAnsi="宋体" w:cs="宋体" w:eastAsia="宋体" w:hint="default"/>
                <w:sz w:val="18"/>
                <w:szCs w:val="18"/>
              </w:rPr>
              <w:t>上海树维信 息科技有限 公司</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23"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110"/>
              <w:jc w:val="left"/>
              <w:rPr>
                <w:rFonts w:ascii="宋体" w:hAnsi="宋体" w:cs="宋体" w:eastAsia="宋体" w:hint="default"/>
                <w:sz w:val="18"/>
                <w:szCs w:val="18"/>
              </w:rPr>
            </w:pPr>
            <w:r>
              <w:rPr>
                <w:rFonts w:ascii="宋体" w:hAnsi="宋体" w:cs="宋体" w:eastAsia="宋体" w:hint="default"/>
                <w:sz w:val="18"/>
                <w:szCs w:val="18"/>
              </w:rPr>
              <w:t>智能一卡通 系统、数字 化校园系 统、教务系 统的研发、 销售</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14,630,000.0</w:t>
            </w:r>
          </w:p>
          <w:p>
            <w:pPr>
              <w:pStyle w:val="TableParagraph"/>
              <w:spacing w:line="240" w:lineRule="auto" w:before="105"/>
              <w:ind w:left="22" w:right="0"/>
              <w:jc w:val="left"/>
              <w:rPr>
                <w:rFonts w:ascii="Times New Roman" w:hAnsi="Times New Roman" w:cs="Times New Roman" w:eastAsia="Times New Roman" w:hint="default"/>
                <w:sz w:val="18"/>
                <w:szCs w:val="18"/>
              </w:rPr>
            </w:pPr>
            <w:r>
              <w:rPr>
                <w:rFonts w:ascii="Times New Roman"/>
                <w:sz w:val="18"/>
              </w:rPr>
              <w:t>0</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130,521,976.</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63</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69,980,535.9</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2</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114,421,307.</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90</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22,406,648.8</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7</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21,102,833.0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1</w:t>
            </w:r>
          </w:p>
        </w:tc>
      </w:tr>
    </w:tbl>
    <w:p>
      <w:pPr>
        <w:spacing w:before="51"/>
        <w:ind w:left="154" w:right="1117" w:firstLine="0"/>
        <w:jc w:val="left"/>
        <w:rPr>
          <w:rFonts w:ascii="宋体" w:hAnsi="宋体" w:cs="宋体" w:eastAsia="宋体" w:hint="default"/>
          <w:sz w:val="18"/>
          <w:szCs w:val="18"/>
        </w:rPr>
      </w:pPr>
      <w:r>
        <w:rPr>
          <w:rFonts w:ascii="宋体" w:hAnsi="宋体" w:cs="宋体" w:eastAsia="宋体" w:hint="default"/>
          <w:sz w:val="18"/>
          <w:szCs w:val="18"/>
        </w:rPr>
        <w:t>报告期内取得和处置子公司的情况</w:t>
      </w:r>
    </w:p>
    <w:p>
      <w:pPr>
        <w:spacing w:before="116"/>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89"/>
        <w:gridCol w:w="3190"/>
        <w:gridCol w:w="3191"/>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公司名称</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30" w:right="0"/>
              <w:jc w:val="left"/>
              <w:rPr>
                <w:rFonts w:ascii="宋体" w:hAnsi="宋体" w:cs="宋体" w:eastAsia="宋体" w:hint="default"/>
                <w:sz w:val="18"/>
                <w:szCs w:val="18"/>
              </w:rPr>
            </w:pPr>
            <w:r>
              <w:rPr>
                <w:rFonts w:ascii="宋体" w:hAnsi="宋体" w:cs="宋体" w:eastAsia="宋体" w:hint="default"/>
                <w:sz w:val="18"/>
                <w:szCs w:val="18"/>
              </w:rPr>
              <w:t>报告期内取得和处置子公司方式</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19" w:right="0"/>
              <w:jc w:val="left"/>
              <w:rPr>
                <w:rFonts w:ascii="宋体" w:hAnsi="宋体" w:cs="宋体" w:eastAsia="宋体" w:hint="default"/>
                <w:sz w:val="18"/>
                <w:szCs w:val="18"/>
              </w:rPr>
            </w:pPr>
            <w:r>
              <w:rPr>
                <w:rFonts w:ascii="宋体" w:hAnsi="宋体" w:cs="宋体" w:eastAsia="宋体" w:hint="default"/>
                <w:sz w:val="18"/>
                <w:szCs w:val="18"/>
              </w:rPr>
              <w:t>对整体生产经营和业绩的影响</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山西新开普电子股份有限公司</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注销</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-114,084.18</w:t>
            </w:r>
          </w:p>
        </w:tc>
      </w:tr>
    </w:tbl>
    <w:p>
      <w:pPr>
        <w:spacing w:before="51"/>
        <w:ind w:left="154" w:right="1117" w:firstLine="0"/>
        <w:jc w:val="left"/>
        <w:rPr>
          <w:rFonts w:ascii="宋体" w:hAnsi="宋体" w:cs="宋体" w:eastAsia="宋体" w:hint="default"/>
          <w:sz w:val="18"/>
          <w:szCs w:val="18"/>
        </w:rPr>
      </w:pPr>
      <w:r>
        <w:rPr>
          <w:rFonts w:ascii="宋体" w:hAnsi="宋体" w:cs="宋体" w:eastAsia="宋体" w:hint="default"/>
          <w:sz w:val="18"/>
          <w:szCs w:val="18"/>
        </w:rPr>
        <w:t>主要控股参股公司情况说明</w:t>
      </w:r>
    </w:p>
    <w:p>
      <w:pPr>
        <w:spacing w:line="240" w:lineRule="auto" w:before="12"/>
        <w:rPr>
          <w:rFonts w:ascii="宋体" w:hAnsi="宋体" w:cs="宋体" w:eastAsia="宋体" w:hint="default"/>
          <w:sz w:val="12"/>
          <w:szCs w:val="12"/>
        </w:rPr>
      </w:pPr>
    </w:p>
    <w:p>
      <w:pPr>
        <w:pStyle w:val="BodyText"/>
        <w:spacing w:line="386" w:lineRule="auto" w:before="0"/>
        <w:ind w:left="577" w:right="1117"/>
        <w:jc w:val="left"/>
      </w:pPr>
      <w:r>
        <w:rPr>
          <w:rFonts w:ascii="Times New Roman" w:hAnsi="Times New Roman" w:cs="Times New Roman" w:eastAsia="Times New Roman" w:hint="default"/>
        </w:rPr>
        <w:t>1</w:t>
      </w:r>
      <w:r>
        <w:rPr/>
        <w:t>、嘉兴丹诚开普股权投资合伙企业（有限合伙） </w:t>
      </w:r>
      <w:r>
        <w:rPr>
          <w:spacing w:val="-1"/>
        </w:rPr>
        <w:t>丹诚开普合伙企业是由公司与丹诚资管共同发起设立有限合伙企业，公司作为有限合伙人。合伙企业</w:t>
      </w:r>
    </w:p>
    <w:p>
      <w:pPr>
        <w:pStyle w:val="BodyText"/>
        <w:spacing w:line="408" w:lineRule="auto" w:before="65"/>
        <w:ind w:left="577" w:right="1117" w:hanging="424"/>
        <w:jc w:val="left"/>
      </w:pPr>
      <w:r>
        <w:rPr/>
        <w:t>主要经营范围是：股权投资及相关咨询服务、投资管理、社会经济咨询。 </w:t>
      </w:r>
      <w:r>
        <w:rPr>
          <w:spacing w:val="-1"/>
        </w:rPr>
        <w:t>丹诚开普合伙企业</w:t>
      </w:r>
      <w:r>
        <w:rPr>
          <w:rFonts w:ascii="Times New Roman" w:hAnsi="Times New Roman" w:cs="Times New Roman" w:eastAsia="Times New Roman" w:hint="default"/>
          <w:spacing w:val="-1"/>
        </w:rPr>
        <w:t>2018</w:t>
      </w:r>
      <w:r>
        <w:rPr>
          <w:spacing w:val="-1"/>
        </w:rPr>
        <w:t>年度实现营业收入</w:t>
      </w:r>
      <w:r>
        <w:rPr>
          <w:rFonts w:ascii="Times New Roman" w:hAnsi="Times New Roman" w:cs="Times New Roman" w:eastAsia="Times New Roman" w:hint="default"/>
          <w:spacing w:val="-1"/>
        </w:rPr>
        <w:t>,</w:t>
      </w:r>
      <w:r>
        <w:rPr>
          <w:spacing w:val="-1"/>
        </w:rPr>
        <w:t>净利润</w:t>
      </w:r>
      <w:r>
        <w:rPr>
          <w:rFonts w:ascii="Times New Roman" w:hAnsi="Times New Roman" w:cs="Times New Roman" w:eastAsia="Times New Roman" w:hint="default"/>
          <w:spacing w:val="-1"/>
        </w:rPr>
        <w:t>152.29</w:t>
      </w:r>
      <w:r>
        <w:rPr>
          <w:spacing w:val="-1"/>
        </w:rPr>
        <w:t>万元（未经审计），报告期内为公司贡献利润</w:t>
      </w:r>
    </w:p>
    <w:p>
      <w:pPr>
        <w:pStyle w:val="BodyText"/>
        <w:spacing w:line="240" w:lineRule="auto" w:before="14"/>
        <w:ind w:right="1117"/>
        <w:jc w:val="left"/>
      </w:pPr>
      <w:r>
        <w:rPr>
          <w:rFonts w:ascii="Times New Roman" w:hAnsi="Times New Roman" w:cs="Times New Roman" w:eastAsia="Times New Roman" w:hint="default"/>
        </w:rPr>
        <w:t>147.22</w:t>
      </w:r>
      <w:r>
        <w:rPr/>
        <w:t>万元。</w:t>
      </w:r>
    </w:p>
    <w:p>
      <w:pPr>
        <w:pStyle w:val="BodyText"/>
        <w:spacing w:line="386" w:lineRule="auto" w:before="177"/>
        <w:ind w:left="577" w:right="1117"/>
        <w:jc w:val="left"/>
      </w:pPr>
      <w:r>
        <w:rPr>
          <w:rFonts w:ascii="Times New Roman" w:hAnsi="Times New Roman" w:cs="Times New Roman" w:eastAsia="Times New Roman" w:hint="default"/>
        </w:rPr>
        <w:t>2</w:t>
      </w:r>
      <w:r>
        <w:rPr/>
        <w:t>、福建新开普信息科技有限公司 </w:t>
      </w:r>
      <w:r>
        <w:rPr>
          <w:spacing w:val="-3"/>
        </w:rPr>
        <w:t>福建新开普是公司的控股子公司，注册资本为</w:t>
      </w:r>
      <w:r>
        <w:rPr>
          <w:rFonts w:ascii="Times New Roman" w:hAnsi="Times New Roman" w:cs="Times New Roman" w:eastAsia="Times New Roman" w:hint="default"/>
          <w:spacing w:val="-3"/>
        </w:rPr>
        <w:t>3,500.00</w:t>
      </w:r>
      <w:r>
        <w:rPr>
          <w:spacing w:val="-3"/>
        </w:rPr>
        <w:t>万元，公司持有其</w:t>
      </w:r>
      <w:r>
        <w:rPr>
          <w:rFonts w:ascii="Times New Roman" w:hAnsi="Times New Roman" w:cs="Times New Roman" w:eastAsia="Times New Roman" w:hint="default"/>
          <w:spacing w:val="-3"/>
        </w:rPr>
        <w:t>51%</w:t>
      </w:r>
      <w:r>
        <w:rPr>
          <w:spacing w:val="-3"/>
        </w:rPr>
        <w:t>的股份。公司主要经营范</w:t>
      </w:r>
    </w:p>
    <w:p>
      <w:pPr>
        <w:pStyle w:val="BodyText"/>
        <w:spacing w:line="408" w:lineRule="auto" w:before="35"/>
        <w:ind w:right="0"/>
        <w:jc w:val="left"/>
      </w:pPr>
      <w:r>
        <w:rPr/>
        <w:t>围是：计算机系统集成、开发与维护；软件的设计、销售与维护；仪器仪表的设计、生产、销售与维护；</w:t>
      </w:r>
      <w:r>
        <w:rPr>
          <w:spacing w:val="-38"/>
        </w:rPr>
        <w:t> </w:t>
      </w:r>
      <w:r>
        <w:rPr>
          <w:spacing w:val="-38"/>
        </w:rPr>
      </w:r>
      <w:r>
        <w:rPr/>
        <w:t>能源监管平台项目设计、开发、销售及维护；节能改造工程、空调系统工程、建筑智能化工程、建筑机电</w:t>
      </w:r>
      <w:r>
        <w:rPr/>
        <w:t> 安装工程及安防工程的设计、施工与维护；计算机系统领域内的技术开发、技术咨询、技术服务。（依法 须经批准的项目，经相关部门批准后方可开展经营活动）</w:t>
      </w:r>
    </w:p>
    <w:p>
      <w:pPr>
        <w:pStyle w:val="BodyText"/>
        <w:spacing w:line="240" w:lineRule="auto"/>
        <w:ind w:left="577" w:right="1117"/>
        <w:jc w:val="left"/>
      </w:pPr>
      <w:r>
        <w:rPr/>
        <w:t>福建新开普</w:t>
      </w:r>
      <w:r>
        <w:rPr>
          <w:rFonts w:ascii="Times New Roman" w:hAnsi="Times New Roman" w:cs="Times New Roman" w:eastAsia="Times New Roman" w:hint="default"/>
        </w:rPr>
        <w:t>2018</w:t>
      </w:r>
      <w:r>
        <w:rPr/>
        <w:t>年度实现营业收入</w:t>
      </w:r>
      <w:r>
        <w:rPr>
          <w:rFonts w:ascii="Times New Roman" w:hAnsi="Times New Roman" w:cs="Times New Roman" w:eastAsia="Times New Roman" w:hint="default"/>
        </w:rPr>
        <w:t>4,823.28</w:t>
      </w:r>
      <w:r>
        <w:rPr/>
        <w:t>万元，实现净利润</w:t>
      </w:r>
      <w:r>
        <w:rPr>
          <w:rFonts w:ascii="Times New Roman" w:hAnsi="Times New Roman" w:cs="Times New Roman" w:eastAsia="Times New Roman" w:hint="default"/>
        </w:rPr>
        <w:t>323.60</w:t>
      </w:r>
      <w:r>
        <w:rPr/>
        <w:t>万元。报告期为公司贡献利润</w:t>
      </w:r>
    </w:p>
    <w:p>
      <w:pPr>
        <w:pStyle w:val="BodyText"/>
        <w:spacing w:line="240" w:lineRule="auto" w:before="177"/>
        <w:ind w:right="1117"/>
        <w:jc w:val="left"/>
      </w:pPr>
      <w:r>
        <w:rPr>
          <w:rFonts w:ascii="Times New Roman" w:hAnsi="Times New Roman" w:cs="Times New Roman" w:eastAsia="Times New Roman" w:hint="default"/>
        </w:rPr>
        <w:t>128.22</w:t>
      </w:r>
      <w:r>
        <w:rPr/>
        <w:t>万元。</w:t>
      </w:r>
    </w:p>
    <w:p>
      <w:pPr>
        <w:pStyle w:val="BodyText"/>
        <w:spacing w:line="386" w:lineRule="auto" w:before="177"/>
        <w:ind w:left="577" w:right="1124"/>
        <w:jc w:val="left"/>
      </w:pPr>
      <w:r>
        <w:rPr>
          <w:rFonts w:ascii="Times New Roman" w:hAnsi="Times New Roman" w:cs="Times New Roman" w:eastAsia="Times New Roman" w:hint="default"/>
        </w:rPr>
        <w:t>3</w:t>
      </w:r>
      <w:r>
        <w:rPr/>
        <w:t>、成都兰途网络科技有限公司 成都兰途是公司参股公司，注册资本</w:t>
      </w:r>
      <w:r>
        <w:rPr>
          <w:rFonts w:ascii="Times New Roman" w:hAnsi="Times New Roman" w:cs="Times New Roman" w:eastAsia="Times New Roman" w:hint="default"/>
        </w:rPr>
        <w:t>120.00</w:t>
      </w:r>
      <w:r>
        <w:rPr/>
        <w:t>万元，公司持有其</w:t>
      </w:r>
      <w:r>
        <w:rPr>
          <w:rFonts w:ascii="Times New Roman" w:hAnsi="Times New Roman" w:cs="Times New Roman" w:eastAsia="Times New Roman" w:hint="default"/>
        </w:rPr>
        <w:t>35.00%</w:t>
      </w:r>
      <w:r>
        <w:rPr/>
        <w:t>的股份。公司主要经营范围是：</w:t>
      </w:r>
    </w:p>
    <w:p>
      <w:pPr>
        <w:pStyle w:val="BodyText"/>
        <w:spacing w:line="408" w:lineRule="auto" w:before="35"/>
        <w:ind w:right="0"/>
        <w:jc w:val="left"/>
      </w:pPr>
      <w:r>
        <w:rPr/>
        <w:t>开发、销售计算机软硬件；计算机系统集成；网络布线工程施工（凭资质许可证从事经营）；网页设计；</w:t>
      </w:r>
      <w:r>
        <w:rPr>
          <w:spacing w:val="-38"/>
        </w:rPr>
        <w:t> </w:t>
      </w:r>
      <w:r>
        <w:rPr>
          <w:spacing w:val="-38"/>
        </w:rPr>
      </w:r>
      <w:r>
        <w:rPr/>
        <w:t>商务咨询（不含前置许可项目，涉及后置许可的凭许可证从事经营）。</w:t>
      </w:r>
    </w:p>
    <w:p>
      <w:pPr>
        <w:spacing w:after="0" w:line="408" w:lineRule="auto"/>
        <w:jc w:val="left"/>
        <w:sectPr>
          <w:pgSz w:w="11910" w:h="16840"/>
          <w:pgMar w:header="877" w:footer="979" w:top="1100" w:bottom="1160" w:left="980" w:right="0"/>
        </w:sectPr>
      </w:pPr>
    </w:p>
    <w:p>
      <w:pPr>
        <w:spacing w:line="240" w:lineRule="auto" w:before="8"/>
        <w:rPr>
          <w:rFonts w:ascii="宋体" w:hAnsi="宋体" w:cs="宋体" w:eastAsia="宋体" w:hint="default"/>
          <w:sz w:val="26"/>
          <w:szCs w:val="26"/>
        </w:rPr>
      </w:pPr>
    </w:p>
    <w:p>
      <w:pPr>
        <w:pStyle w:val="BodyText"/>
        <w:spacing w:line="386" w:lineRule="auto" w:before="35"/>
        <w:ind w:right="1132" w:firstLine="423"/>
        <w:jc w:val="left"/>
      </w:pPr>
      <w:r>
        <w:rPr>
          <w:spacing w:val="-2"/>
        </w:rPr>
        <w:t>成都兰途</w:t>
      </w:r>
      <w:r>
        <w:rPr>
          <w:rFonts w:ascii="Times New Roman" w:hAnsi="Times New Roman" w:cs="Times New Roman" w:eastAsia="Times New Roman" w:hint="default"/>
          <w:spacing w:val="-2"/>
        </w:rPr>
        <w:t>2018</w:t>
      </w:r>
      <w:r>
        <w:rPr>
          <w:spacing w:val="-2"/>
        </w:rPr>
        <w:t>年度实现营业收入</w:t>
      </w:r>
      <w:r>
        <w:rPr>
          <w:rFonts w:ascii="Times New Roman" w:hAnsi="Times New Roman" w:cs="Times New Roman" w:eastAsia="Times New Roman" w:hint="default"/>
          <w:spacing w:val="-2"/>
        </w:rPr>
        <w:t>604.50</w:t>
      </w:r>
      <w:r>
        <w:rPr>
          <w:spacing w:val="-2"/>
        </w:rPr>
        <w:t>万元，实现净利润</w:t>
      </w:r>
      <w:r>
        <w:rPr>
          <w:rFonts w:ascii="Times New Roman" w:hAnsi="Times New Roman" w:cs="Times New Roman" w:eastAsia="Times New Roman" w:hint="default"/>
          <w:spacing w:val="-2"/>
        </w:rPr>
        <w:t>-96.39</w:t>
      </w:r>
      <w:r>
        <w:rPr>
          <w:spacing w:val="-2"/>
        </w:rPr>
        <w:t>万元（未经审计），报告期内为公司贡</w:t>
      </w:r>
      <w:r>
        <w:rPr/>
        <w:t> 献利润</w:t>
      </w:r>
      <w:r>
        <w:rPr>
          <w:rFonts w:ascii="Times New Roman" w:hAnsi="Times New Roman" w:cs="Times New Roman" w:eastAsia="Times New Roman" w:hint="default"/>
        </w:rPr>
        <w:t>-33.74</w:t>
      </w:r>
      <w:r>
        <w:rPr/>
        <w:t>万元。</w:t>
      </w:r>
    </w:p>
    <w:p>
      <w:pPr>
        <w:pStyle w:val="BodyText"/>
        <w:spacing w:line="386" w:lineRule="auto" w:before="35"/>
        <w:ind w:left="577" w:right="1019"/>
        <w:jc w:val="left"/>
      </w:pPr>
      <w:r>
        <w:rPr>
          <w:rFonts w:ascii="Times New Roman" w:hAnsi="Times New Roman" w:cs="Times New Roman" w:eastAsia="Times New Roman" w:hint="default"/>
        </w:rPr>
        <w:t>4</w:t>
      </w:r>
      <w:r>
        <w:rPr/>
        <w:t>、北京希嘉创智教育科技有限公司 希嘉教育是公司的参股公司，注册资本</w:t>
      </w:r>
      <w:r>
        <w:rPr>
          <w:rFonts w:ascii="Times New Roman" w:hAnsi="Times New Roman" w:cs="Times New Roman" w:eastAsia="Times New Roman" w:hint="default"/>
        </w:rPr>
        <w:t>1,135.79</w:t>
      </w:r>
      <w:r>
        <w:rPr/>
        <w:t>万元，公司持有其</w:t>
      </w:r>
      <w:r>
        <w:rPr>
          <w:rFonts w:ascii="Times New Roman" w:hAnsi="Times New Roman" w:cs="Times New Roman" w:eastAsia="Times New Roman" w:hint="default"/>
        </w:rPr>
        <w:t>24%</w:t>
      </w:r>
      <w:r>
        <w:rPr/>
        <w:t>的股份。公司主要经营范围是：</w:t>
      </w:r>
    </w:p>
    <w:p>
      <w:pPr>
        <w:pStyle w:val="BodyText"/>
        <w:spacing w:line="403" w:lineRule="auto" w:before="35"/>
        <w:ind w:right="0"/>
        <w:jc w:val="left"/>
      </w:pPr>
      <w:r>
        <w:rPr/>
        <w:t>技术推广服务；技术开发、技术转让、技术咨询、技术推广、技术服务、计算机系统服务；数据处理（数 据处理中的银行卡中心、</w:t>
      </w:r>
      <w:r>
        <w:rPr>
          <w:rFonts w:ascii="Times New Roman" w:hAnsi="Times New Roman" w:cs="Times New Roman" w:eastAsia="Times New Roman" w:hint="default"/>
        </w:rPr>
        <w:t>PUE</w:t>
      </w:r>
      <w:r>
        <w:rPr/>
        <w:t>值在</w:t>
      </w:r>
      <w:r>
        <w:rPr>
          <w:rFonts w:ascii="Times New Roman" w:hAnsi="Times New Roman" w:cs="Times New Roman" w:eastAsia="Times New Roman" w:hint="default"/>
        </w:rPr>
        <w:t>1.5</w:t>
      </w:r>
      <w:r>
        <w:rPr/>
        <w:t>以上的云计算数据中心除外）；基础软件服务；应用软件服务（不含 医用软件）；软件开发；设计、制作、代理、发布广告；教育咨询（不含出国留学咨询及中介服务）；经 济贸易咨询；销售电子产品、日用品、文具用品、社会公共安全设备及器材、计算机、软件及辅助设备、</w:t>
      </w:r>
      <w:r>
        <w:rPr>
          <w:spacing w:val="-38"/>
        </w:rPr>
        <w:t> </w:t>
      </w:r>
      <w:r>
        <w:rPr>
          <w:spacing w:val="-38"/>
        </w:rPr>
      </w:r>
      <w:r>
        <w:rPr/>
        <w:t>机械设备、通讯设备。（依法须经批准的项目，经相关部门批准后依批准的内容开展经营活动。）</w:t>
      </w:r>
    </w:p>
    <w:p>
      <w:pPr>
        <w:pStyle w:val="BodyText"/>
        <w:spacing w:line="386" w:lineRule="auto" w:before="50"/>
        <w:ind w:right="1117" w:firstLine="423"/>
        <w:jc w:val="left"/>
      </w:pPr>
      <w:r>
        <w:rPr>
          <w:spacing w:val="-1"/>
        </w:rPr>
        <w:t>希嘉教育</w:t>
      </w:r>
      <w:r>
        <w:rPr>
          <w:rFonts w:ascii="Times New Roman" w:hAnsi="Times New Roman" w:cs="Times New Roman" w:eastAsia="Times New Roman" w:hint="default"/>
          <w:spacing w:val="-1"/>
        </w:rPr>
        <w:t>2018</w:t>
      </w:r>
      <w:r>
        <w:rPr>
          <w:spacing w:val="-1"/>
        </w:rPr>
        <w:t>年度实现营业收入</w:t>
      </w:r>
      <w:r>
        <w:rPr>
          <w:rFonts w:ascii="Times New Roman" w:hAnsi="Times New Roman" w:cs="Times New Roman" w:eastAsia="Times New Roman" w:hint="default"/>
          <w:spacing w:val="-1"/>
        </w:rPr>
        <w:t>3,919.56</w:t>
      </w:r>
      <w:r>
        <w:rPr>
          <w:spacing w:val="-1"/>
        </w:rPr>
        <w:t>万元，实现净利润</w:t>
      </w:r>
      <w:r>
        <w:rPr>
          <w:rFonts w:ascii="Times New Roman" w:hAnsi="Times New Roman" w:cs="Times New Roman" w:eastAsia="Times New Roman" w:hint="default"/>
          <w:spacing w:val="-1"/>
        </w:rPr>
        <w:t>499.51</w:t>
      </w:r>
      <w:r>
        <w:rPr>
          <w:spacing w:val="-1"/>
        </w:rPr>
        <w:t>万元。报告期为公司贡献利润</w:t>
      </w:r>
      <w:r>
        <w:rPr>
          <w:rFonts w:ascii="Times New Roman" w:hAnsi="Times New Roman" w:cs="Times New Roman" w:eastAsia="Times New Roman" w:hint="default"/>
          <w:spacing w:val="-1"/>
        </w:rPr>
        <w:t>162.67</w:t>
      </w:r>
      <w:r>
        <w:rPr>
          <w:rFonts w:ascii="Times New Roman" w:hAnsi="Times New Roman" w:cs="Times New Roman" w:eastAsia="Times New Roman" w:hint="default"/>
        </w:rPr>
        <w:t> </w:t>
      </w:r>
      <w:r>
        <w:rPr/>
        <w:t>万元。</w:t>
      </w:r>
    </w:p>
    <w:p>
      <w:pPr>
        <w:pStyle w:val="BodyText"/>
        <w:spacing w:line="386" w:lineRule="auto" w:before="65"/>
        <w:ind w:left="577" w:right="1124"/>
        <w:jc w:val="left"/>
      </w:pPr>
      <w:r>
        <w:rPr>
          <w:rFonts w:ascii="Times New Roman" w:hAnsi="Times New Roman" w:cs="Times New Roman" w:eastAsia="Times New Roman" w:hint="default"/>
        </w:rPr>
        <w:t>5</w:t>
      </w:r>
      <w:r>
        <w:rPr/>
        <w:t>、北京乐智科技有限公司 北京乐智是公司参股公司，注册资本</w:t>
      </w:r>
      <w:r>
        <w:rPr>
          <w:rFonts w:ascii="Times New Roman" w:hAnsi="Times New Roman" w:cs="Times New Roman" w:eastAsia="Times New Roman" w:hint="default"/>
        </w:rPr>
        <w:t>100.00</w:t>
      </w:r>
      <w:r>
        <w:rPr/>
        <w:t>万元，公司持有其</w:t>
      </w:r>
      <w:r>
        <w:rPr>
          <w:rFonts w:ascii="Times New Roman" w:hAnsi="Times New Roman" w:cs="Times New Roman" w:eastAsia="Times New Roman" w:hint="default"/>
        </w:rPr>
        <w:t>19.50%</w:t>
      </w:r>
      <w:r>
        <w:rPr/>
        <w:t>的股份。公司主要经营范围是：</w:t>
      </w:r>
    </w:p>
    <w:p>
      <w:pPr>
        <w:pStyle w:val="BodyText"/>
        <w:spacing w:line="408" w:lineRule="auto" w:before="35"/>
        <w:ind w:right="1130"/>
        <w:jc w:val="both"/>
      </w:pPr>
      <w:r>
        <w:rPr>
          <w:spacing w:val="-1"/>
        </w:rPr>
        <w:t>技术开发、技术转让、技术咨询、技术服务、技术推广；计算机系统服务；软件开发；数据处理；企业管</w:t>
      </w:r>
      <w:r>
        <w:rPr>
          <w:spacing w:val="-85"/>
        </w:rPr>
        <w:t> </w:t>
      </w:r>
      <w:r>
        <w:rPr>
          <w:spacing w:val="-85"/>
        </w:rPr>
      </w:r>
      <w:r>
        <w:rPr>
          <w:spacing w:val="-1"/>
        </w:rPr>
        <w:t>理咨询；市场调查；经济贸易咨询；组织文化艺术交流活动（不含营业性演出）；产品设计；电脑动画设</w:t>
      </w:r>
      <w:r>
        <w:rPr>
          <w:spacing w:val="-85"/>
        </w:rPr>
        <w:t> </w:t>
      </w:r>
      <w:r>
        <w:rPr>
          <w:spacing w:val="-85"/>
        </w:rPr>
      </w:r>
      <w:r>
        <w:rPr>
          <w:spacing w:val="-5"/>
        </w:rPr>
        <w:t>计；设计、制作、代理、发布广告；销售自行开发的产品。（企业依法自主选择经营项目，开展经营活动；</w:t>
      </w:r>
      <w:r>
        <w:rPr>
          <w:spacing w:val="-102"/>
        </w:rPr>
        <w:t> </w:t>
      </w:r>
      <w:r>
        <w:rPr>
          <w:spacing w:val="-102"/>
        </w:rPr>
      </w:r>
      <w:r>
        <w:rPr>
          <w:spacing w:val="-1"/>
        </w:rPr>
        <w:t>依法须经批准的项目，经相关部门批准后依批准的内容开展经营活动；不得从事本市产业政策禁止和限制</w:t>
      </w:r>
      <w:r>
        <w:rPr>
          <w:spacing w:val="-81"/>
        </w:rPr>
        <w:t> </w:t>
      </w:r>
      <w:r>
        <w:rPr>
          <w:spacing w:val="-81"/>
        </w:rPr>
      </w:r>
      <w:r>
        <w:rPr/>
        <w:t>类项目的经营活动。）</w:t>
      </w:r>
    </w:p>
    <w:p>
      <w:pPr>
        <w:pStyle w:val="BodyText"/>
        <w:spacing w:line="386" w:lineRule="auto"/>
        <w:ind w:right="1132" w:firstLine="423"/>
        <w:jc w:val="left"/>
      </w:pPr>
      <w:r>
        <w:rPr>
          <w:spacing w:val="-1"/>
        </w:rPr>
        <w:t>北京乐智</w:t>
      </w:r>
      <w:r>
        <w:rPr>
          <w:rFonts w:ascii="Times New Roman" w:hAnsi="Times New Roman" w:cs="Times New Roman" w:eastAsia="Times New Roman" w:hint="default"/>
          <w:spacing w:val="-1"/>
        </w:rPr>
        <w:t>2018</w:t>
      </w:r>
      <w:r>
        <w:rPr>
          <w:spacing w:val="-1"/>
        </w:rPr>
        <w:t>年度实现营业收入</w:t>
      </w:r>
      <w:r>
        <w:rPr>
          <w:rFonts w:ascii="Times New Roman" w:hAnsi="Times New Roman" w:cs="Times New Roman" w:eastAsia="Times New Roman" w:hint="default"/>
          <w:spacing w:val="-1"/>
        </w:rPr>
        <w:t>3.33</w:t>
      </w:r>
      <w:r>
        <w:rPr>
          <w:spacing w:val="-1"/>
        </w:rPr>
        <w:t>万元，实现净利润</w:t>
      </w:r>
      <w:r>
        <w:rPr>
          <w:rFonts w:ascii="Times New Roman" w:hAnsi="Times New Roman" w:cs="Times New Roman" w:eastAsia="Times New Roman" w:hint="default"/>
          <w:spacing w:val="-1"/>
        </w:rPr>
        <w:t>-6.24</w:t>
      </w:r>
      <w:r>
        <w:rPr>
          <w:spacing w:val="-1"/>
        </w:rPr>
        <w:t>万元（未经审计）</w:t>
      </w:r>
      <w:r>
        <w:rPr>
          <w:rFonts w:ascii="Times New Roman" w:hAnsi="Times New Roman" w:cs="Times New Roman" w:eastAsia="Times New Roman" w:hint="default"/>
          <w:spacing w:val="-1"/>
        </w:rPr>
        <w:t>,</w:t>
      </w:r>
      <w:r>
        <w:rPr>
          <w:spacing w:val="-1"/>
        </w:rPr>
        <w:t>报告期内为公司贡献利</w:t>
      </w:r>
      <w:r>
        <w:rPr/>
        <w:t> 润</w:t>
      </w:r>
      <w:r>
        <w:rPr>
          <w:rFonts w:ascii="Times New Roman" w:hAnsi="Times New Roman" w:cs="Times New Roman" w:eastAsia="Times New Roman" w:hint="default"/>
        </w:rPr>
        <w:t>-1.25</w:t>
      </w:r>
      <w:r>
        <w:rPr/>
        <w:t>万元。</w:t>
      </w:r>
    </w:p>
    <w:p>
      <w:pPr>
        <w:pStyle w:val="BodyText"/>
        <w:spacing w:line="386" w:lineRule="auto" w:before="35"/>
        <w:ind w:left="577" w:right="1122"/>
        <w:jc w:val="left"/>
      </w:pPr>
      <w:r>
        <w:rPr>
          <w:rFonts w:ascii="Times New Roman" w:hAnsi="Times New Roman" w:cs="Times New Roman" w:eastAsia="Times New Roman" w:hint="default"/>
        </w:rPr>
        <w:t>6</w:t>
      </w:r>
      <w:r>
        <w:rPr/>
        <w:t>、上海微令信息科技有限公司 </w:t>
      </w:r>
      <w:r>
        <w:rPr>
          <w:spacing w:val="-3"/>
        </w:rPr>
        <w:t>上海微令是公司参股公司，注册资本</w:t>
      </w:r>
      <w:r>
        <w:rPr>
          <w:rFonts w:ascii="Times New Roman" w:hAnsi="Times New Roman" w:cs="Times New Roman" w:eastAsia="Times New Roman" w:hint="default"/>
          <w:spacing w:val="-3"/>
        </w:rPr>
        <w:t>1,077.18</w:t>
      </w:r>
      <w:r>
        <w:rPr>
          <w:spacing w:val="-3"/>
        </w:rPr>
        <w:t>万元，公司持有其</w:t>
      </w:r>
      <w:r>
        <w:rPr>
          <w:rFonts w:ascii="Times New Roman" w:hAnsi="Times New Roman" w:cs="Times New Roman" w:eastAsia="Times New Roman" w:hint="default"/>
          <w:spacing w:val="-3"/>
        </w:rPr>
        <w:t>17.80%</w:t>
      </w:r>
      <w:r>
        <w:rPr>
          <w:spacing w:val="-3"/>
        </w:rPr>
        <w:t>的股份。公司主要经营范围是：</w:t>
      </w:r>
    </w:p>
    <w:p>
      <w:pPr>
        <w:pStyle w:val="BodyText"/>
        <w:spacing w:line="408" w:lineRule="auto" w:before="35"/>
        <w:ind w:right="1117"/>
        <w:jc w:val="left"/>
      </w:pPr>
      <w:r>
        <w:rPr>
          <w:spacing w:val="-1"/>
        </w:rPr>
        <w:t>从事信息科技、网络科技、计算机科技领域内的技术开发、技术转让、技术咨询、技术服务；计算机及网</w:t>
      </w:r>
      <w:r>
        <w:rPr>
          <w:spacing w:val="-83"/>
        </w:rPr>
        <w:t> </w:t>
      </w:r>
      <w:r>
        <w:rPr>
          <w:spacing w:val="-83"/>
        </w:rPr>
      </w:r>
      <w:r>
        <w:rPr>
          <w:spacing w:val="-1"/>
        </w:rPr>
        <w:t>络设备的研究、开发、安装与维护；计算机系统集成、销售；设计、制作、发布、代理各类广告；计算机</w:t>
      </w:r>
      <w:r>
        <w:rPr>
          <w:spacing w:val="-86"/>
        </w:rPr>
        <w:t> </w:t>
      </w:r>
      <w:r>
        <w:rPr>
          <w:spacing w:val="-86"/>
        </w:rPr>
      </w:r>
      <w:r>
        <w:rPr>
          <w:spacing w:val="-1"/>
        </w:rPr>
        <w:t>软件的开发、销售；电脑网络工程；电子产品、数码产品、计算机及辅助设备（除计算机信息系统安全专</w:t>
      </w:r>
      <w:r>
        <w:rPr>
          <w:spacing w:val="-83"/>
        </w:rPr>
        <w:t> </w:t>
      </w:r>
      <w:r>
        <w:rPr>
          <w:spacing w:val="-83"/>
        </w:rPr>
      </w:r>
      <w:r>
        <w:rPr/>
        <w:t>用产品）的销售；企业管理咨询；商务信息咨询；房屋建筑工程。</w:t>
      </w:r>
      <w:r>
        <w:rPr>
          <w:spacing w:val="-21"/>
        </w:rPr>
        <w:t> </w:t>
      </w:r>
      <w:r>
        <w:rPr/>
        <w:t>（依法须经批准的项目，经相关部门</w:t>
      </w:r>
      <w:r>
        <w:rPr/>
        <w:t> 批准后方可开展经营活动）</w:t>
      </w:r>
    </w:p>
    <w:p>
      <w:pPr>
        <w:pStyle w:val="BodyText"/>
        <w:spacing w:line="240" w:lineRule="auto"/>
        <w:ind w:left="577" w:right="1117"/>
        <w:jc w:val="left"/>
      </w:pPr>
      <w:r>
        <w:rPr/>
        <w:t>上海微令已足额计提减值。</w:t>
      </w:r>
    </w:p>
    <w:p>
      <w:pPr>
        <w:spacing w:after="0" w:line="240" w:lineRule="auto"/>
        <w:jc w:val="left"/>
        <w:sectPr>
          <w:pgSz w:w="11910" w:h="16840"/>
          <w:pgMar w:header="877" w:footer="979" w:top="1100" w:bottom="1160" w:left="980" w:right="0"/>
        </w:sectPr>
      </w:pPr>
    </w:p>
    <w:p>
      <w:pPr>
        <w:spacing w:line="240" w:lineRule="auto" w:before="9"/>
        <w:rPr>
          <w:rFonts w:ascii="宋体" w:hAnsi="宋体" w:cs="宋体" w:eastAsia="宋体" w:hint="default"/>
          <w:sz w:val="19"/>
          <w:szCs w:val="19"/>
        </w:rPr>
      </w:pPr>
    </w:p>
    <w:p>
      <w:pPr>
        <w:pStyle w:val="Heading2"/>
        <w:spacing w:line="240" w:lineRule="auto" w:before="26"/>
        <w:ind w:right="0"/>
        <w:jc w:val="both"/>
        <w:rPr>
          <w:b w:val="0"/>
          <w:bCs w:val="0"/>
        </w:rPr>
      </w:pPr>
      <w:bookmarkStart w:name="八、公司控制的结构化主体情况" w:id="56"/>
      <w:bookmarkEnd w:id="56"/>
      <w:r>
        <w:rPr>
          <w:b w:val="0"/>
          <w:bCs w:val="0"/>
        </w:rPr>
      </w:r>
      <w:r>
        <w:rPr/>
        <w:t>八、公司控制的结构化主体情况</w:t>
      </w:r>
      <w:r>
        <w:rPr>
          <w:b w:val="0"/>
          <w:bCs w:val="0"/>
        </w:rPr>
      </w:r>
    </w:p>
    <w:p>
      <w:pPr>
        <w:spacing w:line="240" w:lineRule="auto" w:before="7"/>
        <w:rPr>
          <w:rFonts w:ascii="宋体" w:hAnsi="宋体" w:cs="宋体" w:eastAsia="宋体" w:hint="default"/>
          <w:b/>
          <w:bCs/>
          <w:sz w:val="26"/>
          <w:szCs w:val="26"/>
        </w:rPr>
      </w:pPr>
    </w:p>
    <w:p>
      <w:pPr>
        <w:spacing w:before="0"/>
        <w:ind w:left="154" w:right="0" w:firstLine="0"/>
        <w:jc w:val="both"/>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3"/>
        <w:rPr>
          <w:rFonts w:ascii="宋体" w:hAnsi="宋体" w:cs="宋体" w:eastAsia="宋体" w:hint="default"/>
          <w:sz w:val="23"/>
          <w:szCs w:val="23"/>
        </w:rPr>
      </w:pPr>
    </w:p>
    <w:p>
      <w:pPr>
        <w:pStyle w:val="Heading2"/>
        <w:spacing w:line="240" w:lineRule="auto"/>
        <w:ind w:right="0"/>
        <w:jc w:val="both"/>
        <w:rPr>
          <w:b w:val="0"/>
          <w:bCs w:val="0"/>
        </w:rPr>
      </w:pPr>
      <w:bookmarkStart w:name="九、公司未来发展的展望" w:id="57"/>
      <w:bookmarkEnd w:id="57"/>
      <w:r>
        <w:rPr>
          <w:b w:val="0"/>
          <w:bCs w:val="0"/>
        </w:rPr>
      </w:r>
      <w:r>
        <w:rPr/>
        <w:t>九、公司未来发展的展望</w:t>
      </w:r>
      <w:r>
        <w:rPr>
          <w:b w:val="0"/>
          <w:bCs w:val="0"/>
        </w:rPr>
      </w:r>
    </w:p>
    <w:p>
      <w:pPr>
        <w:spacing w:line="240" w:lineRule="auto" w:before="8"/>
        <w:rPr>
          <w:rFonts w:ascii="宋体" w:hAnsi="宋体" w:cs="宋体" w:eastAsia="宋体" w:hint="default"/>
          <w:b/>
          <w:bCs/>
          <w:sz w:val="30"/>
          <w:szCs w:val="30"/>
        </w:rPr>
      </w:pPr>
    </w:p>
    <w:p>
      <w:pPr>
        <w:pStyle w:val="Heading4"/>
        <w:spacing w:line="240" w:lineRule="auto"/>
        <w:ind w:right="0"/>
        <w:jc w:val="both"/>
        <w:rPr>
          <w:b w:val="0"/>
          <w:bCs w:val="0"/>
        </w:rPr>
      </w:pPr>
      <w:r>
        <w:rPr/>
        <w:t>（一）行业发展趋势</w:t>
      </w:r>
      <w:r>
        <w:rPr>
          <w:b w:val="0"/>
          <w:bCs w:val="0"/>
        </w:rPr>
      </w:r>
    </w:p>
    <w:p>
      <w:pPr>
        <w:spacing w:line="240" w:lineRule="auto" w:before="10"/>
        <w:rPr>
          <w:rFonts w:ascii="宋体" w:hAnsi="宋体" w:cs="宋体" w:eastAsia="宋体" w:hint="default"/>
          <w:b/>
          <w:bCs/>
          <w:sz w:val="14"/>
          <w:szCs w:val="14"/>
        </w:rPr>
      </w:pPr>
    </w:p>
    <w:p>
      <w:pPr>
        <w:pStyle w:val="BodyText"/>
        <w:spacing w:line="386" w:lineRule="auto" w:before="0"/>
        <w:ind w:left="580" w:right="1117" w:hanging="3"/>
        <w:jc w:val="left"/>
      </w:pPr>
      <w:r>
        <w:rPr>
          <w:rFonts w:ascii="Times New Roman" w:hAnsi="Times New Roman" w:cs="Times New Roman" w:eastAsia="Times New Roman" w:hint="default"/>
          <w:b/>
          <w:bCs/>
        </w:rPr>
        <w:t>1</w:t>
      </w:r>
      <w:r>
        <w:rPr>
          <w:rFonts w:ascii="宋体" w:hAnsi="宋体" w:cs="宋体" w:eastAsia="宋体" w:hint="default"/>
          <w:b/>
          <w:bCs/>
        </w:rPr>
        <w:t>、公司所处行业</w:t>
      </w:r>
      <w:r>
        <w:rPr>
          <w:rFonts w:ascii="宋体" w:hAnsi="宋体" w:cs="宋体" w:eastAsia="宋体" w:hint="default"/>
          <w:b/>
          <w:bCs/>
          <w:w w:val="99"/>
        </w:rPr>
        <w:t> </w:t>
      </w:r>
      <w:r>
        <w:rPr/>
        <w:t>根据中国证监会颁布的《上市公司行业分类指引》（</w:t>
      </w:r>
      <w:r>
        <w:rPr>
          <w:rFonts w:ascii="Times New Roman" w:hAnsi="Times New Roman" w:cs="Times New Roman" w:eastAsia="Times New Roman" w:hint="default"/>
        </w:rPr>
        <w:t>2012</w:t>
      </w:r>
      <w:r>
        <w:rPr/>
        <w:t>年修订），公司所属行业为“</w:t>
      </w:r>
      <w:r>
        <w:rPr>
          <w:rFonts w:ascii="宋体" w:hAnsi="宋体" w:cs="宋体" w:eastAsia="宋体" w:hint="default"/>
        </w:rPr>
        <w:t>I65</w:t>
      </w:r>
      <w:r>
        <w:rPr/>
        <w:t>软件和信</w:t>
      </w:r>
    </w:p>
    <w:p>
      <w:pPr>
        <w:pStyle w:val="BodyText"/>
        <w:spacing w:line="408" w:lineRule="auto" w:before="35"/>
        <w:ind w:left="574" w:right="1117" w:hanging="420"/>
        <w:jc w:val="left"/>
      </w:pPr>
      <w:r>
        <w:rPr/>
        <w:t>息技术服务业”。 </w:t>
      </w:r>
      <w:r>
        <w:rPr>
          <w:spacing w:val="-1"/>
        </w:rPr>
        <w:t>教育信息化是指在教育领域（教育管理、教育教学和教育科研）全面深入地运用现代信息技术来促进</w:t>
      </w:r>
    </w:p>
    <w:p>
      <w:pPr>
        <w:pStyle w:val="BodyText"/>
        <w:spacing w:line="391" w:lineRule="auto"/>
        <w:ind w:right="1130"/>
        <w:jc w:val="both"/>
      </w:pPr>
      <w:r>
        <w:rPr>
          <w:spacing w:val="-2"/>
        </w:rPr>
        <w:t>教育改革与发展的过程。</w:t>
      </w:r>
      <w:r>
        <w:rPr>
          <w:rFonts w:ascii="Times New Roman" w:hAnsi="Times New Roman" w:cs="Times New Roman" w:eastAsia="Times New Roman" w:hint="default"/>
          <w:spacing w:val="-2"/>
        </w:rPr>
        <w:t>2012</w:t>
      </w:r>
      <w:r>
        <w:rPr>
          <w:spacing w:val="-2"/>
        </w:rPr>
        <w:t>年</w:t>
      </w:r>
      <w:r>
        <w:rPr>
          <w:rFonts w:ascii="Times New Roman" w:hAnsi="Times New Roman" w:cs="Times New Roman" w:eastAsia="Times New Roman" w:hint="default"/>
          <w:spacing w:val="-2"/>
        </w:rPr>
        <w:t>9</w:t>
      </w:r>
      <w:r>
        <w:rPr>
          <w:spacing w:val="-2"/>
        </w:rPr>
        <w:t>月，时任国务委员刘延东指出</w:t>
      </w:r>
      <w:r>
        <w:rPr>
          <w:rFonts w:ascii="Times New Roman" w:hAnsi="Times New Roman" w:cs="Times New Roman" w:eastAsia="Times New Roman" w:hint="default"/>
          <w:spacing w:val="-2"/>
        </w:rPr>
        <w:t>“</w:t>
      </w:r>
      <w:r>
        <w:rPr>
          <w:spacing w:val="-2"/>
        </w:rPr>
        <w:t>三通两平台</w:t>
      </w:r>
      <w:r>
        <w:rPr>
          <w:rFonts w:ascii="Times New Roman" w:hAnsi="Times New Roman" w:cs="Times New Roman" w:eastAsia="Times New Roman" w:hint="default"/>
          <w:spacing w:val="-2"/>
        </w:rPr>
        <w:t>”</w:t>
      </w:r>
      <w:r>
        <w:rPr>
          <w:spacing w:val="-2"/>
        </w:rPr>
        <w:t>为</w:t>
      </w:r>
      <w:r>
        <w:rPr>
          <w:rFonts w:ascii="Times New Roman" w:hAnsi="Times New Roman" w:cs="Times New Roman" w:eastAsia="Times New Roman" w:hint="default"/>
          <w:spacing w:val="-2"/>
        </w:rPr>
        <w:t>“</w:t>
      </w:r>
      <w:r>
        <w:rPr>
          <w:spacing w:val="-2"/>
        </w:rPr>
        <w:t>十二五</w:t>
      </w:r>
      <w:r>
        <w:rPr>
          <w:rFonts w:ascii="Times New Roman" w:hAnsi="Times New Roman" w:cs="Times New Roman" w:eastAsia="Times New Roman" w:hint="default"/>
          <w:spacing w:val="-2"/>
        </w:rPr>
        <w:t>”</w:t>
      </w:r>
      <w:r>
        <w:rPr>
          <w:spacing w:val="-2"/>
        </w:rPr>
        <w:t>期间教育信息化建</w:t>
      </w:r>
      <w:r>
        <w:rPr>
          <w:spacing w:val="-86"/>
        </w:rPr>
        <w:t> </w:t>
      </w:r>
      <w:r>
        <w:rPr>
          <w:spacing w:val="-1"/>
        </w:rPr>
        <w:t>设目标，教育信息化进入</w:t>
      </w:r>
      <w:r>
        <w:rPr>
          <w:rFonts w:ascii="Times New Roman" w:hAnsi="Times New Roman" w:cs="Times New Roman" w:eastAsia="Times New Roman" w:hint="default"/>
          <w:spacing w:val="-1"/>
        </w:rPr>
        <w:t>1.0</w:t>
      </w:r>
      <w:r>
        <w:rPr>
          <w:spacing w:val="-1"/>
        </w:rPr>
        <w:t>时代。</w:t>
      </w:r>
      <w:r>
        <w:rPr>
          <w:rFonts w:ascii="Times New Roman" w:hAnsi="Times New Roman" w:cs="Times New Roman" w:eastAsia="Times New Roman" w:hint="default"/>
          <w:spacing w:val="-1"/>
        </w:rPr>
        <w:t>2018</w:t>
      </w:r>
      <w:r>
        <w:rPr>
          <w:spacing w:val="-1"/>
        </w:rPr>
        <w:t>年</w:t>
      </w:r>
      <w:r>
        <w:rPr>
          <w:rFonts w:ascii="Times New Roman" w:hAnsi="Times New Roman" w:cs="Times New Roman" w:eastAsia="Times New Roman" w:hint="default"/>
          <w:spacing w:val="-1"/>
        </w:rPr>
        <w:t>4</w:t>
      </w:r>
      <w:r>
        <w:rPr>
          <w:spacing w:val="-1"/>
        </w:rPr>
        <w:t>月，教育部正式下发《教育信息化</w:t>
      </w:r>
      <w:r>
        <w:rPr>
          <w:rFonts w:ascii="Times New Roman" w:hAnsi="Times New Roman" w:cs="Times New Roman" w:eastAsia="Times New Roman" w:hint="default"/>
          <w:spacing w:val="-1"/>
        </w:rPr>
        <w:t>2.0</w:t>
      </w:r>
      <w:r>
        <w:rPr>
          <w:spacing w:val="-1"/>
        </w:rPr>
        <w:t>行动计划》，将教育信息</w:t>
      </w:r>
      <w:r>
        <w:rPr>
          <w:spacing w:val="-81"/>
        </w:rPr>
        <w:t> </w:t>
      </w:r>
      <w:r>
        <w:rPr>
          <w:spacing w:val="-81"/>
        </w:rPr>
      </w:r>
      <w:r>
        <w:rPr/>
        <w:t>化</w:t>
      </w:r>
      <w:r>
        <w:rPr>
          <w:rFonts w:ascii="Times New Roman" w:hAnsi="Times New Roman" w:cs="Times New Roman" w:eastAsia="Times New Roman" w:hint="default"/>
        </w:rPr>
        <w:t>2.0</w:t>
      </w:r>
      <w:r>
        <w:rPr/>
        <w:t>定位于</w:t>
      </w:r>
      <w:r>
        <w:rPr>
          <w:rFonts w:ascii="Times New Roman" w:hAnsi="Times New Roman" w:cs="Times New Roman" w:eastAsia="Times New Roman" w:hint="default"/>
        </w:rPr>
        <w:t>“</w:t>
      </w:r>
      <w:r>
        <w:rPr/>
        <w:t>互联网</w:t>
      </w:r>
      <w:r>
        <w:rPr>
          <w:rFonts w:ascii="Times New Roman" w:hAnsi="Times New Roman" w:cs="Times New Roman" w:eastAsia="Times New Roman" w:hint="default"/>
        </w:rPr>
        <w:t>+</w:t>
      </w:r>
      <w:r>
        <w:rPr/>
        <w:t>教育</w:t>
      </w:r>
      <w:r>
        <w:rPr>
          <w:rFonts w:ascii="Times New Roman" w:hAnsi="Times New Roman" w:cs="Times New Roman" w:eastAsia="Times New Roman" w:hint="default"/>
        </w:rPr>
        <w:t>”</w:t>
      </w:r>
      <w:r>
        <w:rPr/>
        <w:t>的具体实施计划。要求</w:t>
      </w:r>
      <w:r>
        <w:rPr>
          <w:rFonts w:ascii="Times New Roman" w:hAnsi="Times New Roman" w:cs="Times New Roman" w:eastAsia="Times New Roman" w:hint="default"/>
        </w:rPr>
        <w:t>“</w:t>
      </w:r>
      <w:r>
        <w:rPr/>
        <w:t>到</w:t>
      </w:r>
      <w:r>
        <w:rPr>
          <w:rFonts w:ascii="Times New Roman" w:hAnsi="Times New Roman" w:cs="Times New Roman" w:eastAsia="Times New Roman" w:hint="default"/>
        </w:rPr>
        <w:t>2022</w:t>
      </w:r>
      <w:r>
        <w:rPr/>
        <w:t>年基本实现</w:t>
      </w:r>
      <w:r>
        <w:rPr>
          <w:rFonts w:ascii="Times New Roman" w:hAnsi="Times New Roman" w:cs="Times New Roman" w:eastAsia="Times New Roman" w:hint="default"/>
        </w:rPr>
        <w:t>‘</w:t>
      </w:r>
      <w:r>
        <w:rPr/>
        <w:t>三全两高一大</w:t>
      </w:r>
      <w:r>
        <w:rPr>
          <w:rFonts w:ascii="Times New Roman" w:hAnsi="Times New Roman" w:cs="Times New Roman" w:eastAsia="Times New Roman" w:hint="default"/>
        </w:rPr>
        <w:t>’</w:t>
      </w:r>
      <w:r>
        <w:rPr/>
        <w:t>的发展目标，即教学</w:t>
      </w:r>
      <w:r>
        <w:rPr>
          <w:spacing w:val="-96"/>
        </w:rPr>
        <w:t> </w:t>
      </w:r>
      <w:r>
        <w:rPr>
          <w:spacing w:val="-96"/>
        </w:rPr>
      </w:r>
      <w:r>
        <w:rPr>
          <w:spacing w:val="-1"/>
        </w:rPr>
        <w:t>应用覆盖全体教师、学习应用覆盖全体适龄学生、数字校园建设覆盖全体学校，信息化应用水平和师生信</w:t>
      </w:r>
      <w:r>
        <w:rPr>
          <w:spacing w:val="-83"/>
        </w:rPr>
        <w:t> </w:t>
      </w:r>
      <w:r>
        <w:rPr>
          <w:spacing w:val="-83"/>
        </w:rPr>
      </w:r>
      <w:r>
        <w:rPr>
          <w:spacing w:val="-1"/>
        </w:rPr>
        <w:t>息素养普遍提高，建成</w:t>
      </w:r>
      <w:r>
        <w:rPr>
          <w:rFonts w:ascii="Times New Roman" w:hAnsi="Times New Roman" w:cs="Times New Roman" w:eastAsia="Times New Roman" w:hint="default"/>
          <w:spacing w:val="-1"/>
        </w:rPr>
        <w:t>‘</w:t>
      </w:r>
      <w:r>
        <w:rPr>
          <w:spacing w:val="-1"/>
        </w:rPr>
        <w:t>互联网</w:t>
      </w:r>
      <w:r>
        <w:rPr>
          <w:rFonts w:ascii="Times New Roman" w:hAnsi="Times New Roman" w:cs="Times New Roman" w:eastAsia="Times New Roman" w:hint="default"/>
          <w:spacing w:val="-1"/>
        </w:rPr>
        <w:t>+</w:t>
      </w:r>
      <w:r>
        <w:rPr>
          <w:spacing w:val="-1"/>
        </w:rPr>
        <w:t>教育</w:t>
      </w:r>
      <w:r>
        <w:rPr>
          <w:rFonts w:ascii="Times New Roman" w:hAnsi="Times New Roman" w:cs="Times New Roman" w:eastAsia="Times New Roman" w:hint="default"/>
          <w:spacing w:val="-1"/>
        </w:rPr>
        <w:t>’</w:t>
      </w:r>
      <w:r>
        <w:rPr>
          <w:spacing w:val="-1"/>
        </w:rPr>
        <w:t>大平台</w:t>
      </w:r>
      <w:r>
        <w:rPr>
          <w:rFonts w:ascii="Times New Roman" w:hAnsi="Times New Roman" w:cs="Times New Roman" w:eastAsia="Times New Roman" w:hint="default"/>
          <w:spacing w:val="-1"/>
        </w:rPr>
        <w:t>”</w:t>
      </w:r>
      <w:r>
        <w:rPr>
          <w:spacing w:val="-1"/>
        </w:rPr>
        <w:t>，在教育信息化</w:t>
      </w:r>
      <w:r>
        <w:rPr>
          <w:rFonts w:ascii="Times New Roman" w:hAnsi="Times New Roman" w:cs="Times New Roman" w:eastAsia="Times New Roman" w:hint="default"/>
          <w:spacing w:val="-1"/>
        </w:rPr>
        <w:t>1.0</w:t>
      </w:r>
      <w:r>
        <w:rPr>
          <w:spacing w:val="-1"/>
        </w:rPr>
        <w:t>的基础上提出了更高的目标，着力打造教</w:t>
      </w:r>
      <w:r>
        <w:rPr>
          <w:spacing w:val="-68"/>
        </w:rPr>
        <w:t> </w:t>
      </w:r>
      <w:r>
        <w:rPr>
          <w:spacing w:val="-68"/>
        </w:rPr>
      </w:r>
      <w:r>
        <w:rPr/>
        <w:t>育信息化生态。</w:t>
      </w:r>
    </w:p>
    <w:p>
      <w:pPr>
        <w:pStyle w:val="Heading4"/>
        <w:spacing w:line="240" w:lineRule="auto" w:before="61"/>
        <w:ind w:left="574" w:right="1117"/>
        <w:jc w:val="left"/>
        <w:rPr>
          <w:b w:val="0"/>
          <w:bCs w:val="0"/>
        </w:rPr>
      </w:pPr>
      <w:r>
        <w:rPr>
          <w:rFonts w:ascii="Times New Roman" w:hAnsi="Times New Roman" w:cs="Times New Roman" w:eastAsia="Times New Roman" w:hint="default"/>
        </w:rPr>
        <w:t>2</w:t>
      </w:r>
      <w:r>
        <w:rPr/>
        <w:t>、行业政策趋势</w:t>
      </w:r>
      <w:r>
        <w:rPr>
          <w:b w:val="0"/>
          <w:bCs w:val="0"/>
        </w:rPr>
      </w:r>
    </w:p>
    <w:p>
      <w:pPr>
        <w:pStyle w:val="BodyText"/>
        <w:spacing w:line="386" w:lineRule="auto" w:before="177"/>
        <w:ind w:right="1133" w:firstLine="480"/>
        <w:jc w:val="both"/>
      </w:pPr>
      <w:r>
        <w:rPr>
          <w:rFonts w:ascii="Times New Roman" w:hAnsi="Times New Roman" w:cs="Times New Roman" w:eastAsia="Times New Roman" w:hint="default"/>
        </w:rPr>
        <w:t>2019</w:t>
      </w:r>
      <w:r>
        <w:rPr/>
        <w:t>年</w:t>
      </w:r>
      <w:r>
        <w:rPr>
          <w:rFonts w:ascii="Times New Roman" w:hAnsi="Times New Roman" w:cs="Times New Roman" w:eastAsia="Times New Roman" w:hint="default"/>
        </w:rPr>
        <w:t>2</w:t>
      </w:r>
      <w:r>
        <w:rPr/>
        <w:t>月</w:t>
      </w:r>
      <w:r>
        <w:rPr>
          <w:rFonts w:ascii="Times New Roman" w:hAnsi="Times New Roman" w:cs="Times New Roman" w:eastAsia="Times New Roman" w:hint="default"/>
        </w:rPr>
        <w:t>26</w:t>
      </w:r>
      <w:r>
        <w:rPr/>
        <w:t>日，国务院印发了《中国教育现代化</w:t>
      </w:r>
      <w:r>
        <w:rPr>
          <w:rFonts w:ascii="Times New Roman" w:hAnsi="Times New Roman" w:cs="Times New Roman" w:eastAsia="Times New Roman" w:hint="default"/>
        </w:rPr>
        <w:t>2035</w:t>
      </w:r>
      <w:r>
        <w:rPr/>
        <w:t>》，提出的十大战略任务之一就是要加快信息 </w:t>
      </w:r>
      <w:r>
        <w:rPr>
          <w:spacing w:val="13"/>
        </w:rPr>
        <w:t>化时代教育变革。全面建设智慧校园。同日，国务院办公厅下发了《加快推进教育现代化实施方案</w:t>
      </w:r>
    </w:p>
    <w:p>
      <w:pPr>
        <w:pStyle w:val="BodyText"/>
        <w:spacing w:line="240" w:lineRule="auto" w:before="65"/>
        <w:ind w:right="0"/>
        <w:jc w:val="both"/>
      </w:pPr>
      <w:r>
        <w:rPr/>
        <w:t>（</w:t>
      </w:r>
      <w:r>
        <w:rPr>
          <w:rFonts w:ascii="Times New Roman" w:hAnsi="Times New Roman" w:cs="Times New Roman" w:eastAsia="Times New Roman" w:hint="default"/>
        </w:rPr>
        <w:t>2018-2022</w:t>
      </w:r>
      <w:r>
        <w:rPr/>
        <w:t>）》也提出以信息化手段服务教育全过程，加快推进智慧教育创新发展</w:t>
      </w:r>
    </w:p>
    <w:p>
      <w:pPr>
        <w:pStyle w:val="BodyText"/>
        <w:spacing w:line="398" w:lineRule="auto" w:before="177"/>
        <w:ind w:right="1130" w:firstLine="480"/>
        <w:jc w:val="both"/>
      </w:pPr>
      <w:r>
        <w:rPr>
          <w:rFonts w:ascii="Times New Roman" w:hAnsi="Times New Roman" w:cs="Times New Roman" w:eastAsia="Times New Roman" w:hint="default"/>
          <w:spacing w:val="-4"/>
        </w:rPr>
        <w:t>2019</w:t>
      </w:r>
      <w:r>
        <w:rPr>
          <w:spacing w:val="-4"/>
        </w:rPr>
        <w:t>年</w:t>
      </w:r>
      <w:r>
        <w:rPr>
          <w:rFonts w:ascii="Times New Roman" w:hAnsi="Times New Roman" w:cs="Times New Roman" w:eastAsia="Times New Roman" w:hint="default"/>
          <w:spacing w:val="-4"/>
        </w:rPr>
        <w:t>2</w:t>
      </w:r>
      <w:r>
        <w:rPr>
          <w:spacing w:val="-4"/>
        </w:rPr>
        <w:t>月</w:t>
      </w:r>
      <w:r>
        <w:rPr>
          <w:rFonts w:ascii="Times New Roman" w:hAnsi="Times New Roman" w:cs="Times New Roman" w:eastAsia="Times New Roman" w:hint="default"/>
          <w:spacing w:val="-4"/>
        </w:rPr>
        <w:t>13</w:t>
      </w:r>
      <w:r>
        <w:rPr>
          <w:spacing w:val="-4"/>
        </w:rPr>
        <w:t>日，国务院印发了《国务院关于印发国家职业教育改革实施方案的通知》，提出，到</w:t>
      </w:r>
      <w:r>
        <w:rPr>
          <w:rFonts w:ascii="Times New Roman" w:hAnsi="Times New Roman" w:cs="Times New Roman" w:eastAsia="Times New Roman" w:hint="default"/>
          <w:spacing w:val="-4"/>
        </w:rPr>
        <w:t>2022</w:t>
      </w:r>
      <w:r>
        <w:rPr>
          <w:rFonts w:ascii="Times New Roman" w:hAnsi="Times New Roman" w:cs="Times New Roman" w:eastAsia="Times New Roman" w:hint="default"/>
        </w:rPr>
        <w:t> </w:t>
      </w:r>
      <w:r>
        <w:rPr>
          <w:spacing w:val="-1"/>
        </w:rPr>
        <w:t>年，企业参与职业教育的积极性有较大提升，培育数以万计的产教融合型企业，打造一批优秀职业教育培</w:t>
      </w:r>
      <w:r>
        <w:rPr>
          <w:spacing w:val="-83"/>
        </w:rPr>
        <w:t> </w:t>
      </w:r>
      <w:r>
        <w:rPr>
          <w:spacing w:val="-83"/>
        </w:rPr>
      </w:r>
      <w:r>
        <w:rPr/>
        <w:t>训评价组织，推动建设</w:t>
      </w:r>
      <w:r>
        <w:rPr>
          <w:rFonts w:ascii="Times New Roman" w:hAnsi="Times New Roman" w:cs="Times New Roman" w:eastAsia="Times New Roman" w:hint="default"/>
        </w:rPr>
        <w:t>300</w:t>
      </w:r>
      <w:r>
        <w:rPr/>
        <w:t>个具有辐射引领作用的高水平专业化产教融合实训基地。</w:t>
      </w:r>
    </w:p>
    <w:p>
      <w:pPr>
        <w:pStyle w:val="BodyText"/>
        <w:spacing w:line="398" w:lineRule="auto" w:before="24"/>
        <w:ind w:right="1131" w:firstLine="420"/>
        <w:jc w:val="both"/>
      </w:pPr>
      <w:r>
        <w:rPr>
          <w:spacing w:val="-1"/>
        </w:rPr>
        <w:t>为确保教育现代化目标任务的实现，《中国教育现代化</w:t>
      </w:r>
      <w:r>
        <w:rPr>
          <w:rFonts w:ascii="Times New Roman" w:hAnsi="Times New Roman" w:cs="Times New Roman" w:eastAsia="Times New Roman" w:hint="default"/>
          <w:spacing w:val="-1"/>
        </w:rPr>
        <w:t>2035</w:t>
      </w:r>
      <w:r>
        <w:rPr>
          <w:spacing w:val="-1"/>
        </w:rPr>
        <w:t>》还明确了在财政支持上的保障措施：完</w:t>
      </w:r>
      <w:r>
        <w:rPr/>
        <w:t> </w:t>
      </w:r>
      <w:r>
        <w:rPr>
          <w:spacing w:val="-1"/>
        </w:rPr>
        <w:t>善教育现代化投入支撑体制。健全保证财政教育投入持续稳定增长的长效机制，确保财政一般公共预算教</w:t>
      </w:r>
      <w:r>
        <w:rPr>
          <w:spacing w:val="-81"/>
        </w:rPr>
        <w:t> </w:t>
      </w:r>
      <w:r>
        <w:rPr>
          <w:spacing w:val="-81"/>
        </w:rPr>
      </w:r>
      <w:r>
        <w:rPr>
          <w:spacing w:val="-1"/>
        </w:rPr>
        <w:t>育支出逐年只增不减，确保按在校学生人数平均的一般公共预算教育支出逐年只增不减，保证国家财政性</w:t>
      </w:r>
      <w:r>
        <w:rPr>
          <w:spacing w:val="-81"/>
        </w:rPr>
        <w:t> </w:t>
      </w:r>
      <w:r>
        <w:rPr>
          <w:spacing w:val="-81"/>
        </w:rPr>
      </w:r>
      <w:r>
        <w:rPr>
          <w:spacing w:val="-3"/>
        </w:rPr>
        <w:t>教育经费支出占国内生产总值的比例一般不低于</w:t>
      </w:r>
      <w:r>
        <w:rPr>
          <w:rFonts w:ascii="Times New Roman" w:hAnsi="Times New Roman" w:cs="Times New Roman" w:eastAsia="Times New Roman" w:hint="default"/>
          <w:spacing w:val="-3"/>
        </w:rPr>
        <w:t>4%</w:t>
      </w:r>
      <w:r>
        <w:rPr>
          <w:spacing w:val="-3"/>
        </w:rPr>
        <w:t>。优化教育经费使用结构，全面实施绩效管理，建立健</w:t>
      </w:r>
      <w:r>
        <w:rPr>
          <w:spacing w:val="-60"/>
        </w:rPr>
        <w:t> </w:t>
      </w:r>
      <w:r>
        <w:rPr>
          <w:spacing w:val="-60"/>
        </w:rPr>
      </w:r>
      <w:r>
        <w:rPr/>
        <w:t>全全覆盖全过程全方位的教育经费监管体系，全面提高经费使用效益。</w:t>
      </w:r>
    </w:p>
    <w:p>
      <w:pPr>
        <w:pStyle w:val="BodyText"/>
        <w:spacing w:line="408" w:lineRule="auto" w:before="55"/>
        <w:ind w:right="1133" w:firstLine="420"/>
        <w:jc w:val="both"/>
      </w:pPr>
      <w:r>
        <w:rPr>
          <w:spacing w:val="-1"/>
        </w:rPr>
        <w:t>中国未来发展、中华民族伟大复兴，关键靠人才，基础在教育，教育信息化作为国家发展战略要素之</w:t>
      </w:r>
      <w:r>
        <w:rPr/>
        <w:t> 一，行业发展建设进入全新的快速发展阶段。</w:t>
      </w:r>
    </w:p>
    <w:p>
      <w:pPr>
        <w:pStyle w:val="Heading4"/>
        <w:spacing w:line="240" w:lineRule="auto" w:before="46"/>
        <w:ind w:left="636" w:right="1117"/>
        <w:jc w:val="left"/>
        <w:rPr>
          <w:b w:val="0"/>
          <w:bCs w:val="0"/>
        </w:rPr>
      </w:pPr>
      <w:r>
        <w:rPr/>
        <w:t>（二）</w:t>
      </w:r>
      <w:r>
        <w:rPr>
          <w:rFonts w:ascii="Times New Roman" w:hAnsi="Times New Roman" w:cs="Times New Roman" w:eastAsia="Times New Roman" w:hint="default"/>
        </w:rPr>
        <w:t>2019</w:t>
      </w:r>
      <w:r>
        <w:rPr/>
        <w:t>年度展望及经营规划</w:t>
      </w:r>
      <w:r>
        <w:rPr>
          <w:b w:val="0"/>
          <w:bCs w:val="0"/>
        </w:rPr>
      </w:r>
    </w:p>
    <w:p>
      <w:pPr>
        <w:spacing w:after="0" w:line="240" w:lineRule="auto"/>
        <w:jc w:val="left"/>
        <w:sectPr>
          <w:pgSz w:w="11910" w:h="16840"/>
          <w:pgMar w:header="877" w:footer="979" w:top="1100" w:bottom="1160" w:left="980" w:right="0"/>
        </w:sectPr>
      </w:pPr>
    </w:p>
    <w:p>
      <w:pPr>
        <w:spacing w:line="240" w:lineRule="auto" w:before="8"/>
        <w:rPr>
          <w:rFonts w:ascii="宋体" w:hAnsi="宋体" w:cs="宋体" w:eastAsia="宋体" w:hint="default"/>
          <w:b/>
          <w:bCs/>
          <w:sz w:val="26"/>
          <w:szCs w:val="26"/>
        </w:rPr>
      </w:pPr>
    </w:p>
    <w:p>
      <w:pPr>
        <w:pStyle w:val="BodyText"/>
        <w:spacing w:line="403" w:lineRule="auto" w:before="35"/>
        <w:ind w:right="0" w:firstLine="480"/>
        <w:jc w:val="left"/>
      </w:pPr>
      <w:r>
        <w:rPr>
          <w:rFonts w:ascii="Times New Roman" w:hAnsi="Times New Roman" w:cs="Times New Roman" w:eastAsia="Times New Roman" w:hint="default"/>
          <w:spacing w:val="-5"/>
        </w:rPr>
        <w:t>2019</w:t>
      </w:r>
      <w:r>
        <w:rPr>
          <w:spacing w:val="-5"/>
        </w:rPr>
        <w:t>年，公司将通过智慧校园应用解决方案、智慧校园云平台整体解决方案内涵拓展及应用迭代升级，</w:t>
      </w:r>
      <w:r>
        <w:rPr/>
        <w:t> 向客户进行科技赋能，为客户提供教育行业产业互联网科技服务、物联网科技服务。与此同时，公司将战 略性地继续向智慧教育领域延伸，利用资源优势快速抢占市场，构建起这一领域的竞争力。同时，携长期 在校园内积累的技术、经验、能力，以机制创新和开放合作举措继续往其他行业的信息化领域覆盖，成为 前沿新兴技术多元化的信息化智慧解决方案的提供商。</w:t>
      </w:r>
    </w:p>
    <w:p>
      <w:pPr>
        <w:pStyle w:val="Heading4"/>
        <w:spacing w:line="240" w:lineRule="auto" w:before="50"/>
        <w:ind w:left="634" w:right="1117"/>
        <w:jc w:val="left"/>
        <w:rPr>
          <w:b w:val="0"/>
          <w:bCs w:val="0"/>
        </w:rPr>
      </w:pPr>
      <w:r>
        <w:rPr>
          <w:rFonts w:ascii="Times New Roman" w:hAnsi="Times New Roman" w:cs="Times New Roman" w:eastAsia="Times New Roman" w:hint="default"/>
        </w:rPr>
        <w:t>1</w:t>
      </w:r>
      <w:r>
        <w:rPr/>
        <w:t>、抓住机遇，大力拓展智慧校园应用解决方案及智慧校园云平台整体解决方案建设</w:t>
      </w:r>
      <w:r>
        <w:rPr>
          <w:b w:val="0"/>
          <w:bCs w:val="0"/>
        </w:rPr>
      </w:r>
    </w:p>
    <w:p>
      <w:pPr>
        <w:pStyle w:val="BodyText"/>
        <w:spacing w:line="400" w:lineRule="auto" w:before="177"/>
        <w:ind w:right="1129" w:firstLine="480"/>
        <w:jc w:val="both"/>
      </w:pPr>
      <w:r>
        <w:rPr>
          <w:rFonts w:ascii="Times New Roman" w:hAnsi="Times New Roman" w:cs="Times New Roman" w:eastAsia="Times New Roman" w:hint="default"/>
          <w:spacing w:val="-2"/>
        </w:rPr>
        <w:t>2019</w:t>
      </w:r>
      <w:r>
        <w:rPr>
          <w:spacing w:val="-2"/>
        </w:rPr>
        <w:t>年度，公司一方面要抓住新产品应用的迭代机会开拓市场的同时，抓住智慧校园内涵延展不断拓</w:t>
      </w:r>
      <w:r>
        <w:rPr/>
        <w:t> </w:t>
      </w:r>
      <w:r>
        <w:rPr>
          <w:spacing w:val="-1"/>
        </w:rPr>
        <w:t>展业务。目前智慧校园应用解决方案升级创新趋势明显，公司将围绕着智慧校园建设趋势，充分利用自身</w:t>
      </w:r>
      <w:r>
        <w:rPr>
          <w:spacing w:val="-83"/>
        </w:rPr>
        <w:t> </w:t>
      </w:r>
      <w:r>
        <w:rPr>
          <w:spacing w:val="-83"/>
        </w:rPr>
      </w:r>
      <w:r>
        <w:rPr>
          <w:spacing w:val="-1"/>
        </w:rPr>
        <w:t>科技优势，向客户赋能，将智慧校园应用解决、智慧校园云平台整体解决方案、运维服务等多层次业务不</w:t>
      </w:r>
      <w:r>
        <w:rPr>
          <w:spacing w:val="-86"/>
        </w:rPr>
        <w:t> </w:t>
      </w:r>
      <w:r>
        <w:rPr>
          <w:spacing w:val="-86"/>
        </w:rPr>
      </w:r>
      <w:r>
        <w:rPr>
          <w:spacing w:val="-3"/>
        </w:rPr>
        <w:t>断创新，利用物联网、云计算</w:t>
      </w:r>
      <w:r>
        <w:rPr>
          <w:rFonts w:ascii="Times New Roman" w:hAnsi="Times New Roman" w:cs="Times New Roman" w:eastAsia="Times New Roman" w:hint="default"/>
          <w:spacing w:val="-3"/>
        </w:rPr>
        <w:t>/</w:t>
      </w:r>
      <w:r>
        <w:rPr>
          <w:spacing w:val="-3"/>
        </w:rPr>
        <w:t>存储、</w:t>
      </w:r>
      <w:r>
        <w:rPr>
          <w:rFonts w:ascii="Times New Roman" w:hAnsi="Times New Roman" w:cs="Times New Roman" w:eastAsia="Times New Roman" w:hint="default"/>
          <w:spacing w:val="-3"/>
        </w:rPr>
        <w:t>IPV6</w:t>
      </w:r>
      <w:r>
        <w:rPr>
          <w:spacing w:val="-3"/>
        </w:rPr>
        <w:t>、数据仓库与智能分析、融合应用、精准互动信息服务等前沿科</w:t>
      </w:r>
      <w:r>
        <w:rPr>
          <w:spacing w:val="-65"/>
        </w:rPr>
        <w:t> </w:t>
      </w:r>
      <w:r>
        <w:rPr>
          <w:spacing w:val="-65"/>
        </w:rPr>
      </w:r>
      <w:r>
        <w:rPr>
          <w:spacing w:val="-1"/>
        </w:rPr>
        <w:t>学技术，引领智慧校园整体解决方案的建设，并对客户的智慧校园升级需求积极响应，构建开放、灵活的</w:t>
      </w:r>
      <w:r>
        <w:rPr>
          <w:spacing w:val="-86"/>
        </w:rPr>
        <w:t> </w:t>
      </w:r>
      <w:r>
        <w:rPr>
          <w:spacing w:val="-86"/>
        </w:rPr>
      </w:r>
      <w:r>
        <w:rPr/>
        <w:t>校园服务框架，全面拓展智慧型的人才培养、科学研究、管理决策、生活服务新的校园运行模型。</w:t>
      </w:r>
    </w:p>
    <w:p>
      <w:pPr>
        <w:pStyle w:val="BodyText"/>
        <w:spacing w:line="403" w:lineRule="auto" w:before="52"/>
        <w:ind w:right="1131" w:firstLine="480"/>
        <w:jc w:val="both"/>
      </w:pPr>
      <w:r>
        <w:rPr>
          <w:rFonts w:ascii="Times New Roman" w:hAnsi="Times New Roman" w:cs="Times New Roman" w:eastAsia="Times New Roman" w:hint="default"/>
          <w:spacing w:val="-3"/>
        </w:rPr>
        <w:t>2019</w:t>
      </w:r>
      <w:r>
        <w:rPr>
          <w:spacing w:val="-3"/>
        </w:rPr>
        <w:t>年</w:t>
      </w:r>
      <w:r>
        <w:rPr>
          <w:rFonts w:ascii="Times New Roman" w:hAnsi="Times New Roman" w:cs="Times New Roman" w:eastAsia="Times New Roman" w:hint="default"/>
          <w:spacing w:val="-3"/>
        </w:rPr>
        <w:t>1</w:t>
      </w:r>
      <w:r>
        <w:rPr>
          <w:spacing w:val="-3"/>
        </w:rPr>
        <w:t>月，蚂蚁金服全资子公司上海云鑫受让公司</w:t>
      </w:r>
      <w:r>
        <w:rPr>
          <w:rFonts w:ascii="Times New Roman" w:hAnsi="Times New Roman" w:cs="Times New Roman" w:eastAsia="Times New Roman" w:hint="default"/>
          <w:spacing w:val="-3"/>
        </w:rPr>
        <w:t>6.28%</w:t>
      </w:r>
      <w:r>
        <w:rPr>
          <w:spacing w:val="-3"/>
        </w:rPr>
        <w:t>股份，成为公司第二大股东，也将为公司产</w:t>
      </w:r>
      <w:r>
        <w:rPr/>
        <w:t> </w:t>
      </w:r>
      <w:r>
        <w:rPr>
          <w:spacing w:val="-1"/>
        </w:rPr>
        <w:t>品创新提供强有力技术支撑。公司将依托蚂蚁金服生态体系的技术能力，以及阿里云现有产品、解决方案</w:t>
      </w:r>
      <w:r>
        <w:rPr>
          <w:spacing w:val="-83"/>
        </w:rPr>
        <w:t> </w:t>
      </w:r>
      <w:r>
        <w:rPr>
          <w:spacing w:val="-83"/>
        </w:rPr>
      </w:r>
      <w:r>
        <w:rPr>
          <w:spacing w:val="-1"/>
        </w:rPr>
        <w:t>能力，完成智慧校园云架构的搭建和升级。同时，依托智慧校园混合云平台，利用平台的海量数据，为校</w:t>
      </w:r>
      <w:r>
        <w:rPr>
          <w:spacing w:val="-83"/>
        </w:rPr>
        <w:t> </w:t>
      </w:r>
      <w:r>
        <w:rPr>
          <w:spacing w:val="-83"/>
        </w:rPr>
      </w:r>
      <w:r>
        <w:rPr>
          <w:spacing w:val="-1"/>
        </w:rPr>
        <w:t>园决策人、老师、学生提供种类繁多的微服务或定制化服务，并向校际交互方向拓展，打通校际壁垒，充</w:t>
      </w:r>
      <w:r>
        <w:rPr>
          <w:spacing w:val="-83"/>
        </w:rPr>
        <w:t> </w:t>
      </w:r>
      <w:r>
        <w:rPr>
          <w:spacing w:val="-83"/>
        </w:rPr>
      </w:r>
      <w:r>
        <w:rPr>
          <w:spacing w:val="-1"/>
        </w:rPr>
        <w:t>分体现智慧校园云平台所产生的巨大价值公司，快速推动公司向教育行业产业互联网科技服务公司、物联</w:t>
      </w:r>
      <w:r>
        <w:rPr>
          <w:spacing w:val="-81"/>
        </w:rPr>
        <w:t> </w:t>
      </w:r>
      <w:r>
        <w:rPr>
          <w:spacing w:val="-81"/>
        </w:rPr>
      </w:r>
      <w:r>
        <w:rPr/>
        <w:t>网科技服务公司转型。</w:t>
      </w:r>
    </w:p>
    <w:p>
      <w:pPr>
        <w:pStyle w:val="Heading4"/>
        <w:spacing w:line="240" w:lineRule="auto" w:before="50"/>
        <w:ind w:left="634" w:right="1117"/>
        <w:jc w:val="left"/>
        <w:rPr>
          <w:b w:val="0"/>
          <w:bCs w:val="0"/>
        </w:rPr>
      </w:pPr>
      <w:r>
        <w:rPr>
          <w:rFonts w:ascii="Times New Roman" w:hAnsi="Times New Roman" w:cs="Times New Roman" w:eastAsia="Times New Roman" w:hint="default"/>
        </w:rPr>
        <w:t>2</w:t>
      </w:r>
      <w:r>
        <w:rPr/>
        <w:t>、用科技赋能教育，为向教学提供优质服务和内容</w:t>
      </w:r>
      <w:r>
        <w:rPr>
          <w:b w:val="0"/>
          <w:bCs w:val="0"/>
        </w:rPr>
      </w:r>
    </w:p>
    <w:p>
      <w:pPr>
        <w:pStyle w:val="BodyText"/>
        <w:spacing w:line="398" w:lineRule="auto" w:before="177"/>
        <w:ind w:right="0" w:firstLine="480"/>
        <w:jc w:val="left"/>
      </w:pPr>
      <w:r>
        <w:rPr>
          <w:rFonts w:ascii="Times New Roman" w:hAnsi="Times New Roman" w:cs="Times New Roman" w:eastAsia="Times New Roman" w:hint="default"/>
          <w:spacing w:val="-2"/>
        </w:rPr>
        <w:t>2019</w:t>
      </w:r>
      <w:r>
        <w:rPr>
          <w:spacing w:val="-2"/>
        </w:rPr>
        <w:t>年度，公司将继续抓住国家倡导社会力举办职业教育、建设新工科教育的号召，借助公司已有积</w:t>
      </w:r>
      <w:r>
        <w:rPr/>
        <w:t> 累的</w:t>
      </w:r>
      <w:r>
        <w:rPr>
          <w:rFonts w:ascii="Times New Roman" w:hAnsi="Times New Roman" w:cs="Times New Roman" w:eastAsia="Times New Roman" w:hint="default"/>
        </w:rPr>
        <w:t>IT</w:t>
      </w:r>
      <w:r>
        <w:rPr/>
        <w:t>职业教育服务能力及工业机器人、</w:t>
      </w:r>
      <w:r>
        <w:rPr>
          <w:rFonts w:ascii="Times New Roman" w:hAnsi="Times New Roman" w:cs="Times New Roman" w:eastAsia="Times New Roman" w:hint="default"/>
        </w:rPr>
        <w:t>PCB</w:t>
      </w:r>
      <w:r>
        <w:rPr/>
        <w:t>激光成型机、专业的电子教学材料、</w:t>
      </w:r>
      <w:r>
        <w:rPr>
          <w:rFonts w:ascii="Times New Roman" w:hAnsi="Times New Roman" w:cs="Times New Roman" w:eastAsia="Times New Roman" w:hint="default"/>
        </w:rPr>
        <w:t>VR/AR</w:t>
      </w:r>
      <w:r>
        <w:rPr/>
        <w:t>教学设备等教学 设备和产品，通过销售设备，提供教学服务等与学校进行建设新工科教育为内容的校企合作及专业共建，</w:t>
      </w:r>
      <w:r>
        <w:rPr>
          <w:spacing w:val="-35"/>
        </w:rPr>
        <w:t> </w:t>
      </w:r>
      <w:r>
        <w:rPr>
          <w:spacing w:val="-35"/>
        </w:rPr>
      </w:r>
      <w:r>
        <w:rPr/>
        <w:t>为学校提供教学内容、教学模式、教学管理系统、实训设备、学习平台及专业化职业教育服务的新工科教</w:t>
      </w:r>
      <w:r>
        <w:rPr/>
        <w:t> 育综合解决方案。</w:t>
      </w:r>
    </w:p>
    <w:p>
      <w:pPr>
        <w:pStyle w:val="BodyText"/>
        <w:spacing w:line="393" w:lineRule="auto" w:before="54"/>
        <w:ind w:right="1131" w:firstLine="480"/>
        <w:jc w:val="both"/>
      </w:pPr>
      <w:r>
        <w:rPr>
          <w:spacing w:val="-2"/>
        </w:rPr>
        <w:t>公司</w:t>
      </w:r>
      <w:r>
        <w:rPr>
          <w:rFonts w:ascii="Times New Roman" w:hAnsi="Times New Roman" w:cs="Times New Roman" w:eastAsia="Times New Roman" w:hint="default"/>
          <w:spacing w:val="-2"/>
        </w:rPr>
        <w:t>2019</w:t>
      </w:r>
      <w:r>
        <w:rPr>
          <w:spacing w:val="-2"/>
        </w:rPr>
        <w:t>年还将继续密切关注高校专业发展动向和用户需求，牢牢把握信息技术、智能制造相关专业</w:t>
      </w:r>
      <w:r>
        <w:rPr/>
        <w:t> </w:t>
      </w:r>
      <w:r>
        <w:rPr>
          <w:spacing w:val="-1"/>
        </w:rPr>
        <w:t>教学实训设备的发展趋势，积极做好新产品研发和技术储备工作，完善人才梯队建设，为产品的不断升级</w:t>
      </w:r>
      <w:r>
        <w:rPr>
          <w:spacing w:val="-83"/>
        </w:rPr>
        <w:t> </w:t>
      </w:r>
      <w:r>
        <w:rPr>
          <w:spacing w:val="-83"/>
        </w:rPr>
      </w:r>
      <w:r>
        <w:rPr>
          <w:spacing w:val="-7"/>
        </w:rPr>
        <w:t>和创新提供强有力的支撑。公司将在巩固大数据教学</w:t>
      </w:r>
      <w:r>
        <w:rPr>
          <w:rFonts w:ascii="Times New Roman" w:hAnsi="Times New Roman" w:cs="Times New Roman" w:eastAsia="Times New Roman" w:hint="default"/>
          <w:spacing w:val="-7"/>
        </w:rPr>
        <w:t>/</w:t>
      </w:r>
      <w:r>
        <w:rPr>
          <w:spacing w:val="-7"/>
        </w:rPr>
        <w:t>科研平台的基础上，放眼未来，积极扩展工业机器人、</w:t>
      </w:r>
      <w:r>
        <w:rPr>
          <w:spacing w:val="-63"/>
        </w:rPr>
        <w:t> </w:t>
      </w:r>
      <w:r>
        <w:rPr>
          <w:spacing w:val="-63"/>
        </w:rPr>
      </w:r>
      <w:r>
        <w:rPr/>
        <w:t>虚拟现实、人工智能、物联网等专业教学实训设备。</w:t>
      </w:r>
    </w:p>
    <w:p>
      <w:pPr>
        <w:pStyle w:val="Heading4"/>
        <w:spacing w:line="240" w:lineRule="auto" w:before="58"/>
        <w:ind w:left="634" w:right="1117"/>
        <w:jc w:val="left"/>
        <w:rPr>
          <w:b w:val="0"/>
          <w:bCs w:val="0"/>
        </w:rPr>
      </w:pPr>
      <w:r>
        <w:rPr>
          <w:rFonts w:ascii="Times New Roman" w:hAnsi="Times New Roman" w:cs="Times New Roman" w:eastAsia="Times New Roman" w:hint="default"/>
        </w:rPr>
        <w:t>3</w:t>
      </w:r>
      <w:r>
        <w:rPr/>
        <w:t>、完美校园助力学生立德、树人、就业</w:t>
      </w:r>
      <w:r>
        <w:rPr>
          <w:b w:val="0"/>
          <w:bCs w:val="0"/>
        </w:rPr>
      </w:r>
    </w:p>
    <w:p>
      <w:pPr>
        <w:pStyle w:val="BodyText"/>
        <w:spacing w:line="240" w:lineRule="auto" w:before="177"/>
        <w:ind w:left="634" w:right="0"/>
        <w:jc w:val="left"/>
      </w:pPr>
      <w:r>
        <w:rPr>
          <w:rFonts w:ascii="Times New Roman" w:hAnsi="Times New Roman" w:cs="Times New Roman" w:eastAsia="Times New Roman" w:hint="default"/>
        </w:rPr>
        <w:t>2019</w:t>
      </w:r>
      <w:r>
        <w:rPr/>
        <w:t>年</w:t>
      </w:r>
      <w:r>
        <w:rPr>
          <w:rFonts w:ascii="Times New Roman" w:hAnsi="Times New Roman" w:cs="Times New Roman" w:eastAsia="Times New Roman" w:hint="default"/>
        </w:rPr>
        <w:t>1</w:t>
      </w:r>
      <w:r>
        <w:rPr/>
        <w:t>月，蚂蚁金服全资子公司增资公司控股子公司完美数联，完美数联将结合蚂蚁金服生态体系</w:t>
      </w:r>
    </w:p>
    <w:p>
      <w:pPr>
        <w:spacing w:after="0" w:line="240" w:lineRule="auto"/>
        <w:jc w:val="left"/>
        <w:sectPr>
          <w:pgSz w:w="11910" w:h="16840"/>
          <w:pgMar w:header="877" w:footer="979" w:top="1100" w:bottom="1160" w:left="980" w:right="0"/>
        </w:sectPr>
      </w:pPr>
    </w:p>
    <w:p>
      <w:pPr>
        <w:spacing w:line="240" w:lineRule="auto" w:before="8"/>
        <w:rPr>
          <w:rFonts w:ascii="宋体" w:hAnsi="宋体" w:cs="宋体" w:eastAsia="宋体" w:hint="default"/>
          <w:sz w:val="26"/>
          <w:szCs w:val="26"/>
        </w:rPr>
      </w:pPr>
    </w:p>
    <w:p>
      <w:pPr>
        <w:pStyle w:val="BodyText"/>
        <w:spacing w:line="403" w:lineRule="auto" w:before="35"/>
        <w:ind w:right="1127"/>
        <w:jc w:val="both"/>
      </w:pPr>
      <w:r>
        <w:rPr>
          <w:spacing w:val="-1"/>
        </w:rPr>
        <w:t>与科技能力，打造基于新开普的产品能力与服务体系的智慧校园解决方案，在输出智慧校园解决方案的同</w:t>
      </w:r>
      <w:r>
        <w:rPr>
          <w:spacing w:val="-81"/>
        </w:rPr>
        <w:t> </w:t>
      </w:r>
      <w:r>
        <w:rPr>
          <w:spacing w:val="-81"/>
        </w:rPr>
      </w:r>
      <w:r>
        <w:rPr/>
        <w:t>时构建一套完整的科技化体系帮助学生成长。未来，完美数联将整合行业生态，使</w:t>
      </w:r>
      <w:r>
        <w:rPr>
          <w:rFonts w:ascii="Times New Roman" w:hAnsi="Times New Roman" w:cs="Times New Roman" w:eastAsia="Times New Roman" w:hint="default"/>
        </w:rPr>
        <w:t>“</w:t>
      </w:r>
      <w:r>
        <w:rPr/>
        <w:t>完美校园</w:t>
      </w:r>
      <w:r>
        <w:rPr>
          <w:rFonts w:ascii="Times New Roman" w:hAnsi="Times New Roman" w:cs="Times New Roman" w:eastAsia="Times New Roman" w:hint="default"/>
        </w:rPr>
        <w:t>”A</w:t>
      </w:r>
      <w:r>
        <w:rPr>
          <w:rFonts w:ascii="Times New Roman" w:hAnsi="Times New Roman" w:cs="Times New Roman" w:eastAsia="Times New Roman" w:hint="default"/>
        </w:rPr>
        <w:t>pp</w:t>
      </w:r>
      <w:r>
        <w:rPr/>
        <w:t>成为中</w:t>
      </w:r>
      <w:r>
        <w:rPr>
          <w:spacing w:val="-48"/>
        </w:rPr>
        <w:t> </w:t>
      </w:r>
      <w:r>
        <w:rPr>
          <w:spacing w:val="-5"/>
        </w:rPr>
        <w:t>国高校大学生官方综合服务入口和著名品牌。同时，完美数联将整合业务资源优势，完善产品和技术体系，</w:t>
      </w:r>
      <w:r>
        <w:rPr>
          <w:spacing w:val="-101"/>
        </w:rPr>
        <w:t> </w:t>
      </w:r>
      <w:r>
        <w:rPr>
          <w:spacing w:val="-101"/>
        </w:rPr>
      </w:r>
      <w:r>
        <w:rPr>
          <w:spacing w:val="-1"/>
        </w:rPr>
        <w:t>服务于学生成长过程，成为学生立德、树人、成长及人才服务商。完美数联还将整合股东优势，深耕产业</w:t>
      </w:r>
      <w:r>
        <w:rPr>
          <w:spacing w:val="-82"/>
        </w:rPr>
        <w:t> </w:t>
      </w:r>
      <w:r>
        <w:rPr>
          <w:spacing w:val="-82"/>
        </w:rPr>
      </w:r>
      <w:r>
        <w:rPr>
          <w:spacing w:val="-1"/>
        </w:rPr>
        <w:t>互联网，向各类校园输出先进、安全、可靠的场景化服务及信息化解决方案，夯实数字化场景数据，成为</w:t>
      </w:r>
      <w:r>
        <w:rPr>
          <w:spacing w:val="-83"/>
        </w:rPr>
        <w:t> </w:t>
      </w:r>
      <w:r>
        <w:rPr>
          <w:spacing w:val="-83"/>
        </w:rPr>
      </w:r>
      <w:r>
        <w:rPr/>
        <w:t>教育信息化综合运营商。</w:t>
      </w:r>
    </w:p>
    <w:p>
      <w:pPr>
        <w:spacing w:line="386" w:lineRule="auto" w:before="50"/>
        <w:ind w:left="634" w:right="112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、智慧校园和智慧政企生态发展业务</w:t>
      </w:r>
      <w:r>
        <w:rPr>
          <w:rFonts w:ascii="宋体" w:hAnsi="宋体" w:cs="宋体" w:eastAsia="宋体" w:hint="default"/>
          <w:b/>
          <w:bCs/>
          <w:w w:val="99"/>
          <w:sz w:val="21"/>
          <w:szCs w:val="21"/>
        </w:rPr>
        <w:t> </w:t>
      </w:r>
      <w:r>
        <w:rPr>
          <w:rFonts w:ascii="宋体" w:hAnsi="宋体" w:cs="宋体" w:eastAsia="宋体" w:hint="default"/>
          <w:spacing w:val="-2"/>
          <w:sz w:val="21"/>
          <w:szCs w:val="21"/>
        </w:rPr>
        <w:t>公司与阿里系蚂蚁金服的深度合作后，未来基于生态发展战略，公司将在企业端充分利用阿里的人脸</w:t>
      </w:r>
    </w:p>
    <w:p>
      <w:pPr>
        <w:pStyle w:val="BodyText"/>
        <w:spacing w:line="408" w:lineRule="auto" w:before="65"/>
        <w:ind w:right="1131"/>
        <w:jc w:val="both"/>
      </w:pPr>
      <w:r>
        <w:rPr>
          <w:spacing w:val="-1"/>
        </w:rPr>
        <w:t>识别技术进行行业全应用扩展；在移动端充分与钉钉融合，在移动办公、企业信息流建设等方面在高端企</w:t>
      </w:r>
      <w:r>
        <w:rPr>
          <w:spacing w:val="-83"/>
        </w:rPr>
        <w:t> </w:t>
      </w:r>
      <w:r>
        <w:rPr>
          <w:spacing w:val="-83"/>
        </w:rPr>
      </w:r>
      <w:r>
        <w:rPr>
          <w:spacing w:val="-1"/>
        </w:rPr>
        <w:t>业等进行重点合作；结合公司在校园的人才战略，企业将充分打通高校、就业、信息化三位一体的生态融</w:t>
      </w:r>
      <w:r>
        <w:rPr>
          <w:spacing w:val="-84"/>
        </w:rPr>
        <w:t> </w:t>
      </w:r>
      <w:r>
        <w:rPr>
          <w:spacing w:val="-84"/>
        </w:rPr>
      </w:r>
      <w:r>
        <w:rPr/>
        <w:t>合。</w:t>
      </w:r>
    </w:p>
    <w:p>
      <w:pPr>
        <w:pStyle w:val="BodyText"/>
        <w:spacing w:line="396" w:lineRule="auto"/>
        <w:ind w:right="1112" w:firstLine="480"/>
        <w:jc w:val="left"/>
      </w:pPr>
      <w:r>
        <w:rPr>
          <w:rFonts w:ascii="Times New Roman" w:hAnsi="Times New Roman" w:cs="Times New Roman" w:eastAsia="Times New Roman" w:hint="default"/>
          <w:b/>
          <w:bCs/>
        </w:rPr>
        <w:t>5</w:t>
      </w:r>
      <w:r>
        <w:rPr>
          <w:rFonts w:ascii="宋体" w:hAnsi="宋体" w:cs="宋体" w:eastAsia="宋体" w:hint="default"/>
          <w:b/>
          <w:bCs/>
        </w:rPr>
        <w:t>、在产品研发、激励机制、人才成长机制上，不断提升公司的综合竞争力</w:t>
      </w:r>
      <w:r>
        <w:rPr>
          <w:rFonts w:ascii="宋体" w:hAnsi="宋体" w:cs="宋体" w:eastAsia="宋体" w:hint="default"/>
          <w:b/>
          <w:bCs/>
          <w:w w:val="99"/>
        </w:rPr>
        <w:t> </w:t>
      </w:r>
      <w:r>
        <w:rPr>
          <w:spacing w:val="-1"/>
        </w:rPr>
        <w:t>公司将紧跟人脸识别、</w:t>
      </w:r>
      <w:r>
        <w:rPr>
          <w:rFonts w:ascii="Times New Roman" w:hAnsi="Times New Roman" w:cs="Times New Roman" w:eastAsia="Times New Roman" w:hint="default"/>
          <w:spacing w:val="-1"/>
        </w:rPr>
        <w:t>AI</w:t>
      </w:r>
      <w:r>
        <w:rPr>
          <w:spacing w:val="-1"/>
        </w:rPr>
        <w:t>、区块链、无人零售等技术趋势的潮流，进行科学的产品规划，以满足客户不断</w:t>
      </w:r>
      <w:r>
        <w:rPr>
          <w:spacing w:val="-97"/>
        </w:rPr>
        <w:t> </w:t>
      </w:r>
      <w:r>
        <w:rPr>
          <w:spacing w:val="-97"/>
        </w:rPr>
      </w:r>
      <w:r>
        <w:rPr>
          <w:spacing w:val="-1"/>
        </w:rPr>
        <w:t>变动和升级的要求，为公司的下一轮增长做好准备。</w:t>
      </w:r>
      <w:r>
        <w:rPr>
          <w:rFonts w:ascii="Times New Roman" w:hAnsi="Times New Roman" w:cs="Times New Roman" w:eastAsia="Times New Roman" w:hint="default"/>
          <w:spacing w:val="-1"/>
        </w:rPr>
        <w:t>2019</w:t>
      </w:r>
      <w:r>
        <w:rPr>
          <w:spacing w:val="-1"/>
        </w:rPr>
        <w:t>年公司在上海设置了软件研究院，将以智慧型人</w:t>
      </w:r>
      <w:r>
        <w:rPr>
          <w:spacing w:val="-80"/>
        </w:rPr>
        <w:t> </w:t>
      </w:r>
      <w:r>
        <w:rPr>
          <w:spacing w:val="-80"/>
        </w:rPr>
      </w:r>
      <w:r>
        <w:rPr>
          <w:spacing w:val="-1"/>
        </w:rPr>
        <w:t>才培养、智慧型科学研究、智慧型管理决策、智慧型生活服务为目标，通过开放的服务管理框架、快速的</w:t>
      </w:r>
      <w:r>
        <w:rPr>
          <w:spacing w:val="-83"/>
        </w:rPr>
        <w:t> </w:t>
      </w:r>
      <w:r>
        <w:rPr>
          <w:spacing w:val="-83"/>
        </w:rPr>
      </w:r>
      <w:r>
        <w:rPr>
          <w:spacing w:val="-1"/>
        </w:rPr>
        <w:t>迭代开发能力、强大的大数据管理能力、安全的监控运维能力、扎实的基础教育产业互联网（云服务）服</w:t>
      </w:r>
      <w:r>
        <w:rPr>
          <w:spacing w:val="-83"/>
        </w:rPr>
        <w:t> </w:t>
      </w:r>
      <w:r>
        <w:rPr>
          <w:spacing w:val="-83"/>
        </w:rPr>
      </w:r>
      <w:r>
        <w:rPr/>
        <w:t>务能力等智慧校园核心技术能力，即基于</w:t>
      </w:r>
      <w:r>
        <w:rPr>
          <w:rFonts w:ascii="Times New Roman" w:hAnsi="Times New Roman" w:cs="Times New Roman" w:eastAsia="Times New Roman" w:hint="default"/>
        </w:rPr>
        <w:t>“</w:t>
      </w:r>
      <w:r>
        <w:rPr/>
        <w:t>教育信息化</w:t>
      </w:r>
      <w:r>
        <w:rPr>
          <w:spacing w:val="-39"/>
        </w:rPr>
        <w:t> </w:t>
      </w:r>
      <w:r>
        <w:rPr>
          <w:rFonts w:ascii="Times New Roman" w:hAnsi="Times New Roman" w:cs="Times New Roman" w:eastAsia="Times New Roman" w:hint="default"/>
        </w:rPr>
        <w:t>2.0”</w:t>
      </w:r>
      <w:r>
        <w:rPr/>
        <w:t>的智慧校园平台，全方位构建</w:t>
      </w:r>
      <w:r>
        <w:rPr>
          <w:rFonts w:ascii="Times New Roman" w:hAnsi="Times New Roman" w:cs="Times New Roman" w:eastAsia="Times New Roman" w:hint="default"/>
        </w:rPr>
        <w:t>“</w:t>
      </w:r>
      <w:r>
        <w:rPr/>
        <w:t>微服务</w:t>
      </w:r>
      <w:r>
        <w:rPr>
          <w:rFonts w:ascii="Times New Roman" w:hAnsi="Times New Roman" w:cs="Times New Roman" w:eastAsia="Times New Roman" w:hint="default"/>
        </w:rPr>
        <w:t>+</w:t>
      </w:r>
      <w:r>
        <w:rPr/>
        <w:t>大平台</w:t>
      </w:r>
      <w:r>
        <w:rPr>
          <w:rFonts w:ascii="Times New Roman" w:hAnsi="Times New Roman" w:cs="Times New Roman" w:eastAsia="Times New Roman" w:hint="default"/>
        </w:rPr>
        <w:t>”</w:t>
      </w:r>
      <w:r>
        <w:rPr>
          <w:rFonts w:ascii="Times New Roman" w:hAnsi="Times New Roman" w:cs="Times New Roman" w:eastAsia="Times New Roman" w:hint="default"/>
          <w:w w:val="100"/>
        </w:rPr>
        <w:t> </w:t>
      </w:r>
      <w:r>
        <w:rPr>
          <w:spacing w:val="-1"/>
        </w:rPr>
        <w:t>的校园运行新模型。同时，公司将不断完善内部的激励机制和监督机制，通过建立企业大学</w:t>
      </w:r>
      <w:r>
        <w:rPr>
          <w:rFonts w:ascii="Times New Roman" w:hAnsi="Times New Roman" w:cs="Times New Roman" w:eastAsia="Times New Roman" w:hint="default"/>
          <w:spacing w:val="-1"/>
        </w:rPr>
        <w:t>—</w:t>
      </w:r>
      <w:r>
        <w:rPr>
          <w:spacing w:val="-1"/>
        </w:rPr>
        <w:t>新开普商学</w:t>
      </w:r>
      <w:r>
        <w:rPr>
          <w:spacing w:val="-82"/>
        </w:rPr>
        <w:t> </w:t>
      </w:r>
      <w:r>
        <w:rPr>
          <w:spacing w:val="-1"/>
        </w:rPr>
        <w:t>院等方式加强人才队伍建设，提升公司治理水平，实现规范与发展的同步。此外，公司将加快行业并购步</w:t>
      </w:r>
      <w:r>
        <w:rPr>
          <w:spacing w:val="-86"/>
        </w:rPr>
        <w:t> </w:t>
      </w:r>
      <w:r>
        <w:rPr>
          <w:spacing w:val="-86"/>
        </w:rPr>
      </w:r>
      <w:r>
        <w:rPr/>
        <w:t>伐，通过机会把握和风险规避，不断提升公司的综合竞争力和盈利水平。</w:t>
      </w:r>
    </w:p>
    <w:p>
      <w:pPr>
        <w:spacing w:line="398" w:lineRule="auto" w:before="56"/>
        <w:ind w:left="634" w:right="1120" w:firstLine="2"/>
        <w:jc w:val="left"/>
        <w:rPr>
          <w:rFonts w:ascii="宋体" w:hAnsi="宋体" w:cs="宋体" w:eastAsia="宋体" w:hint="default"/>
          <w:sz w:val="21"/>
          <w:szCs w:val="21"/>
        </w:rPr>
      </w:pPr>
      <w:r>
        <w:rPr>
          <w:rFonts w:ascii="宋体" w:hAnsi="宋体" w:cs="宋体" w:eastAsia="宋体" w:hint="default"/>
          <w:b/>
          <w:bCs/>
          <w:sz w:val="21"/>
          <w:szCs w:val="21"/>
        </w:rPr>
        <w:t>（三）对公司未来发展战略和经营目标的实现产生不利影响的风险因素分析</w:t>
      </w:r>
      <w:r>
        <w:rPr>
          <w:rFonts w:ascii="宋体" w:hAnsi="宋体" w:cs="宋体" w:eastAsia="宋体" w:hint="default"/>
          <w:b/>
          <w:bCs/>
          <w:w w:val="99"/>
          <w:sz w:val="21"/>
          <w:szCs w:val="21"/>
        </w:rPr>
        <w:t> </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、移动互联网业务运营风险</w:t>
      </w:r>
      <w:r>
        <w:rPr>
          <w:rFonts w:ascii="宋体" w:hAnsi="宋体" w:cs="宋体" w:eastAsia="宋体" w:hint="default"/>
          <w:b/>
          <w:bCs/>
          <w:w w:val="99"/>
          <w:sz w:val="21"/>
          <w:szCs w:val="21"/>
        </w:rPr>
        <w:t> </w:t>
      </w:r>
      <w:r>
        <w:rPr>
          <w:rFonts w:ascii="宋体" w:hAnsi="宋体" w:cs="宋体" w:eastAsia="宋体" w:hint="default"/>
          <w:spacing w:val="-2"/>
          <w:sz w:val="21"/>
          <w:szCs w:val="21"/>
        </w:rPr>
        <w:t>当前，移动互联网产业蓬勃发展，成功的产品和服务模式不断向其它产业领域延伸渗透，智能一卡通</w:t>
      </w:r>
    </w:p>
    <w:p>
      <w:pPr>
        <w:pStyle w:val="BodyText"/>
        <w:spacing w:line="403" w:lineRule="auto" w:before="54"/>
        <w:ind w:right="1130"/>
        <w:jc w:val="both"/>
      </w:pPr>
      <w:r>
        <w:rPr>
          <w:spacing w:val="-1"/>
        </w:rPr>
        <w:t>行业也开始融入移动互联网元素，呈现出巨大的市场潜力。传统智能一卡通企业主要向学校、企业等客户</w:t>
      </w:r>
      <w:r>
        <w:rPr>
          <w:spacing w:val="-83"/>
        </w:rPr>
        <w:t> </w:t>
      </w:r>
      <w:r>
        <w:rPr>
          <w:spacing w:val="-83"/>
        </w:rPr>
      </w:r>
      <w:r>
        <w:rPr>
          <w:spacing w:val="-1"/>
        </w:rPr>
        <w:t>提供智能一卡通系统及相关软硬件产品的研发设计、系统集成和售后服务，缺乏直接面向大众消费者的自</w:t>
      </w:r>
      <w:r>
        <w:rPr>
          <w:spacing w:val="-81"/>
        </w:rPr>
        <w:t> </w:t>
      </w:r>
      <w:r>
        <w:rPr>
          <w:spacing w:val="-81"/>
        </w:rPr>
      </w:r>
      <w:r>
        <w:rPr>
          <w:spacing w:val="-2"/>
        </w:rPr>
        <w:t>有系统</w:t>
      </w:r>
      <w:r>
        <w:rPr>
          <w:rFonts w:ascii="Times New Roman" w:hAnsi="Times New Roman" w:cs="Times New Roman" w:eastAsia="Times New Roman" w:hint="default"/>
          <w:spacing w:val="-2"/>
        </w:rPr>
        <w:t>/</w:t>
      </w:r>
      <w:r>
        <w:rPr>
          <w:spacing w:val="-2"/>
        </w:rPr>
        <w:t>平台的推广和运营经验，技术、渠道和商业模式与移动互联网行业也相差较大。公司移动互联网运</w:t>
      </w:r>
      <w:r>
        <w:rPr>
          <w:spacing w:val="-92"/>
        </w:rPr>
        <w:t> </w:t>
      </w:r>
      <w:r>
        <w:rPr>
          <w:spacing w:val="-92"/>
        </w:rPr>
      </w:r>
      <w:r>
        <w:rPr>
          <w:spacing w:val="-1"/>
        </w:rPr>
        <w:t>营经验和成熟盈利模式的缺乏将对与移动互联网的深度融合，以及借助移动互联网进一步拓展行业发展空</w:t>
      </w:r>
      <w:r>
        <w:rPr>
          <w:spacing w:val="-81"/>
        </w:rPr>
        <w:t> </w:t>
      </w:r>
      <w:r>
        <w:rPr>
          <w:spacing w:val="-81"/>
        </w:rPr>
      </w:r>
      <w:r>
        <w:rPr/>
        <w:t>间造成不利影响。</w:t>
      </w:r>
    </w:p>
    <w:p>
      <w:pPr>
        <w:spacing w:line="386" w:lineRule="auto" w:before="50"/>
        <w:ind w:left="634" w:right="1019"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、职业教育服务业务运营风险</w:t>
      </w:r>
      <w:r>
        <w:rPr>
          <w:rFonts w:ascii="宋体" w:hAnsi="宋体" w:cs="宋体" w:eastAsia="宋体" w:hint="default"/>
          <w:b/>
          <w:bCs/>
          <w:w w:val="99"/>
          <w:sz w:val="21"/>
          <w:szCs w:val="21"/>
        </w:rPr>
        <w:t> </w:t>
      </w:r>
      <w:r>
        <w:rPr>
          <w:rFonts w:ascii="宋体" w:hAnsi="宋体" w:cs="宋体" w:eastAsia="宋体" w:hint="default"/>
          <w:spacing w:val="-1"/>
          <w:sz w:val="21"/>
          <w:szCs w:val="21"/>
        </w:rPr>
        <w:t>公司自成立以来，一直致力于开发以智能卡及</w:t>
      </w:r>
      <w:r>
        <w:rPr>
          <w:rFonts w:ascii="Times New Roman" w:hAnsi="Times New Roman" w:cs="Times New Roman" w:eastAsia="Times New Roman" w:hint="default"/>
          <w:spacing w:val="-1"/>
          <w:sz w:val="21"/>
          <w:szCs w:val="21"/>
        </w:rPr>
        <w:t>RFID</w:t>
      </w:r>
      <w:r>
        <w:rPr>
          <w:rFonts w:ascii="宋体" w:hAnsi="宋体" w:cs="宋体" w:eastAsia="宋体" w:hint="default"/>
          <w:spacing w:val="-1"/>
          <w:sz w:val="21"/>
          <w:szCs w:val="21"/>
        </w:rPr>
        <w:t>技术为基础的各类行业信息一体化应用解决方案，</w:t>
      </w:r>
    </w:p>
    <w:p>
      <w:pPr>
        <w:spacing w:after="0" w:line="386" w:lineRule="auto"/>
        <w:jc w:val="left"/>
        <w:rPr>
          <w:rFonts w:ascii="宋体" w:hAnsi="宋体" w:cs="宋体" w:eastAsia="宋体" w:hint="default"/>
          <w:sz w:val="21"/>
          <w:szCs w:val="21"/>
        </w:rPr>
        <w:sectPr>
          <w:pgSz w:w="11910" w:h="16840"/>
          <w:pgMar w:header="877" w:footer="979" w:top="1100" w:bottom="1160" w:left="980" w:right="0"/>
        </w:sectPr>
      </w:pPr>
    </w:p>
    <w:p>
      <w:pPr>
        <w:spacing w:line="240" w:lineRule="auto" w:before="8"/>
        <w:rPr>
          <w:rFonts w:ascii="宋体" w:hAnsi="宋体" w:cs="宋体" w:eastAsia="宋体" w:hint="default"/>
          <w:sz w:val="26"/>
          <w:szCs w:val="26"/>
        </w:rPr>
      </w:pPr>
    </w:p>
    <w:p>
      <w:pPr>
        <w:pStyle w:val="BodyText"/>
        <w:spacing w:line="403" w:lineRule="auto" w:before="35"/>
        <w:ind w:right="1131"/>
        <w:jc w:val="both"/>
      </w:pPr>
      <w:r>
        <w:rPr>
          <w:spacing w:val="-1"/>
        </w:rPr>
        <w:t>从事智能一卡通系统的平台软件、应用软件及各类智能卡终端的研发、生产、集成、销售和服务，并快速</w:t>
      </w:r>
      <w:r>
        <w:rPr>
          <w:spacing w:val="-83"/>
        </w:rPr>
        <w:t> </w:t>
      </w:r>
      <w:r>
        <w:rPr>
          <w:spacing w:val="-83"/>
        </w:rPr>
      </w:r>
      <w:r>
        <w:rPr>
          <w:spacing w:val="-1"/>
        </w:rPr>
        <w:t>推进移动互联网和移动支付在智能一卡通行业中的普及，促进以大数据、移动互联以及智能终端为核心的</w:t>
      </w:r>
      <w:r>
        <w:rPr>
          <w:spacing w:val="-81"/>
        </w:rPr>
        <w:t> </w:t>
      </w:r>
      <w:r>
        <w:rPr>
          <w:spacing w:val="-81"/>
        </w:rPr>
      </w:r>
      <w:r>
        <w:rPr>
          <w:rFonts w:ascii="Times New Roman" w:hAnsi="Times New Roman" w:cs="Times New Roman" w:eastAsia="Times New Roman" w:hint="default"/>
          <w:spacing w:val="-1"/>
        </w:rPr>
        <w:t>O2O</w:t>
      </w:r>
      <w:r>
        <w:rPr>
          <w:spacing w:val="-1"/>
        </w:rPr>
        <w:t>闭环模式的整合与发展。长期的研发服务以及高校客户资源为公司开展职业教育业务提供了充足的技</w:t>
      </w:r>
      <w:r>
        <w:rPr>
          <w:spacing w:val="-71"/>
        </w:rPr>
        <w:t> </w:t>
      </w:r>
      <w:r>
        <w:rPr>
          <w:spacing w:val="-71"/>
        </w:rPr>
      </w:r>
      <w:r>
        <w:rPr>
          <w:spacing w:val="-1"/>
        </w:rPr>
        <w:t>术、人才和客户支持，但作为公司之新业务，职业教育之运营方式、盈利模式与其现有智能一卡通业务完</w:t>
      </w:r>
      <w:r>
        <w:rPr>
          <w:spacing w:val="-86"/>
        </w:rPr>
        <w:t> </w:t>
      </w:r>
      <w:r>
        <w:rPr>
          <w:spacing w:val="-86"/>
        </w:rPr>
      </w:r>
      <w:r>
        <w:rPr/>
        <w:t>全不同，公司面临一定的业务运营风险。</w:t>
      </w:r>
    </w:p>
    <w:p>
      <w:pPr>
        <w:pStyle w:val="BodyText"/>
        <w:spacing w:line="386" w:lineRule="auto" w:before="50"/>
        <w:ind w:left="634" w:right="1120"/>
        <w:jc w:val="left"/>
      </w:pPr>
      <w:r>
        <w:rPr>
          <w:rFonts w:ascii="Times New Roman" w:hAnsi="Times New Roman" w:cs="Times New Roman" w:eastAsia="Times New Roman" w:hint="default"/>
          <w:b/>
          <w:bCs/>
        </w:rPr>
        <w:t>3</w:t>
      </w:r>
      <w:r>
        <w:rPr>
          <w:rFonts w:ascii="宋体" w:hAnsi="宋体" w:cs="宋体" w:eastAsia="宋体" w:hint="default"/>
          <w:b/>
          <w:bCs/>
        </w:rPr>
        <w:t>、研发风险</w:t>
      </w:r>
      <w:r>
        <w:rPr>
          <w:rFonts w:ascii="宋体" w:hAnsi="宋体" w:cs="宋体" w:eastAsia="宋体" w:hint="default"/>
          <w:b/>
          <w:bCs/>
          <w:w w:val="99"/>
        </w:rPr>
        <w:t> </w:t>
      </w:r>
      <w:r>
        <w:rPr>
          <w:spacing w:val="-2"/>
        </w:rPr>
        <w:t>由于信息技术行业整体发展速度较快，各类信息技术呈现出更新速度快、应用领域不断深入和拓展的</w:t>
      </w:r>
    </w:p>
    <w:p>
      <w:pPr>
        <w:pStyle w:val="BodyText"/>
        <w:spacing w:line="408" w:lineRule="auto" w:before="65"/>
        <w:ind w:right="1131"/>
        <w:jc w:val="both"/>
      </w:pPr>
      <w:r>
        <w:rPr>
          <w:spacing w:val="-1"/>
        </w:rPr>
        <w:t>发展态势，因此，公司需要不断进行新技术、新产品的研发和升级。虽然公司拥有强大的自主研发和技术</w:t>
      </w:r>
      <w:r>
        <w:rPr>
          <w:spacing w:val="-86"/>
        </w:rPr>
        <w:t> </w:t>
      </w:r>
      <w:r>
        <w:rPr>
          <w:spacing w:val="-86"/>
        </w:rPr>
      </w:r>
      <w:r>
        <w:rPr>
          <w:spacing w:val="-1"/>
        </w:rPr>
        <w:t>创新能力，但如果未来不能准确把握信息技术、产品及市场的发展趋势并持续研发出符合市场需求的新产</w:t>
      </w:r>
      <w:r>
        <w:rPr>
          <w:spacing w:val="-81"/>
        </w:rPr>
        <w:t> </w:t>
      </w:r>
      <w:r>
        <w:rPr>
          <w:spacing w:val="-81"/>
        </w:rPr>
      </w:r>
      <w:r>
        <w:rPr/>
        <w:t>品，将会在一定程度上削弱公司的竞争优势，对公司的持续盈利能力造成不利影响。</w:t>
      </w:r>
    </w:p>
    <w:p>
      <w:pPr>
        <w:pStyle w:val="BodyText"/>
        <w:spacing w:line="386" w:lineRule="auto"/>
        <w:ind w:left="634" w:right="1120"/>
        <w:jc w:val="left"/>
      </w:pPr>
      <w:r>
        <w:rPr>
          <w:rFonts w:ascii="Times New Roman" w:hAnsi="Times New Roman" w:cs="Times New Roman" w:eastAsia="Times New Roman" w:hint="default"/>
          <w:b/>
          <w:bCs/>
        </w:rPr>
        <w:t>4</w:t>
      </w:r>
      <w:r>
        <w:rPr>
          <w:rFonts w:ascii="宋体" w:hAnsi="宋体" w:cs="宋体" w:eastAsia="宋体" w:hint="default"/>
          <w:b/>
          <w:bCs/>
        </w:rPr>
        <w:t>、管理风险</w:t>
      </w:r>
      <w:r>
        <w:rPr>
          <w:rFonts w:ascii="宋体" w:hAnsi="宋体" w:cs="宋体" w:eastAsia="宋体" w:hint="default"/>
          <w:b/>
          <w:bCs/>
          <w:w w:val="99"/>
        </w:rPr>
        <w:t> </w:t>
      </w:r>
      <w:r>
        <w:rPr>
          <w:spacing w:val="-2"/>
        </w:rPr>
        <w:t>随着公司资产规模及经营规模将逐步扩大，公司人员亦将相应增加，组织结构和管理体系可能趋于复</w:t>
      </w:r>
    </w:p>
    <w:p>
      <w:pPr>
        <w:pStyle w:val="BodyText"/>
        <w:spacing w:line="408" w:lineRule="auto" w:before="65"/>
        <w:ind w:right="0"/>
        <w:jc w:val="left"/>
      </w:pPr>
      <w:r>
        <w:rPr/>
        <w:t>杂化，公司的经营决策、风险控制的难度大为增加，对公司管理团队的管理水平及驾驭经营风险的能力带 来一定程度的挑战，对公司的内部控制、运营组织、营销服务等各方面都提出了更高的要求，对在管理、</w:t>
      </w:r>
      <w:r>
        <w:rPr>
          <w:spacing w:val="-35"/>
        </w:rPr>
        <w:t> </w:t>
      </w:r>
      <w:r>
        <w:rPr>
          <w:spacing w:val="-35"/>
        </w:rPr>
      </w:r>
      <w:r>
        <w:rPr/>
        <w:t>技术、营销、业务等方面的中高级人才的需求也将日益增加。若公司的技术管理、营销管理、质量控制等</w:t>
      </w:r>
      <w:r>
        <w:rPr/>
        <w:t> 能力不能适应公司规模迅速扩张的要求，人才培养、组织模式和管理制度不能进一步健全和完善，将会导 致相应的管理风险。</w:t>
      </w:r>
    </w:p>
    <w:p>
      <w:pPr>
        <w:pStyle w:val="Heading4"/>
        <w:spacing w:line="240" w:lineRule="auto" w:before="46"/>
        <w:ind w:left="634" w:right="1117"/>
        <w:jc w:val="left"/>
        <w:rPr>
          <w:b w:val="0"/>
          <w:bCs w:val="0"/>
        </w:rPr>
      </w:pPr>
      <w:r>
        <w:rPr>
          <w:rFonts w:ascii="Times New Roman" w:hAnsi="Times New Roman" w:cs="Times New Roman" w:eastAsia="Times New Roman" w:hint="default"/>
        </w:rPr>
        <w:t>5</w:t>
      </w:r>
      <w:r>
        <w:rPr/>
        <w:t>、收购整合的风险</w:t>
      </w:r>
      <w:r>
        <w:rPr>
          <w:b w:val="0"/>
          <w:bCs w:val="0"/>
        </w:rPr>
      </w:r>
    </w:p>
    <w:p>
      <w:pPr>
        <w:pStyle w:val="BodyText"/>
        <w:spacing w:line="400" w:lineRule="auto" w:before="177"/>
        <w:ind w:right="1131" w:firstLine="480"/>
        <w:jc w:val="both"/>
      </w:pPr>
      <w:r>
        <w:rPr>
          <w:rFonts w:ascii="Times New Roman" w:hAnsi="Times New Roman" w:cs="Times New Roman" w:eastAsia="Times New Roman" w:hint="default"/>
          <w:spacing w:val="-2"/>
        </w:rPr>
        <w:t>2015</w:t>
      </w:r>
      <w:r>
        <w:rPr>
          <w:spacing w:val="-2"/>
        </w:rPr>
        <w:t>年至今，公司收购完成了对迪科远望、上海树维的收购以及对北京乐智、成都兰途、希嘉教育等</w:t>
      </w:r>
      <w:r>
        <w:rPr/>
        <w:t> </w:t>
      </w:r>
      <w:r>
        <w:rPr>
          <w:spacing w:val="-1"/>
        </w:rPr>
        <w:t>公司的战略投资，公司的资产规模和渠道覆盖均大幅增加，公司与标的公司在企业文化、经营管理、业务</w:t>
      </w:r>
      <w:r>
        <w:rPr>
          <w:spacing w:val="-84"/>
        </w:rPr>
        <w:t> </w:t>
      </w:r>
      <w:r>
        <w:rPr>
          <w:spacing w:val="-84"/>
        </w:rPr>
      </w:r>
      <w:r>
        <w:rPr>
          <w:spacing w:val="-1"/>
        </w:rPr>
        <w:t>拓展等方面能否顺利实现整合存在不确定性，若公司未能及时制定并实施与之相适应的整合措施，可能存</w:t>
      </w:r>
      <w:r>
        <w:rPr>
          <w:spacing w:val="-81"/>
        </w:rPr>
        <w:t> </w:t>
      </w:r>
      <w:r>
        <w:rPr>
          <w:spacing w:val="-81"/>
        </w:rPr>
      </w:r>
      <w:r>
        <w:rPr/>
        <w:t>在无法达到预期整合效应的风险。</w:t>
      </w:r>
    </w:p>
    <w:p>
      <w:pPr>
        <w:pStyle w:val="BodyText"/>
        <w:spacing w:line="386" w:lineRule="auto" w:before="52"/>
        <w:ind w:left="634" w:right="1120"/>
        <w:jc w:val="left"/>
      </w:pPr>
      <w:r>
        <w:rPr>
          <w:rFonts w:ascii="Times New Roman" w:hAnsi="Times New Roman" w:cs="Times New Roman" w:eastAsia="Times New Roman" w:hint="default"/>
          <w:b/>
          <w:bCs/>
        </w:rPr>
        <w:t>6</w:t>
      </w:r>
      <w:r>
        <w:rPr>
          <w:rFonts w:ascii="宋体" w:hAnsi="宋体" w:cs="宋体" w:eastAsia="宋体" w:hint="default"/>
          <w:b/>
          <w:bCs/>
        </w:rPr>
        <w:t>、商誉减值的风险</w:t>
      </w:r>
      <w:r>
        <w:rPr>
          <w:rFonts w:ascii="宋体" w:hAnsi="宋体" w:cs="宋体" w:eastAsia="宋体" w:hint="default"/>
          <w:b/>
          <w:bCs/>
          <w:w w:val="99"/>
        </w:rPr>
        <w:t> </w:t>
      </w:r>
      <w:r>
        <w:rPr>
          <w:spacing w:val="-2"/>
        </w:rPr>
        <w:t>根据企业会计准则，非同一控制下的企业合并中，购买方对合并成本大于合并中取得的被购买方可辨</w:t>
      </w:r>
    </w:p>
    <w:p>
      <w:pPr>
        <w:pStyle w:val="BodyText"/>
        <w:spacing w:line="398" w:lineRule="auto" w:before="65"/>
        <w:ind w:right="1129"/>
        <w:jc w:val="both"/>
      </w:pPr>
      <w:r>
        <w:rPr>
          <w:spacing w:val="-5"/>
        </w:rPr>
        <w:t>认净资产公允价值份额的差额，应当确认为商誉，该等商誉需要在未来每个会计年度末进行减值测试。</w:t>
      </w:r>
      <w:r>
        <w:rPr>
          <w:rFonts w:ascii="Times New Roman" w:hAnsi="Times New Roman" w:cs="Times New Roman" w:eastAsia="Times New Roman" w:hint="default"/>
          <w:spacing w:val="-5"/>
        </w:rPr>
        <w:t>2015</w:t>
      </w:r>
      <w:r>
        <w:rPr>
          <w:rFonts w:ascii="Times New Roman" w:hAnsi="Times New Roman" w:cs="Times New Roman" w:eastAsia="Times New Roman" w:hint="default"/>
          <w:spacing w:val="-38"/>
        </w:rPr>
        <w:t> </w:t>
      </w:r>
      <w:r>
        <w:rPr>
          <w:spacing w:val="-1"/>
        </w:rPr>
        <w:t>年公司并购重组确认了较大额度的商誉，若标的公司未来经营中不能较好地实现收益，则收购标的资产所</w:t>
      </w:r>
      <w:r>
        <w:rPr>
          <w:spacing w:val="-81"/>
        </w:rPr>
        <w:t> </w:t>
      </w:r>
      <w:r>
        <w:rPr>
          <w:spacing w:val="-81"/>
        </w:rPr>
      </w:r>
      <w:r>
        <w:rPr/>
        <w:t>形成的商誉将会有减值风险，从而对公司经营业绩产生不利影响。</w:t>
      </w:r>
    </w:p>
    <w:p>
      <w:pPr>
        <w:spacing w:after="0" w:line="398" w:lineRule="auto"/>
        <w:jc w:val="both"/>
        <w:sectPr>
          <w:pgSz w:w="11910" w:h="16840"/>
          <w:pgMar w:header="877" w:footer="979" w:top="1100" w:bottom="1160" w:left="980" w:right="0"/>
        </w:sectPr>
      </w:pPr>
    </w:p>
    <w:p>
      <w:pPr>
        <w:spacing w:line="240" w:lineRule="auto" w:before="9"/>
        <w:rPr>
          <w:rFonts w:ascii="宋体" w:hAnsi="宋体" w:cs="宋体" w:eastAsia="宋体" w:hint="default"/>
          <w:sz w:val="19"/>
          <w:szCs w:val="19"/>
        </w:rPr>
      </w:pPr>
    </w:p>
    <w:p>
      <w:pPr>
        <w:pStyle w:val="Heading2"/>
        <w:spacing w:line="240" w:lineRule="auto" w:before="26"/>
        <w:ind w:right="1117"/>
        <w:jc w:val="left"/>
        <w:rPr>
          <w:b w:val="0"/>
          <w:bCs w:val="0"/>
        </w:rPr>
      </w:pPr>
      <w:bookmarkStart w:name="十、接待调研、沟通、采访等活动登记表" w:id="58"/>
      <w:bookmarkEnd w:id="58"/>
      <w:r>
        <w:rPr>
          <w:b w:val="0"/>
          <w:bCs w:val="0"/>
        </w:rPr>
      </w:r>
      <w:r>
        <w:rPr/>
        <w:t>十、接待调研、沟通、采访等活动登记表</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1117"/>
        <w:jc w:val="left"/>
        <w:rPr>
          <w:b w:val="0"/>
          <w:bCs w:val="0"/>
        </w:rPr>
      </w:pPr>
      <w:bookmarkStart w:name="1、报告期内接待调研、沟通、采访等活动登记表" w:id="59"/>
      <w:bookmarkEnd w:id="59"/>
      <w:r>
        <w:rPr>
          <w:b w:val="0"/>
          <w:bCs w:val="0"/>
        </w:rPr>
      </w:r>
      <w:r>
        <w:rPr>
          <w:rFonts w:ascii="Times New Roman" w:hAnsi="Times New Roman" w:cs="Times New Roman" w:eastAsia="Times New Roman" w:hint="default"/>
        </w:rPr>
        <w:t>1</w:t>
      </w:r>
      <w:r>
        <w:rPr/>
        <w:t>、报告期内接待调研、沟通、采访等活动登记表</w:t>
      </w:r>
      <w:r>
        <w:rPr>
          <w:b w:val="0"/>
          <w:bCs w:val="0"/>
        </w:rPr>
      </w:r>
    </w:p>
    <w:p>
      <w:pPr>
        <w:spacing w:line="240" w:lineRule="auto" w:before="8"/>
        <w:rPr>
          <w:rFonts w:ascii="宋体" w:hAnsi="宋体" w:cs="宋体" w:eastAsia="宋体" w:hint="default"/>
          <w:b/>
          <w:bCs/>
          <w:sz w:val="26"/>
          <w:szCs w:val="26"/>
        </w:rPr>
      </w:pPr>
    </w:p>
    <w:p>
      <w:pPr>
        <w:spacing w:line="338" w:lineRule="auto" w:before="0"/>
        <w:ind w:left="154" w:right="661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公司报告期内未发生接待调研、沟通、采访等活动。</w:t>
      </w:r>
    </w:p>
    <w:p>
      <w:pPr>
        <w:spacing w:after="0" w:line="338" w:lineRule="auto"/>
        <w:jc w:val="left"/>
        <w:rPr>
          <w:rFonts w:ascii="宋体" w:hAnsi="宋体" w:cs="宋体" w:eastAsia="宋体" w:hint="default"/>
          <w:sz w:val="18"/>
          <w:szCs w:val="18"/>
        </w:rPr>
        <w:sectPr>
          <w:pgSz w:w="11910" w:h="16840"/>
          <w:pgMar w:header="877" w:footer="979" w:top="110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6"/>
          <w:szCs w:val="16"/>
        </w:rPr>
      </w:pPr>
    </w:p>
    <w:p>
      <w:pPr>
        <w:pStyle w:val="Heading1"/>
        <w:spacing w:line="240" w:lineRule="auto"/>
        <w:ind w:right="978"/>
        <w:jc w:val="center"/>
        <w:rPr>
          <w:b w:val="0"/>
          <w:bCs w:val="0"/>
        </w:rPr>
      </w:pPr>
      <w:bookmarkStart w:name="第五节 重要事项" w:id="60"/>
      <w:bookmarkEnd w:id="60"/>
      <w:r>
        <w:rPr>
          <w:b w:val="0"/>
          <w:bCs w:val="0"/>
        </w:rPr>
      </w:r>
      <w:bookmarkStart w:name="_bookmark3" w:id="61"/>
      <w:bookmarkEnd w:id="61"/>
      <w:r>
        <w:rPr>
          <w:b w:val="0"/>
          <w:bCs w:val="0"/>
        </w:rPr>
      </w:r>
      <w:r>
        <w:rPr/>
        <w:t>第五节</w:t>
      </w:r>
      <w:r>
        <w:rPr>
          <w:spacing w:val="-5"/>
        </w:rPr>
        <w:t> </w:t>
      </w:r>
      <w:r>
        <w:rPr/>
        <w:t>重要事项</w:t>
      </w:r>
      <w:r>
        <w:rPr>
          <w:b w:val="0"/>
          <w:bCs w:val="0"/>
        </w:rPr>
      </w:r>
    </w:p>
    <w:p>
      <w:pPr>
        <w:spacing w:line="240" w:lineRule="auto" w:before="12"/>
        <w:rPr>
          <w:rFonts w:ascii="宋体" w:hAnsi="宋体" w:cs="宋体" w:eastAsia="宋体" w:hint="default"/>
          <w:b/>
          <w:bCs/>
          <w:sz w:val="38"/>
          <w:szCs w:val="38"/>
        </w:rPr>
      </w:pPr>
    </w:p>
    <w:p>
      <w:pPr>
        <w:pStyle w:val="Heading2"/>
        <w:spacing w:line="240" w:lineRule="auto"/>
        <w:ind w:right="1117"/>
        <w:jc w:val="left"/>
        <w:rPr>
          <w:b w:val="0"/>
          <w:bCs w:val="0"/>
        </w:rPr>
      </w:pPr>
      <w:bookmarkStart w:name="一、公司普通股利润分配及资本公积金转增股本情况" w:id="62"/>
      <w:bookmarkEnd w:id="62"/>
      <w:r>
        <w:rPr>
          <w:b w:val="0"/>
          <w:bCs w:val="0"/>
        </w:rPr>
      </w:r>
      <w:r>
        <w:rPr/>
        <w:t>一、公司普通股利润分配及资本公积金转增股本情况</w:t>
      </w:r>
      <w:r>
        <w:rPr>
          <w:b w:val="0"/>
          <w:bCs w:val="0"/>
        </w:rPr>
      </w:r>
    </w:p>
    <w:p>
      <w:pPr>
        <w:spacing w:line="240" w:lineRule="auto" w:before="7"/>
        <w:rPr>
          <w:rFonts w:ascii="宋体" w:hAnsi="宋体" w:cs="宋体" w:eastAsia="宋体" w:hint="default"/>
          <w:b/>
          <w:bCs/>
          <w:sz w:val="26"/>
          <w:szCs w:val="26"/>
        </w:rPr>
      </w:pPr>
    </w:p>
    <w:p>
      <w:pPr>
        <w:spacing w:before="0"/>
        <w:ind w:left="154" w:right="1117" w:firstLine="0"/>
        <w:jc w:val="left"/>
        <w:rPr>
          <w:rFonts w:ascii="宋体" w:hAnsi="宋体" w:cs="宋体" w:eastAsia="宋体" w:hint="default"/>
          <w:sz w:val="18"/>
          <w:szCs w:val="18"/>
        </w:rPr>
      </w:pPr>
      <w:r>
        <w:rPr>
          <w:rFonts w:ascii="宋体" w:hAnsi="宋体" w:cs="宋体" w:eastAsia="宋体" w:hint="default"/>
          <w:sz w:val="18"/>
          <w:szCs w:val="18"/>
        </w:rPr>
        <w:t>报告期内普通股利润分配政策，特别是现金分红政策的制定、执行或调整情况</w:t>
      </w:r>
    </w:p>
    <w:p>
      <w:pPr>
        <w:spacing w:before="117"/>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pStyle w:val="BodyText"/>
        <w:spacing w:line="408" w:lineRule="auto" w:before="153"/>
        <w:ind w:right="1130" w:firstLine="496"/>
        <w:jc w:val="both"/>
      </w:pPr>
      <w:r>
        <w:rPr>
          <w:spacing w:val="-3"/>
        </w:rPr>
        <w:t>（一）公司重视对投资者的合理投资回报，根据自身的财务结构、盈利能力和未来的投资、融资发展</w:t>
      </w:r>
      <w:r>
        <w:rPr/>
        <w:t> 规划实施积极的利润分配办法，保持利润分配政策的持续性和稳定性。</w:t>
      </w:r>
    </w:p>
    <w:p>
      <w:pPr>
        <w:pStyle w:val="BodyText"/>
        <w:spacing w:line="408" w:lineRule="auto"/>
        <w:ind w:left="650" w:right="1117"/>
        <w:jc w:val="left"/>
      </w:pPr>
      <w:r>
        <w:rPr/>
        <w:t>公司利润分配政策如下： </w:t>
      </w:r>
      <w:r>
        <w:rPr>
          <w:spacing w:val="-3"/>
        </w:rPr>
        <w:t>“公司的利润分配政策应重视对投资者的合理投资回报，利润分配政策将保持连续性和稳定性。公司</w:t>
      </w:r>
    </w:p>
    <w:p>
      <w:pPr>
        <w:pStyle w:val="BodyText"/>
        <w:spacing w:line="408" w:lineRule="auto"/>
        <w:ind w:left="650" w:right="3822" w:hanging="496"/>
        <w:jc w:val="left"/>
      </w:pPr>
      <w:r>
        <w:rPr/>
        <w:t>的利润分配不得超过累计可分配利润的范围，不得损害公司持续经营能力。 公司的利润分配政策为：</w:t>
      </w:r>
    </w:p>
    <w:p>
      <w:pPr>
        <w:pStyle w:val="BodyText"/>
        <w:spacing w:line="240" w:lineRule="auto"/>
        <w:ind w:left="650" w:right="1117"/>
        <w:jc w:val="left"/>
      </w:pPr>
      <w:r>
        <w:rPr/>
        <w:t>（一）公司可以采取现金或者股票股利方式分配股利，可以进行中期现金分红；</w:t>
      </w:r>
    </w:p>
    <w:p>
      <w:pPr>
        <w:spacing w:line="240" w:lineRule="auto" w:before="10"/>
        <w:rPr>
          <w:rFonts w:ascii="宋体" w:hAnsi="宋体" w:cs="宋体" w:eastAsia="宋体" w:hint="default"/>
          <w:sz w:val="14"/>
          <w:szCs w:val="14"/>
        </w:rPr>
      </w:pPr>
    </w:p>
    <w:p>
      <w:pPr>
        <w:pStyle w:val="BodyText"/>
        <w:spacing w:line="398" w:lineRule="auto" w:before="0"/>
        <w:ind w:right="1132" w:firstLine="496"/>
        <w:jc w:val="both"/>
      </w:pPr>
      <w:r>
        <w:rPr>
          <w:spacing w:val="-3"/>
        </w:rPr>
        <w:t>（二）在满足公司正常生产经营的资金需求的前提下，公司每年以现金方式分配的利润不少于当年实</w:t>
      </w:r>
      <w:r>
        <w:rPr/>
        <w:t> 现的可分配利润的</w:t>
      </w:r>
      <w:r>
        <w:rPr>
          <w:rFonts w:ascii="Times New Roman" w:hAnsi="Times New Roman" w:cs="Times New Roman" w:eastAsia="Times New Roman" w:hint="default"/>
        </w:rPr>
        <w:t>10%</w:t>
      </w:r>
      <w:r>
        <w:rPr/>
        <w:t>；对于公司当年的利润分配计划，公司董事会应当在定期报告中披露当年未分配利 润的使用计划、安排或原则。</w:t>
      </w:r>
    </w:p>
    <w:p>
      <w:pPr>
        <w:pStyle w:val="BodyText"/>
        <w:spacing w:line="400" w:lineRule="auto" w:before="54"/>
        <w:ind w:right="1131" w:firstLine="496"/>
        <w:jc w:val="both"/>
      </w:pPr>
      <w:r>
        <w:rPr>
          <w:spacing w:val="-2"/>
        </w:rPr>
        <w:t>公司董事会未做出年度现金利润分配预案或年度现金利润分配比例不足</w:t>
      </w:r>
      <w:r>
        <w:rPr>
          <w:rFonts w:ascii="Times New Roman" w:hAnsi="Times New Roman" w:cs="Times New Roman" w:eastAsia="Times New Roman" w:hint="default"/>
          <w:spacing w:val="-2"/>
        </w:rPr>
        <w:t>10%</w:t>
      </w:r>
      <w:r>
        <w:rPr>
          <w:spacing w:val="-2"/>
        </w:rPr>
        <w:t>的，应当在定期报告中披</w:t>
      </w:r>
      <w:r>
        <w:rPr/>
        <w:t> </w:t>
      </w:r>
      <w:r>
        <w:rPr>
          <w:spacing w:val="-1"/>
        </w:rPr>
        <w:t>露原因、公司留存资金的使用计划和安排，该等年度现金利润分配方案须经董事会审议、监事会审核后提</w:t>
      </w:r>
      <w:r>
        <w:rPr>
          <w:spacing w:val="-83"/>
        </w:rPr>
        <w:t> </w:t>
      </w:r>
      <w:r>
        <w:rPr>
          <w:spacing w:val="-83"/>
        </w:rPr>
      </w:r>
      <w:r>
        <w:rPr>
          <w:spacing w:val="-1"/>
        </w:rPr>
        <w:t>交股东大会审议；股东大会审议该等年度现金利润分配方案时，公司应当提供网络投票表决方式为公众股</w:t>
      </w:r>
      <w:r>
        <w:rPr>
          <w:spacing w:val="-81"/>
        </w:rPr>
        <w:t> </w:t>
      </w:r>
      <w:r>
        <w:rPr>
          <w:spacing w:val="-81"/>
        </w:rPr>
      </w:r>
      <w:r>
        <w:rPr/>
        <w:t>东参加股东大会提供便利；对于该等年度现金利润分配方案，独立董事应当发表独立意见；</w:t>
      </w:r>
    </w:p>
    <w:p>
      <w:pPr>
        <w:pStyle w:val="BodyText"/>
        <w:spacing w:line="408" w:lineRule="auto" w:before="52"/>
        <w:ind w:right="1130" w:firstLine="496"/>
        <w:jc w:val="both"/>
      </w:pPr>
      <w:r>
        <w:rPr>
          <w:spacing w:val="-3"/>
        </w:rPr>
        <w:t>（三）具备现金分红条件的，应当采用现金分红进行利润分配。若公司营业收入快速增长，并且董事</w:t>
      </w:r>
      <w:r>
        <w:rPr/>
        <w:t> </w:t>
      </w:r>
      <w:r>
        <w:rPr>
          <w:spacing w:val="-1"/>
        </w:rPr>
        <w:t>会认为公司股票价格与公司股本规模不匹配时，可以在满足上述现金股利分配之余，提出实施股票股利分</w:t>
      </w:r>
      <w:r>
        <w:rPr>
          <w:spacing w:val="-80"/>
        </w:rPr>
        <w:t> </w:t>
      </w:r>
      <w:r>
        <w:rPr>
          <w:spacing w:val="-80"/>
        </w:rPr>
      </w:r>
      <w:r>
        <w:rPr>
          <w:spacing w:val="-1"/>
        </w:rPr>
        <w:t>配预案，具体方案需经公司董事会审议后提交公司股东大会批准。采用股票股利进行利润分配的，应当具</w:t>
      </w:r>
      <w:r>
        <w:rPr>
          <w:spacing w:val="-83"/>
        </w:rPr>
        <w:t> </w:t>
      </w:r>
      <w:r>
        <w:rPr>
          <w:spacing w:val="-83"/>
        </w:rPr>
      </w:r>
      <w:r>
        <w:rPr/>
        <w:t>有公司成长性、每股净资产的摊薄等真实合理因素。</w:t>
      </w:r>
    </w:p>
    <w:p>
      <w:pPr>
        <w:pStyle w:val="BodyText"/>
        <w:spacing w:line="408" w:lineRule="auto"/>
        <w:ind w:right="1131" w:firstLine="496"/>
        <w:jc w:val="both"/>
      </w:pPr>
      <w:r>
        <w:rPr>
          <w:spacing w:val="-3"/>
        </w:rPr>
        <w:t>公司董事会应当综合考虑所处行业特点、发展阶段、自身经营模式、盈利水平以及是否有重大资金支</w:t>
      </w:r>
      <w:r>
        <w:rPr/>
        <w:t> 出安排等因素，区分下列情形，并按照本章程规定的程序，提出差异化的现金分红政策：</w:t>
      </w:r>
    </w:p>
    <w:p>
      <w:pPr>
        <w:pStyle w:val="BodyText"/>
        <w:spacing w:line="386" w:lineRule="auto"/>
        <w:ind w:right="1140" w:firstLine="496"/>
        <w:jc w:val="both"/>
      </w:pPr>
      <w:r>
        <w:rPr>
          <w:rFonts w:ascii="Times New Roman" w:hAnsi="Times New Roman" w:cs="Times New Roman" w:eastAsia="Times New Roman" w:hint="default"/>
        </w:rPr>
        <w:t>1</w:t>
      </w:r>
      <w:r>
        <w:rPr/>
        <w:t>、公司发展阶段属成熟期且无重大资金支出安排的，进行利润分配时，现金分红在本次利润分配中 所占比例最低应达到</w:t>
      </w:r>
      <w:r>
        <w:rPr>
          <w:rFonts w:ascii="Times New Roman" w:hAnsi="Times New Roman" w:cs="Times New Roman" w:eastAsia="Times New Roman" w:hint="default"/>
        </w:rPr>
        <w:t>80%</w:t>
      </w:r>
      <w:r>
        <w:rPr/>
        <w:t>；</w:t>
      </w:r>
    </w:p>
    <w:p>
      <w:pPr>
        <w:pStyle w:val="BodyText"/>
        <w:spacing w:line="386" w:lineRule="auto" w:before="35"/>
        <w:ind w:right="1139" w:firstLine="496"/>
        <w:jc w:val="both"/>
      </w:pPr>
      <w:r>
        <w:rPr>
          <w:rFonts w:ascii="Times New Roman" w:hAnsi="Times New Roman" w:cs="Times New Roman" w:eastAsia="Times New Roman" w:hint="default"/>
        </w:rPr>
        <w:t>2</w:t>
      </w:r>
      <w:r>
        <w:rPr/>
        <w:t>、公司发展阶段属成熟期且有重大资金支出安排的，进行利润分配时，现金分红在本次利润分配中 所占比例最低应达到</w:t>
      </w:r>
      <w:r>
        <w:rPr>
          <w:rFonts w:ascii="Times New Roman" w:hAnsi="Times New Roman" w:cs="Times New Roman" w:eastAsia="Times New Roman" w:hint="default"/>
        </w:rPr>
        <w:t>40%</w:t>
      </w:r>
      <w:r>
        <w:rPr/>
        <w:t>；</w:t>
      </w:r>
    </w:p>
    <w:p>
      <w:pPr>
        <w:spacing w:after="0" w:line="386" w:lineRule="auto"/>
        <w:jc w:val="both"/>
        <w:sectPr>
          <w:pgSz w:w="11910" w:h="16840"/>
          <w:pgMar w:header="877" w:footer="979" w:top="1100" w:bottom="1160" w:left="980" w:right="0"/>
        </w:sectPr>
      </w:pPr>
    </w:p>
    <w:p>
      <w:pPr>
        <w:spacing w:line="240" w:lineRule="auto" w:before="8"/>
        <w:rPr>
          <w:rFonts w:ascii="宋体" w:hAnsi="宋体" w:cs="宋体" w:eastAsia="宋体" w:hint="default"/>
          <w:sz w:val="26"/>
          <w:szCs w:val="26"/>
        </w:rPr>
      </w:pPr>
    </w:p>
    <w:p>
      <w:pPr>
        <w:pStyle w:val="BodyText"/>
        <w:spacing w:line="386" w:lineRule="auto" w:before="35"/>
        <w:ind w:right="1121" w:firstLine="496"/>
        <w:jc w:val="left"/>
      </w:pPr>
      <w:r>
        <w:rPr>
          <w:rFonts w:ascii="Times New Roman" w:hAnsi="Times New Roman" w:cs="Times New Roman" w:eastAsia="Times New Roman" w:hint="default"/>
        </w:rPr>
        <w:t>3</w:t>
      </w:r>
      <w:r>
        <w:rPr/>
        <w:t>、公司发展阶段属成长期且有重大资金支出安排的，进行利润分配时，现金分红在本次利润分配中 所占比例最低应达到</w:t>
      </w:r>
      <w:r>
        <w:rPr>
          <w:rFonts w:ascii="Times New Roman" w:hAnsi="Times New Roman" w:cs="Times New Roman" w:eastAsia="Times New Roman" w:hint="default"/>
        </w:rPr>
        <w:t>20%</w:t>
      </w:r>
      <w:r>
        <w:rPr/>
        <w:t>；</w:t>
      </w:r>
    </w:p>
    <w:p>
      <w:pPr>
        <w:pStyle w:val="BodyText"/>
        <w:spacing w:line="408" w:lineRule="auto" w:before="35"/>
        <w:ind w:left="650" w:right="1117"/>
        <w:jc w:val="left"/>
      </w:pPr>
      <w:r>
        <w:rPr/>
        <w:t>公司发展阶段不易区分但有重大资金支出安排的，可以按照前项规定处理。 </w:t>
      </w:r>
      <w:r>
        <w:rPr>
          <w:spacing w:val="-3"/>
        </w:rPr>
        <w:t>公司的利润分配政策经董事会审议、监事会审核后，报股东大会表决通过。公司制定各期利润分配的</w:t>
      </w:r>
    </w:p>
    <w:p>
      <w:pPr>
        <w:pStyle w:val="BodyText"/>
        <w:spacing w:line="408" w:lineRule="auto"/>
        <w:ind w:right="1131"/>
        <w:jc w:val="both"/>
      </w:pPr>
      <w:r>
        <w:rPr>
          <w:spacing w:val="-1"/>
        </w:rPr>
        <w:t>具体规划和计划安排，以及调整规划或计划安排时，应按照有关法律、行政法规、部门规章及本章程的规</w:t>
      </w:r>
      <w:r>
        <w:rPr>
          <w:spacing w:val="-86"/>
        </w:rPr>
        <w:t> </w:t>
      </w:r>
      <w:r>
        <w:rPr>
          <w:spacing w:val="-86"/>
        </w:rPr>
      </w:r>
      <w:r>
        <w:rPr>
          <w:spacing w:val="-1"/>
        </w:rPr>
        <w:t>定，并充分听取独立董事、外部监事和公众股东的意见；公司在制定现金分红具体方案时，董事会应当认</w:t>
      </w:r>
      <w:r>
        <w:rPr>
          <w:spacing w:val="-86"/>
        </w:rPr>
        <w:t> </w:t>
      </w:r>
      <w:r>
        <w:rPr>
          <w:spacing w:val="-86"/>
        </w:rPr>
      </w:r>
      <w:r>
        <w:rPr>
          <w:spacing w:val="-1"/>
        </w:rPr>
        <w:t>真研究和论证公司现金分红的时机、条件和最低比例、调整的条件及其决策程序要求等事宜，独立董事应</w:t>
      </w:r>
      <w:r>
        <w:rPr>
          <w:spacing w:val="-83"/>
        </w:rPr>
        <w:t> </w:t>
      </w:r>
      <w:r>
        <w:rPr>
          <w:spacing w:val="-83"/>
        </w:rPr>
      </w:r>
      <w:r>
        <w:rPr>
          <w:spacing w:val="-1"/>
        </w:rPr>
        <w:t>当发表明确意见。独立董事可以征集中小股东的意见，提出分红提案，并直接提交董事会审议。股东大会</w:t>
      </w:r>
      <w:r>
        <w:rPr>
          <w:spacing w:val="-86"/>
        </w:rPr>
        <w:t> </w:t>
      </w:r>
      <w:r>
        <w:rPr>
          <w:spacing w:val="-86"/>
        </w:rPr>
      </w:r>
      <w:r>
        <w:rPr>
          <w:spacing w:val="-1"/>
        </w:rPr>
        <w:t>对现金分红具体方案进行审议前，公司应当通过多种渠道主动与股东特别是中小股东进行沟通和交流，充</w:t>
      </w:r>
      <w:r>
        <w:rPr>
          <w:spacing w:val="-81"/>
        </w:rPr>
        <w:t> </w:t>
      </w:r>
      <w:r>
        <w:rPr>
          <w:spacing w:val="-81"/>
        </w:rPr>
      </w:r>
      <w:r>
        <w:rPr/>
        <w:t>分听取中小股东的意见和诉求，及时答复中小股东关心的问题。</w:t>
      </w:r>
    </w:p>
    <w:p>
      <w:pPr>
        <w:pStyle w:val="BodyText"/>
        <w:spacing w:line="405" w:lineRule="auto"/>
        <w:ind w:right="0" w:firstLine="496"/>
        <w:jc w:val="left"/>
      </w:pPr>
      <w:r>
        <w:rPr>
          <w:spacing w:val="-3"/>
        </w:rPr>
        <w:t>公司应当严格执行公司章程确定的现金分红政策以及股东大会审议批准的现金分红具体方案。确有必</w:t>
      </w:r>
      <w:r>
        <w:rPr/>
        <w:t> </w:t>
      </w:r>
      <w:r>
        <w:rPr>
          <w:spacing w:val="-1"/>
        </w:rPr>
        <w:t>要对公司章程确定的利润分配政策特别是现金分红政策进行调整或者变更的，应以股东权益保护为出发点，</w:t>
      </w:r>
      <w:r>
        <w:rPr>
          <w:spacing w:val="-80"/>
        </w:rPr>
        <w:t> </w:t>
      </w:r>
      <w:r>
        <w:rPr>
          <w:spacing w:val="-80"/>
        </w:rPr>
      </w:r>
      <w:r>
        <w:rPr/>
        <w:t>由公司董事会、监事会进行研究论证并在股东大会提案中详细论证和说明原因，经调整的利润分配政策应</w:t>
      </w:r>
      <w:r>
        <w:rPr/>
        <w:t> 当符合有关法律、行政法规、部门规章及本章程的规定并须经董事会审议、监事会审核后提交股东大会审 议，并经出席股东大会的股东所持表决权的</w:t>
      </w:r>
      <w:r>
        <w:rPr>
          <w:rFonts w:ascii="Times New Roman" w:hAnsi="Times New Roman" w:cs="Times New Roman" w:eastAsia="Times New Roman" w:hint="default"/>
        </w:rPr>
        <w:t>2/3</w:t>
      </w:r>
      <w:r>
        <w:rPr/>
        <w:t>以上通过。股东大会审议该等议案时，公司应当提供网络投 票表决方式为公众股东参加股东大会提供便利。对于公司利润分配政策的调整或者变更事项，独立董事应 当发表独立意见。</w:t>
      </w:r>
    </w:p>
    <w:p>
      <w:pPr>
        <w:pStyle w:val="BodyText"/>
        <w:spacing w:line="408" w:lineRule="auto" w:before="48"/>
        <w:ind w:right="1117" w:firstLine="496"/>
        <w:jc w:val="left"/>
      </w:pPr>
      <w:r>
        <w:rPr>
          <w:spacing w:val="-3"/>
        </w:rPr>
        <w:t>公司制定分红回报规划应当着眼于公司的长远和可持续发展，在综合分析企业经营发展实际、股东要</w:t>
      </w:r>
      <w:r>
        <w:rPr/>
        <w:t> </w:t>
      </w:r>
      <w:r>
        <w:rPr>
          <w:spacing w:val="-5"/>
        </w:rPr>
        <w:t>求和意愿、社会资金成本、外部融资环境等因素的基础上，建立对投资者持续、稳定、科学的回报机制。”</w:t>
      </w:r>
    </w:p>
    <w:p>
      <w:pPr>
        <w:pStyle w:val="BodyText"/>
        <w:spacing w:line="240" w:lineRule="auto"/>
        <w:ind w:left="650" w:right="1117"/>
        <w:jc w:val="left"/>
      </w:pPr>
      <w:r>
        <w:rPr/>
        <w:t>（二）报告期内公司分红派息执行情况</w:t>
      </w:r>
    </w:p>
    <w:p>
      <w:pPr>
        <w:spacing w:line="240" w:lineRule="auto" w:before="10"/>
        <w:rPr>
          <w:rFonts w:ascii="宋体" w:hAnsi="宋体" w:cs="宋体" w:eastAsia="宋体" w:hint="default"/>
          <w:sz w:val="14"/>
          <w:szCs w:val="14"/>
        </w:rPr>
      </w:pPr>
    </w:p>
    <w:p>
      <w:pPr>
        <w:pStyle w:val="BodyText"/>
        <w:spacing w:line="240" w:lineRule="auto" w:before="0"/>
        <w:ind w:left="650" w:right="1117"/>
        <w:jc w:val="left"/>
      </w:pPr>
      <w:r>
        <w:rPr/>
        <w:t>经立信会计师事务所（特殊普通合伙）审计：公司 </w:t>
      </w:r>
      <w:r>
        <w:rPr>
          <w:rFonts w:ascii="Times New Roman" w:hAnsi="Times New Roman" w:cs="Times New Roman" w:eastAsia="Times New Roman" w:hint="default"/>
        </w:rPr>
        <w:t>2017</w:t>
      </w:r>
      <w:r>
        <w:rPr>
          <w:rFonts w:ascii="Times New Roman" w:hAnsi="Times New Roman" w:cs="Times New Roman" w:eastAsia="Times New Roman" w:hint="default"/>
          <w:spacing w:val="9"/>
        </w:rPr>
        <w:t> </w:t>
      </w:r>
      <w:r>
        <w:rPr/>
        <w:t>年度实现归属于上市公司股东的净利润为</w:t>
      </w:r>
    </w:p>
    <w:p>
      <w:pPr>
        <w:pStyle w:val="BodyText"/>
        <w:spacing w:line="386" w:lineRule="auto" w:before="177"/>
        <w:ind w:left="650" w:right="1208" w:hanging="496"/>
        <w:jc w:val="left"/>
      </w:pPr>
      <w:r>
        <w:rPr>
          <w:rFonts w:ascii="Times New Roman" w:hAnsi="Times New Roman" w:cs="Times New Roman" w:eastAsia="Times New Roman" w:hint="default"/>
        </w:rPr>
        <w:t>119,671,217.16</w:t>
      </w:r>
      <w:r>
        <w:rPr/>
        <w:t>元，母公司实现的净利润为</w:t>
      </w:r>
      <w:r>
        <w:rPr>
          <w:rFonts w:ascii="Times New Roman" w:hAnsi="Times New Roman" w:cs="Times New Roman" w:eastAsia="Times New Roman" w:hint="default"/>
        </w:rPr>
        <w:t>95,093,703.83</w:t>
      </w:r>
      <w:r>
        <w:rPr/>
        <w:t>元。 根据《公司章程》的有关规定，母公司应当提取利润的</w:t>
      </w:r>
      <w:r>
        <w:rPr>
          <w:rFonts w:ascii="Times New Roman" w:hAnsi="Times New Roman" w:cs="Times New Roman" w:eastAsia="Times New Roman" w:hint="default"/>
        </w:rPr>
        <w:t>10%</w:t>
      </w:r>
      <w:r>
        <w:rPr/>
        <w:t>，即</w:t>
      </w:r>
      <w:r>
        <w:rPr>
          <w:rFonts w:ascii="Times New Roman" w:hAnsi="Times New Roman" w:cs="Times New Roman" w:eastAsia="Times New Roman" w:hint="default"/>
        </w:rPr>
        <w:t>9,509,370.38</w:t>
      </w:r>
      <w:r>
        <w:rPr/>
        <w:t>元作为法定公积金。截</w:t>
      </w:r>
    </w:p>
    <w:p>
      <w:pPr>
        <w:pStyle w:val="BodyText"/>
        <w:spacing w:line="386" w:lineRule="auto" w:before="35"/>
        <w:ind w:left="650" w:right="1117" w:hanging="496"/>
        <w:jc w:val="left"/>
      </w:pPr>
      <w:r>
        <w:rPr/>
        <w:t>至</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日，母公司可供分配的利润为</w:t>
      </w:r>
      <w:r>
        <w:rPr>
          <w:rFonts w:ascii="Times New Roman" w:hAnsi="Times New Roman" w:cs="Times New Roman" w:eastAsia="Times New Roman" w:hint="default"/>
        </w:rPr>
        <w:t>281,757,022.93</w:t>
      </w:r>
      <w:r>
        <w:rPr/>
        <w:t>元，资本公积余额为</w:t>
      </w:r>
      <w:r>
        <w:rPr>
          <w:rFonts w:ascii="Times New Roman" w:hAnsi="Times New Roman" w:cs="Times New Roman" w:eastAsia="Times New Roman" w:hint="default"/>
        </w:rPr>
        <w:t>702,083,069.98</w:t>
      </w:r>
      <w:r>
        <w:rPr/>
        <w:t>元。</w:t>
      </w:r>
      <w:r>
        <w:rPr>
          <w:spacing w:val="-2"/>
        </w:rPr>
        <w:t> </w:t>
      </w:r>
      <w:r>
        <w:rPr>
          <w:spacing w:val="-3"/>
        </w:rPr>
        <w:t>考虑到公司业务持续发展，且经营现金流同步增长，在符合利润分配原则、保证公司正常经营和长远</w:t>
      </w:r>
    </w:p>
    <w:p>
      <w:pPr>
        <w:pStyle w:val="BodyText"/>
        <w:spacing w:line="391" w:lineRule="auto" w:before="65"/>
        <w:ind w:right="0"/>
        <w:jc w:val="left"/>
      </w:pPr>
      <w:r>
        <w:rPr/>
        <w:t>发展的前提下，为了更好的兼顾股东的即期利益和长远利益，使公司的价值能够更加公允、客观的体现，</w:t>
      </w:r>
      <w:r>
        <w:rPr>
          <w:spacing w:val="-38"/>
        </w:rPr>
        <w:t> </w:t>
      </w:r>
      <w:r>
        <w:rPr>
          <w:spacing w:val="-38"/>
        </w:rPr>
      </w:r>
      <w:r>
        <w:rPr/>
        <w:t>从长远角度回报投资者，使全体股东分享公司成长的经营成果，</w:t>
      </w:r>
      <w:r>
        <w:rPr>
          <w:rFonts w:ascii="Times New Roman" w:hAnsi="Times New Roman" w:cs="Times New Roman" w:eastAsia="Times New Roman" w:hint="default"/>
        </w:rPr>
        <w:t>2017</w:t>
      </w:r>
      <w:r>
        <w:rPr>
          <w:rFonts w:ascii="Times New Roman" w:hAnsi="Times New Roman" w:cs="Times New Roman" w:eastAsia="Times New Roman" w:hint="default"/>
          <w:spacing w:val="31"/>
        </w:rPr>
        <w:t> </w:t>
      </w:r>
      <w:r>
        <w:rPr/>
        <w:t>年度公司利润分配预案如下：以截 </w:t>
      </w:r>
      <w:r>
        <w:rPr>
          <w:spacing w:val="-2"/>
        </w:rPr>
        <w:t>止</w:t>
      </w:r>
      <w:r>
        <w:rPr>
          <w:rFonts w:ascii="Times New Roman" w:hAnsi="Times New Roman" w:cs="Times New Roman" w:eastAsia="Times New Roman" w:hint="default"/>
          <w:spacing w:val="-2"/>
        </w:rPr>
        <w:t>2017</w:t>
      </w:r>
      <w:r>
        <w:rPr>
          <w:spacing w:val="-2"/>
        </w:rPr>
        <w:t>年</w:t>
      </w:r>
      <w:r>
        <w:rPr>
          <w:rFonts w:ascii="Times New Roman" w:hAnsi="Times New Roman" w:cs="Times New Roman" w:eastAsia="Times New Roman" w:hint="default"/>
          <w:spacing w:val="-2"/>
        </w:rPr>
        <w:t>12</w:t>
      </w:r>
      <w:r>
        <w:rPr>
          <w:spacing w:val="-2"/>
        </w:rPr>
        <w:t>月</w:t>
      </w:r>
      <w:r>
        <w:rPr>
          <w:rFonts w:ascii="Times New Roman" w:hAnsi="Times New Roman" w:cs="Times New Roman" w:eastAsia="Times New Roman" w:hint="default"/>
          <w:spacing w:val="-2"/>
        </w:rPr>
        <w:t>31</w:t>
      </w:r>
      <w:r>
        <w:rPr>
          <w:spacing w:val="-2"/>
        </w:rPr>
        <w:t>日公司总股本</w:t>
      </w:r>
      <w:r>
        <w:rPr>
          <w:rFonts w:ascii="Times New Roman" w:hAnsi="Times New Roman" w:cs="Times New Roman" w:eastAsia="Times New Roman" w:hint="default"/>
          <w:spacing w:val="-2"/>
        </w:rPr>
        <w:t>324,475,501</w:t>
      </w:r>
      <w:r>
        <w:rPr>
          <w:spacing w:val="-2"/>
        </w:rPr>
        <w:t>股为基数，向全体股东每</w:t>
      </w:r>
      <w:r>
        <w:rPr>
          <w:rFonts w:ascii="Times New Roman" w:hAnsi="Times New Roman" w:cs="Times New Roman" w:eastAsia="Times New Roman" w:hint="default"/>
          <w:spacing w:val="-2"/>
        </w:rPr>
        <w:t>10</w:t>
      </w:r>
      <w:r>
        <w:rPr>
          <w:spacing w:val="-2"/>
        </w:rPr>
        <w:t>股派发现金</w:t>
      </w:r>
      <w:r>
        <w:rPr>
          <w:rFonts w:ascii="Times New Roman" w:hAnsi="Times New Roman" w:cs="Times New Roman" w:eastAsia="Times New Roman" w:hint="default"/>
          <w:spacing w:val="-2"/>
        </w:rPr>
        <w:t>0.6</w:t>
      </w:r>
      <w:r>
        <w:rPr>
          <w:spacing w:val="-2"/>
        </w:rPr>
        <w:t>元人民币（含税），合</w:t>
      </w:r>
      <w:r>
        <w:rPr>
          <w:spacing w:val="-78"/>
        </w:rPr>
        <w:t> </w:t>
      </w:r>
      <w:r>
        <w:rPr>
          <w:spacing w:val="-78"/>
        </w:rPr>
      </w:r>
      <w:r>
        <w:rPr>
          <w:spacing w:val="-2"/>
        </w:rPr>
        <w:t>计派发现金股利为人民币</w:t>
      </w:r>
      <w:r>
        <w:rPr>
          <w:rFonts w:ascii="Times New Roman" w:hAnsi="Times New Roman" w:cs="Times New Roman" w:eastAsia="Times New Roman" w:hint="default"/>
          <w:spacing w:val="-2"/>
        </w:rPr>
        <w:t>19,468,530.06</w:t>
      </w:r>
      <w:r>
        <w:rPr>
          <w:spacing w:val="-2"/>
        </w:rPr>
        <w:t>元（含税）。同时，以资本公积金向全体股东每</w:t>
      </w:r>
      <w:r>
        <w:rPr>
          <w:rFonts w:ascii="Times New Roman" w:hAnsi="Times New Roman" w:cs="Times New Roman" w:eastAsia="Times New Roman" w:hint="default"/>
          <w:spacing w:val="-2"/>
        </w:rPr>
        <w:t>10</w:t>
      </w:r>
      <w:r>
        <w:rPr>
          <w:spacing w:val="-2"/>
        </w:rPr>
        <w:t>股转增</w:t>
      </w:r>
      <w:r>
        <w:rPr>
          <w:rFonts w:ascii="Times New Roman" w:hAnsi="Times New Roman" w:cs="Times New Roman" w:eastAsia="Times New Roman" w:hint="default"/>
          <w:spacing w:val="-2"/>
        </w:rPr>
        <w:t>5</w:t>
      </w:r>
      <w:r>
        <w:rPr>
          <w:spacing w:val="-2"/>
        </w:rPr>
        <w:t>股，共计</w:t>
      </w:r>
      <w:r>
        <w:rPr>
          <w:spacing w:val="-76"/>
        </w:rPr>
        <w:t> </w:t>
      </w:r>
      <w:r>
        <w:rPr>
          <w:spacing w:val="-76"/>
        </w:rPr>
      </w:r>
      <w:r>
        <w:rPr/>
        <w:t>转增</w:t>
      </w:r>
      <w:r>
        <w:rPr>
          <w:rFonts w:ascii="Times New Roman" w:hAnsi="Times New Roman" w:cs="Times New Roman" w:eastAsia="Times New Roman" w:hint="default"/>
        </w:rPr>
        <w:t>162,237,751</w:t>
      </w:r>
      <w:r>
        <w:rPr/>
        <w:t>股，转增后公司总股本增加至</w:t>
      </w:r>
      <w:r>
        <w:rPr>
          <w:rFonts w:ascii="Times New Roman" w:hAnsi="Times New Roman" w:cs="Times New Roman" w:eastAsia="Times New Roman" w:hint="default"/>
        </w:rPr>
        <w:t>486,713,252</w:t>
      </w:r>
      <w:r>
        <w:rPr/>
        <w:t>股。</w:t>
      </w:r>
    </w:p>
    <w:p>
      <w:pPr>
        <w:spacing w:after="0" w:line="391" w:lineRule="auto"/>
        <w:jc w:val="left"/>
        <w:sectPr>
          <w:pgSz w:w="11910" w:h="16840"/>
          <w:pgMar w:header="877" w:footer="979" w:top="1100" w:bottom="1160" w:left="980" w:right="0"/>
        </w:sectPr>
      </w:pPr>
    </w:p>
    <w:p>
      <w:pPr>
        <w:spacing w:line="240" w:lineRule="auto" w:before="8"/>
        <w:rPr>
          <w:rFonts w:ascii="宋体" w:hAnsi="宋体" w:cs="宋体" w:eastAsia="宋体" w:hint="default"/>
          <w:sz w:val="26"/>
          <w:szCs w:val="26"/>
        </w:rPr>
      </w:pPr>
    </w:p>
    <w:p>
      <w:pPr>
        <w:pStyle w:val="BodyText"/>
        <w:spacing w:line="386" w:lineRule="auto" w:before="35"/>
        <w:ind w:right="1121" w:firstLine="496"/>
        <w:jc w:val="left"/>
      </w:pPr>
      <w:r>
        <w:rPr/>
        <w:t>公司权益分派方案经股东大会审议通过后，公司回购注销了</w:t>
      </w:r>
      <w:r>
        <w:rPr>
          <w:rFonts w:ascii="Times New Roman" w:hAnsi="Times New Roman" w:cs="Times New Roman" w:eastAsia="Times New Roman" w:hint="default"/>
        </w:rPr>
        <w:t>445</w:t>
      </w:r>
      <w:r>
        <w:rPr/>
        <w:t>名限制性股票激励对象已获授但尚未 </w:t>
      </w:r>
      <w:r>
        <w:rPr>
          <w:spacing w:val="-1"/>
        </w:rPr>
        <w:t>解锁的限制性股票共计</w:t>
      </w:r>
      <w:r>
        <w:rPr>
          <w:rFonts w:ascii="Times New Roman" w:hAnsi="Times New Roman" w:cs="Times New Roman" w:eastAsia="Times New Roman" w:hint="default"/>
          <w:spacing w:val="-1"/>
        </w:rPr>
        <w:t>5,620,740</w:t>
      </w:r>
      <w:r>
        <w:rPr>
          <w:spacing w:val="-1"/>
        </w:rPr>
        <w:t>股。基于前述因素，截至</w:t>
      </w:r>
      <w:r>
        <w:rPr>
          <w:rFonts w:ascii="Times New Roman" w:hAnsi="Times New Roman" w:cs="Times New Roman" w:eastAsia="Times New Roman" w:hint="default"/>
          <w:spacing w:val="-1"/>
        </w:rPr>
        <w:t>2018</w:t>
      </w:r>
      <w:r>
        <w:rPr>
          <w:spacing w:val="-1"/>
        </w:rPr>
        <w:t>年</w:t>
      </w:r>
      <w:r>
        <w:rPr>
          <w:rFonts w:ascii="Times New Roman" w:hAnsi="Times New Roman" w:cs="Times New Roman" w:eastAsia="Times New Roman" w:hint="default"/>
          <w:spacing w:val="-1"/>
        </w:rPr>
        <w:t>5</w:t>
      </w:r>
      <w:r>
        <w:rPr>
          <w:spacing w:val="-1"/>
        </w:rPr>
        <w:t>月</w:t>
      </w:r>
      <w:r>
        <w:rPr>
          <w:rFonts w:ascii="Times New Roman" w:hAnsi="Times New Roman" w:cs="Times New Roman" w:eastAsia="Times New Roman" w:hint="default"/>
          <w:spacing w:val="-1"/>
        </w:rPr>
        <w:t>7</w:t>
      </w:r>
      <w:r>
        <w:rPr>
          <w:spacing w:val="-1"/>
        </w:rPr>
        <w:t>日，公司总股本由</w:t>
      </w:r>
      <w:r>
        <w:rPr>
          <w:rFonts w:ascii="Times New Roman" w:hAnsi="Times New Roman" w:cs="Times New Roman" w:eastAsia="Times New Roman" w:hint="default"/>
          <w:spacing w:val="-1"/>
        </w:rPr>
        <w:t>324,475,501</w:t>
      </w:r>
      <w:r>
        <w:rPr>
          <w:spacing w:val="-1"/>
        </w:rPr>
        <w:t>股减少</w:t>
      </w:r>
      <w:r>
        <w:rPr>
          <w:spacing w:val="-72"/>
        </w:rPr>
        <w:t> </w:t>
      </w:r>
      <w:r>
        <w:rPr>
          <w:spacing w:val="-72"/>
        </w:rPr>
      </w:r>
      <w:r>
        <w:rPr>
          <w:spacing w:val="-1"/>
        </w:rPr>
        <w:t>至</w:t>
      </w:r>
      <w:r>
        <w:rPr>
          <w:rFonts w:ascii="Times New Roman" w:hAnsi="Times New Roman" w:cs="Times New Roman" w:eastAsia="Times New Roman" w:hint="default"/>
          <w:spacing w:val="-1"/>
        </w:rPr>
        <w:t>318,854,761</w:t>
      </w:r>
      <w:r>
        <w:rPr>
          <w:spacing w:val="-1"/>
        </w:rPr>
        <w:t>股。根据《深圳证券交易所创业板上市公司规范运作指引》的相关规定，分配方案公布后至</w:t>
      </w:r>
      <w:r>
        <w:rPr>
          <w:spacing w:val="-81"/>
        </w:rPr>
        <w:t> </w:t>
      </w:r>
      <w:r>
        <w:rPr>
          <w:spacing w:val="-81"/>
        </w:rPr>
      </w:r>
      <w:r>
        <w:rPr/>
        <w:t>实施前，公司总股本由于增发新股、股权激励行权、可转债转股等原因发生变动的，应当按照</w:t>
      </w:r>
      <w:r>
        <w:rPr>
          <w:rFonts w:ascii="Times New Roman" w:hAnsi="Times New Roman" w:cs="Times New Roman" w:eastAsia="Times New Roman" w:hint="default"/>
        </w:rPr>
        <w:t>“</w:t>
      </w:r>
      <w:r>
        <w:rPr/>
        <w:t>现金分红 总额、送红股总额、转增股本总额固定不变</w:t>
      </w:r>
      <w:r>
        <w:rPr>
          <w:rFonts w:ascii="Times New Roman" w:hAnsi="Times New Roman" w:cs="Times New Roman" w:eastAsia="Times New Roman" w:hint="default"/>
        </w:rPr>
        <w:t>”</w:t>
      </w:r>
      <w:r>
        <w:rPr/>
        <w:t>的原则，在权益分派实施公告中披露按公司最新总股本计算 的分配比例。</w:t>
      </w:r>
    </w:p>
    <w:p>
      <w:pPr>
        <w:pStyle w:val="BodyText"/>
        <w:spacing w:line="386" w:lineRule="auto" w:before="65"/>
        <w:ind w:right="1016" w:firstLine="496"/>
        <w:jc w:val="left"/>
      </w:pPr>
      <w:r>
        <w:rPr/>
        <w:t>因此，公司按最新股本计算的</w:t>
      </w:r>
      <w:r>
        <w:rPr>
          <w:rFonts w:ascii="Times New Roman" w:hAnsi="Times New Roman" w:cs="Times New Roman" w:eastAsia="Times New Roman" w:hint="default"/>
        </w:rPr>
        <w:t>2017</w:t>
      </w:r>
      <w:r>
        <w:rPr/>
        <w:t>年年度权益分派方案为：以公司现有总股本</w:t>
      </w:r>
      <w:r>
        <w:rPr>
          <w:rFonts w:ascii="Times New Roman" w:hAnsi="Times New Roman" w:cs="Times New Roman" w:eastAsia="Times New Roman" w:hint="default"/>
        </w:rPr>
        <w:t>318,854,761</w:t>
      </w:r>
      <w:r>
        <w:rPr/>
        <w:t>股为基数， 向全体股东每</w:t>
      </w:r>
      <w:r>
        <w:rPr>
          <w:rFonts w:ascii="Times New Roman" w:hAnsi="Times New Roman" w:cs="Times New Roman" w:eastAsia="Times New Roman" w:hint="default"/>
        </w:rPr>
        <w:t>10</w:t>
      </w:r>
      <w:r>
        <w:rPr/>
        <w:t>股派</w:t>
      </w:r>
      <w:r>
        <w:rPr>
          <w:rFonts w:ascii="Times New Roman" w:hAnsi="Times New Roman" w:cs="Times New Roman" w:eastAsia="Times New Roman" w:hint="default"/>
        </w:rPr>
        <w:t>0.610576</w:t>
      </w:r>
      <w:r>
        <w:rPr/>
        <w:t>元人民币现金，同时，以资本公积金向全体股东每</w:t>
      </w:r>
      <w:r>
        <w:rPr>
          <w:rFonts w:ascii="Times New Roman" w:hAnsi="Times New Roman" w:cs="Times New Roman" w:eastAsia="Times New Roman" w:hint="default"/>
        </w:rPr>
        <w:t>10</w:t>
      </w:r>
      <w:r>
        <w:rPr/>
        <w:t>股转增</w:t>
      </w:r>
      <w:r>
        <w:rPr>
          <w:rFonts w:ascii="Times New Roman" w:hAnsi="Times New Roman" w:cs="Times New Roman" w:eastAsia="Times New Roman" w:hint="default"/>
        </w:rPr>
        <w:t>5.088139</w:t>
      </w:r>
      <w:r>
        <w:rPr/>
        <w:t>股。</w:t>
      </w:r>
    </w:p>
    <w:p>
      <w:pPr>
        <w:pStyle w:val="BodyText"/>
        <w:spacing w:line="400" w:lineRule="auto" w:before="35"/>
        <w:ind w:right="1117" w:firstLine="496"/>
        <w:jc w:val="left"/>
      </w:pPr>
      <w:r>
        <w:rPr>
          <w:spacing w:val="-3"/>
        </w:rPr>
        <w:t>公司第四届董事会第十次会议及第四届监事会第九次会议审议通过，公司独立董事发表了同意的独立</w:t>
      </w:r>
      <w:r>
        <w:rPr/>
        <w:t> 意见。公司</w:t>
      </w:r>
      <w:r>
        <w:rPr>
          <w:rFonts w:ascii="Times New Roman" w:hAnsi="Times New Roman" w:cs="Times New Roman" w:eastAsia="Times New Roman" w:hint="default"/>
        </w:rPr>
        <w:t>2017</w:t>
      </w:r>
      <w:r>
        <w:rPr/>
        <w:t>年度利润分配预案已经由</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10</w:t>
      </w:r>
      <w:r>
        <w:rPr/>
        <w:t>日召开的公司</w:t>
      </w:r>
      <w:r>
        <w:rPr>
          <w:rFonts w:ascii="Times New Roman" w:hAnsi="Times New Roman" w:cs="Times New Roman" w:eastAsia="Times New Roman" w:hint="default"/>
        </w:rPr>
        <w:t>2017</w:t>
      </w:r>
      <w:r>
        <w:rPr/>
        <w:t>年年度股东大会审议通过。本次 </w:t>
      </w:r>
      <w:r>
        <w:rPr>
          <w:spacing w:val="-1"/>
        </w:rPr>
        <w:t>股东大会公司采用了现场投票与网络投票相结合的方式，为中小股东提供了充分表达意见和诉求的便利机</w:t>
      </w:r>
      <w:r>
        <w:rPr>
          <w:spacing w:val="-81"/>
        </w:rPr>
        <w:t> </w:t>
      </w:r>
      <w:r>
        <w:rPr>
          <w:spacing w:val="-81"/>
        </w:rPr>
      </w:r>
      <w:r>
        <w:rPr/>
        <w:t>会，维护了中小股东的合法权益。</w:t>
      </w:r>
    </w:p>
    <w:p>
      <w:pPr>
        <w:pStyle w:val="BodyText"/>
        <w:spacing w:line="240" w:lineRule="auto" w:before="52"/>
        <w:ind w:left="650" w:right="1117"/>
        <w:jc w:val="left"/>
        <w:rPr>
          <w:rFonts w:ascii="Times New Roman" w:hAnsi="Times New Roman" w:cs="Times New Roman" w:eastAsia="Times New Roman" w:hint="default"/>
        </w:rPr>
      </w:pPr>
      <w:r>
        <w:rPr>
          <w:rFonts w:ascii="Times New Roman" w:hAnsi="Times New Roman" w:cs="Times New Roman" w:eastAsia="Times New Roman" w:hint="default"/>
        </w:rPr>
        <w:t>2018</w:t>
      </w:r>
      <w:r>
        <w:rPr/>
        <w:t>年</w:t>
      </w:r>
      <w:r>
        <w:rPr>
          <w:rFonts w:ascii="Times New Roman" w:hAnsi="Times New Roman" w:cs="Times New Roman" w:eastAsia="Times New Roman" w:hint="default"/>
        </w:rPr>
        <w:t>5</w:t>
      </w:r>
      <w:r>
        <w:rPr/>
        <w:t>月</w:t>
      </w:r>
      <w:r>
        <w:rPr>
          <w:rFonts w:ascii="Times New Roman" w:hAnsi="Times New Roman" w:cs="Times New Roman" w:eastAsia="Times New Roman" w:hint="default"/>
        </w:rPr>
        <w:t>15</w:t>
      </w:r>
      <w:r>
        <w:rPr/>
        <w:t>日，公司在《巨潮资讯网》上刊登了《</w:t>
      </w:r>
      <w:r>
        <w:rPr>
          <w:rFonts w:ascii="Times New Roman" w:hAnsi="Times New Roman" w:cs="Times New Roman" w:eastAsia="Times New Roman" w:hint="default"/>
        </w:rPr>
        <w:t>2017</w:t>
      </w:r>
      <w:r>
        <w:rPr/>
        <w:t>年年度权益分派实施公告》，截至</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5</w:t>
      </w:r>
    </w:p>
    <w:p>
      <w:pPr>
        <w:pStyle w:val="BodyText"/>
        <w:spacing w:line="240" w:lineRule="auto" w:before="177"/>
        <w:ind w:right="1117"/>
        <w:jc w:val="left"/>
      </w:pPr>
      <w:r>
        <w:rPr/>
        <w:t>月</w:t>
      </w:r>
      <w:r>
        <w:rPr>
          <w:rFonts w:ascii="Times New Roman" w:hAnsi="Times New Roman" w:cs="Times New Roman" w:eastAsia="Times New Roman" w:hint="default"/>
        </w:rPr>
        <w:t>22</w:t>
      </w:r>
      <w:r>
        <w:rPr/>
        <w:t>日，公司</w:t>
      </w:r>
      <w:r>
        <w:rPr>
          <w:rFonts w:ascii="Times New Roman" w:hAnsi="Times New Roman" w:cs="Times New Roman" w:eastAsia="Times New Roman" w:hint="default"/>
        </w:rPr>
        <w:t>2017</w:t>
      </w:r>
      <w:r>
        <w:rPr/>
        <w:t>年年度权益分派已实施完毕。</w:t>
      </w:r>
    </w:p>
    <w:p>
      <w:pPr>
        <w:spacing w:line="240" w:lineRule="auto" w:before="9"/>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4785"/>
        <w:gridCol w:w="4784"/>
      </w:tblGrid>
      <w:tr>
        <w:trPr>
          <w:trHeight w:val="397" w:hRule="exact"/>
        </w:trPr>
        <w:tc>
          <w:tcPr>
            <w:tcW w:w="956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现金分红政策的专项说明</w:t>
            </w:r>
          </w:p>
        </w:tc>
      </w:tr>
      <w:tr>
        <w:trPr>
          <w:trHeight w:val="322" w:hRule="exact"/>
        </w:trPr>
        <w:tc>
          <w:tcPr>
            <w:tcW w:w="4785" w:type="dxa"/>
            <w:tcBorders>
              <w:top w:val="single" w:sz="4" w:space="0" w:color="000000"/>
              <w:left w:val="single" w:sz="4" w:space="0" w:color="000000"/>
              <w:bottom w:val="nil" w:sz="6" w:space="0" w:color="auto"/>
              <w:right w:val="single" w:sz="4" w:space="0" w:color="000000"/>
            </w:tcBorders>
            <w:shd w:val="clear" w:color="auto" w:fill="D2D2D2"/>
          </w:tcPr>
          <w:p>
            <w:pPr/>
          </w:p>
        </w:tc>
        <w:tc>
          <w:tcPr>
            <w:tcW w:w="4784" w:type="dxa"/>
            <w:vMerge w:val="restart"/>
            <w:tcBorders>
              <w:top w:val="single" w:sz="4" w:space="0" w:color="000000"/>
              <w:left w:val="single" w:sz="9" w:space="0" w:color="D2D2D2"/>
              <w:right w:val="single" w:sz="4" w:space="0" w:color="000000"/>
            </w:tcBorders>
          </w:tcPr>
          <w:p>
            <w:pPr>
              <w:pStyle w:val="TableParagraph"/>
              <w:spacing w:line="309" w:lineRule="auto" w:before="56"/>
              <w:ind w:left="16" w:right="21"/>
              <w:jc w:val="both"/>
              <w:rPr>
                <w:rFonts w:ascii="宋体" w:hAnsi="宋体" w:cs="宋体" w:eastAsia="宋体" w:hint="default"/>
                <w:sz w:val="18"/>
                <w:szCs w:val="18"/>
              </w:rPr>
            </w:pPr>
            <w:r>
              <w:rPr>
                <w:rFonts w:ascii="宋体" w:hAnsi="宋体" w:cs="宋体" w:eastAsia="宋体" w:hint="default"/>
                <w:sz w:val="18"/>
                <w:szCs w:val="18"/>
              </w:rPr>
              <w:t>报告期内，公司严格按照《公司章程》的相关利润分配政策 和审议程序实施</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3"/>
                <w:sz w:val="18"/>
                <w:szCs w:val="18"/>
              </w:rPr>
              <w:t> </w:t>
            </w:r>
            <w:r>
              <w:rPr>
                <w:rFonts w:ascii="宋体" w:hAnsi="宋体" w:cs="宋体" w:eastAsia="宋体" w:hint="default"/>
                <w:spacing w:val="-3"/>
                <w:sz w:val="18"/>
                <w:szCs w:val="18"/>
              </w:rPr>
              <w:t>年度利润分配方案，并在规定时间内实</w:t>
            </w:r>
            <w:r>
              <w:rPr>
                <w:rFonts w:ascii="宋体" w:hAnsi="宋体" w:cs="宋体" w:eastAsia="宋体" w:hint="default"/>
                <w:sz w:val="18"/>
                <w:szCs w:val="18"/>
              </w:rPr>
              <w:t> 施了权益分派。</w:t>
            </w:r>
          </w:p>
        </w:tc>
      </w:tr>
      <w:tr>
        <w:trPr>
          <w:trHeight w:val="392" w:hRule="exact"/>
        </w:trPr>
        <w:tc>
          <w:tcPr>
            <w:tcW w:w="478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是否符合公司章程的规定或股东大会决议的要求：</w:t>
            </w:r>
          </w:p>
        </w:tc>
        <w:tc>
          <w:tcPr>
            <w:tcW w:w="4784" w:type="dxa"/>
            <w:vMerge/>
            <w:tcBorders>
              <w:left w:val="single" w:sz="9" w:space="0" w:color="D2D2D2"/>
              <w:right w:val="single" w:sz="4" w:space="0" w:color="000000"/>
            </w:tcBorders>
          </w:tcPr>
          <w:p>
            <w:pPr/>
          </w:p>
        </w:tc>
      </w:tr>
      <w:tr>
        <w:trPr>
          <w:trHeight w:val="317" w:hRule="exact"/>
        </w:trPr>
        <w:tc>
          <w:tcPr>
            <w:tcW w:w="4785" w:type="dxa"/>
            <w:tcBorders>
              <w:top w:val="nil" w:sz="6" w:space="0" w:color="auto"/>
              <w:left w:val="single" w:sz="4" w:space="0" w:color="000000"/>
              <w:bottom w:val="single" w:sz="4" w:space="0" w:color="000000"/>
              <w:right w:val="single" w:sz="4" w:space="0" w:color="000000"/>
            </w:tcBorders>
            <w:shd w:val="clear" w:color="auto" w:fill="D2D2D2"/>
          </w:tcPr>
          <w:p>
            <w:pPr/>
          </w:p>
        </w:tc>
        <w:tc>
          <w:tcPr>
            <w:tcW w:w="4784" w:type="dxa"/>
            <w:vMerge/>
            <w:tcBorders>
              <w:left w:val="single" w:sz="9" w:space="0" w:color="D2D2D2"/>
              <w:bottom w:val="single" w:sz="4" w:space="0" w:color="000000"/>
              <w:right w:val="single" w:sz="4" w:space="0" w:color="000000"/>
            </w:tcBorders>
          </w:tcPr>
          <w:p>
            <w:pPr/>
          </w:p>
        </w:tc>
      </w:tr>
      <w:tr>
        <w:trPr>
          <w:trHeight w:val="402"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分红标准和比例是否明确和清晰：</w:t>
            </w:r>
          </w:p>
        </w:tc>
        <w:tc>
          <w:tcPr>
            <w:tcW w:w="478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10" w:right="0"/>
              <w:jc w:val="left"/>
              <w:rPr>
                <w:rFonts w:ascii="宋体" w:hAnsi="宋体" w:cs="宋体" w:eastAsia="宋体" w:hint="default"/>
                <w:sz w:val="18"/>
                <w:szCs w:val="18"/>
              </w:rPr>
            </w:pPr>
            <w:r>
              <w:rPr>
                <w:rFonts w:ascii="宋体" w:hAnsi="宋体" w:cs="宋体" w:eastAsia="宋体" w:hint="default"/>
                <w:sz w:val="18"/>
                <w:szCs w:val="18"/>
              </w:rPr>
              <w:t>《公司章程》中规定的分红标准和分红比例明确清晰。</w:t>
            </w:r>
          </w:p>
        </w:tc>
      </w:tr>
      <w:tr>
        <w:trPr>
          <w:trHeight w:val="317" w:hRule="exact"/>
        </w:trPr>
        <w:tc>
          <w:tcPr>
            <w:tcW w:w="4785" w:type="dxa"/>
            <w:tcBorders>
              <w:top w:val="single" w:sz="4" w:space="0" w:color="000000"/>
              <w:left w:val="single" w:sz="4" w:space="0" w:color="000000"/>
              <w:bottom w:val="nil" w:sz="6" w:space="0" w:color="auto"/>
              <w:right w:val="single" w:sz="4" w:space="0" w:color="000000"/>
            </w:tcBorders>
            <w:shd w:val="clear" w:color="auto" w:fill="D2D2D2"/>
          </w:tcPr>
          <w:p>
            <w:pPr/>
          </w:p>
        </w:tc>
        <w:tc>
          <w:tcPr>
            <w:tcW w:w="4784" w:type="dxa"/>
            <w:vMerge w:val="restart"/>
            <w:tcBorders>
              <w:top w:val="single" w:sz="4" w:space="0" w:color="000000"/>
              <w:left w:val="single" w:sz="9" w:space="0" w:color="D2D2D2"/>
              <w:right w:val="single" w:sz="4" w:space="0" w:color="000000"/>
            </w:tcBorders>
          </w:tcPr>
          <w:p>
            <w:pPr>
              <w:pStyle w:val="TableParagraph"/>
              <w:spacing w:line="309" w:lineRule="auto" w:before="51"/>
              <w:ind w:left="16" w:right="21"/>
              <w:jc w:val="both"/>
              <w:rPr>
                <w:rFonts w:ascii="宋体" w:hAnsi="宋体" w:cs="宋体" w:eastAsia="宋体" w:hint="default"/>
                <w:sz w:val="18"/>
                <w:szCs w:val="18"/>
              </w:rPr>
            </w:pPr>
            <w:r>
              <w:rPr>
                <w:rFonts w:ascii="宋体" w:hAnsi="宋体" w:cs="宋体" w:eastAsia="宋体" w:hint="default"/>
                <w:sz w:val="18"/>
                <w:szCs w:val="18"/>
              </w:rPr>
              <w:t>公司</w:t>
            </w:r>
            <w:r>
              <w:rPr>
                <w:rFonts w:ascii="宋体" w:hAnsi="宋体" w:cs="宋体" w:eastAsia="宋体" w:hint="default"/>
                <w:spacing w:val="-63"/>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8"/>
                <w:sz w:val="18"/>
                <w:szCs w:val="18"/>
              </w:rPr>
              <w:t> </w:t>
            </w:r>
            <w:r>
              <w:rPr>
                <w:rFonts w:ascii="宋体" w:hAnsi="宋体" w:cs="宋体" w:eastAsia="宋体" w:hint="default"/>
                <w:sz w:val="18"/>
                <w:szCs w:val="18"/>
              </w:rPr>
              <w:t>年度利润分配方案经由董事会、监事会审议通过后 提交股东大会审议，独立董事发表了独立意见，相关决策程 序和机制完备。</w:t>
            </w:r>
          </w:p>
        </w:tc>
      </w:tr>
      <w:tr>
        <w:trPr>
          <w:trHeight w:val="392" w:hRule="exact"/>
        </w:trPr>
        <w:tc>
          <w:tcPr>
            <w:tcW w:w="478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相关的决策程序和机制是否完备：</w:t>
            </w:r>
          </w:p>
        </w:tc>
        <w:tc>
          <w:tcPr>
            <w:tcW w:w="4784" w:type="dxa"/>
            <w:vMerge/>
            <w:tcBorders>
              <w:left w:val="single" w:sz="9" w:space="0" w:color="D2D2D2"/>
              <w:right w:val="single" w:sz="4" w:space="0" w:color="000000"/>
            </w:tcBorders>
          </w:tcPr>
          <w:p>
            <w:pPr/>
          </w:p>
        </w:tc>
      </w:tr>
      <w:tr>
        <w:trPr>
          <w:trHeight w:val="317" w:hRule="exact"/>
        </w:trPr>
        <w:tc>
          <w:tcPr>
            <w:tcW w:w="4785" w:type="dxa"/>
            <w:tcBorders>
              <w:top w:val="nil" w:sz="6" w:space="0" w:color="auto"/>
              <w:left w:val="single" w:sz="4" w:space="0" w:color="000000"/>
              <w:bottom w:val="single" w:sz="4" w:space="0" w:color="000000"/>
              <w:right w:val="single" w:sz="4" w:space="0" w:color="000000"/>
            </w:tcBorders>
            <w:shd w:val="clear" w:color="auto" w:fill="D2D2D2"/>
          </w:tcPr>
          <w:p>
            <w:pPr/>
          </w:p>
        </w:tc>
        <w:tc>
          <w:tcPr>
            <w:tcW w:w="4784" w:type="dxa"/>
            <w:vMerge/>
            <w:tcBorders>
              <w:left w:val="single" w:sz="9" w:space="0" w:color="D2D2D2"/>
              <w:bottom w:val="single" w:sz="4" w:space="0" w:color="000000"/>
              <w:right w:val="single" w:sz="4" w:space="0" w:color="000000"/>
            </w:tcBorders>
          </w:tcPr>
          <w:p>
            <w:pPr/>
          </w:p>
        </w:tc>
      </w:tr>
      <w:tr>
        <w:trPr>
          <w:trHeight w:val="941" w:hRule="exact"/>
        </w:trPr>
        <w:tc>
          <w:tcPr>
            <w:tcW w:w="4785" w:type="dxa"/>
            <w:tcBorders>
              <w:top w:val="single" w:sz="4" w:space="0" w:color="000000"/>
              <w:left w:val="single" w:sz="4" w:space="0" w:color="000000"/>
              <w:bottom w:val="nil" w:sz="6" w:space="0" w:color="auto"/>
              <w:right w:val="single" w:sz="4" w:space="0" w:color="000000"/>
            </w:tcBorders>
            <w:shd w:val="clear" w:color="auto" w:fill="D2D2D2"/>
          </w:tcPr>
          <w:p>
            <w:pPr/>
          </w:p>
        </w:tc>
        <w:tc>
          <w:tcPr>
            <w:tcW w:w="4784" w:type="dxa"/>
            <w:vMerge w:val="restart"/>
            <w:tcBorders>
              <w:top w:val="single" w:sz="4" w:space="0" w:color="000000"/>
              <w:left w:val="single" w:sz="9" w:space="0" w:color="D2D2D2"/>
              <w:right w:val="single" w:sz="4" w:space="0" w:color="000000"/>
            </w:tcBorders>
          </w:tcPr>
          <w:p>
            <w:pPr>
              <w:pStyle w:val="TableParagraph"/>
              <w:spacing w:line="300" w:lineRule="auto" w:before="51"/>
              <w:ind w:left="16" w:right="20"/>
              <w:jc w:val="both"/>
              <w:rPr>
                <w:rFonts w:ascii="宋体" w:hAnsi="宋体" w:cs="宋体" w:eastAsia="宋体" w:hint="default"/>
                <w:sz w:val="18"/>
                <w:szCs w:val="18"/>
              </w:rPr>
            </w:pPr>
            <w:r>
              <w:rPr>
                <w:rFonts w:ascii="宋体" w:hAnsi="宋体" w:cs="宋体" w:eastAsia="宋体" w:hint="default"/>
                <w:sz w:val="18"/>
                <w:szCs w:val="18"/>
              </w:rPr>
              <w:t>公司独立董事认为公司</w:t>
            </w:r>
            <w:r>
              <w:rPr>
                <w:rFonts w:ascii="宋体" w:hAnsi="宋体" w:cs="宋体" w:eastAsia="宋体" w:hint="default"/>
                <w:spacing w:val="-66"/>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1"/>
                <w:sz w:val="18"/>
                <w:szCs w:val="18"/>
              </w:rPr>
              <w:t> </w:t>
            </w:r>
            <w:r>
              <w:rPr>
                <w:rFonts w:ascii="宋体" w:hAnsi="宋体" w:cs="宋体" w:eastAsia="宋体" w:hint="default"/>
                <w:sz w:val="18"/>
                <w:szCs w:val="18"/>
              </w:rPr>
              <w:t>年度利润分配预案符合公司实际 情况，符合公司实际开展业务和未来发展的需要，没有违反</w:t>
            </w:r>
          </w:p>
          <w:p>
            <w:pPr>
              <w:pStyle w:val="TableParagraph"/>
              <w:spacing w:line="319" w:lineRule="auto" w:before="31"/>
              <w:ind w:left="16" w:right="68"/>
              <w:jc w:val="both"/>
              <w:rPr>
                <w:rFonts w:ascii="宋体" w:hAnsi="宋体" w:cs="宋体" w:eastAsia="宋体" w:hint="default"/>
                <w:sz w:val="18"/>
                <w:szCs w:val="18"/>
              </w:rPr>
            </w:pPr>
            <w:r>
              <w:rPr>
                <w:rFonts w:ascii="宋体" w:hAnsi="宋体" w:cs="宋体" w:eastAsia="宋体" w:hint="default"/>
                <w:sz w:val="18"/>
                <w:szCs w:val="18"/>
              </w:rPr>
              <w:t>《公司法》和《公司章程》的有关规定，未损害公司股东尤 其是中小股东的利益，有利于公司的正常经营和健康发展， 有利于公司的价值更加公允、客观地体现，同时能为投资者 提供更多的保障，从长远角度回报投资者，具备合法性、合 规性、合理性。</w:t>
            </w:r>
          </w:p>
        </w:tc>
      </w:tr>
      <w:tr>
        <w:trPr>
          <w:trHeight w:val="392" w:hRule="exact"/>
        </w:trPr>
        <w:tc>
          <w:tcPr>
            <w:tcW w:w="478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独立董事是否履职尽责并发挥了应有的作用：</w:t>
            </w:r>
          </w:p>
        </w:tc>
        <w:tc>
          <w:tcPr>
            <w:tcW w:w="4784" w:type="dxa"/>
            <w:vMerge/>
            <w:tcBorders>
              <w:left w:val="single" w:sz="9" w:space="0" w:color="D2D2D2"/>
              <w:right w:val="single" w:sz="4" w:space="0" w:color="000000"/>
            </w:tcBorders>
          </w:tcPr>
          <w:p>
            <w:pPr/>
          </w:p>
        </w:tc>
      </w:tr>
      <w:tr>
        <w:trPr>
          <w:trHeight w:val="941" w:hRule="exact"/>
        </w:trPr>
        <w:tc>
          <w:tcPr>
            <w:tcW w:w="4785" w:type="dxa"/>
            <w:tcBorders>
              <w:top w:val="nil" w:sz="6" w:space="0" w:color="auto"/>
              <w:left w:val="single" w:sz="4" w:space="0" w:color="000000"/>
              <w:bottom w:val="single" w:sz="4" w:space="0" w:color="000000"/>
              <w:right w:val="single" w:sz="4" w:space="0" w:color="000000"/>
            </w:tcBorders>
            <w:shd w:val="clear" w:color="auto" w:fill="D2D2D2"/>
          </w:tcPr>
          <w:p>
            <w:pPr/>
          </w:p>
        </w:tc>
        <w:tc>
          <w:tcPr>
            <w:tcW w:w="4784" w:type="dxa"/>
            <w:vMerge/>
            <w:tcBorders>
              <w:left w:val="single" w:sz="9" w:space="0" w:color="D2D2D2"/>
              <w:bottom w:val="single" w:sz="4" w:space="0" w:color="000000"/>
              <w:right w:val="single" w:sz="4" w:space="0" w:color="000000"/>
            </w:tcBorders>
          </w:tcPr>
          <w:p>
            <w:pPr/>
          </w:p>
        </w:tc>
      </w:tr>
      <w:tr>
        <w:trPr>
          <w:trHeight w:val="629" w:hRule="exact"/>
        </w:trPr>
        <w:tc>
          <w:tcPr>
            <w:tcW w:w="4785" w:type="dxa"/>
            <w:tcBorders>
              <w:top w:val="single" w:sz="4" w:space="0" w:color="000000"/>
              <w:left w:val="single" w:sz="4" w:space="0" w:color="000000"/>
              <w:bottom w:val="nil" w:sz="6" w:space="0" w:color="auto"/>
              <w:right w:val="single" w:sz="4" w:space="0" w:color="000000"/>
            </w:tcBorders>
            <w:shd w:val="clear" w:color="auto" w:fill="D2D2D2"/>
          </w:tcPr>
          <w:p>
            <w:pPr/>
          </w:p>
        </w:tc>
        <w:tc>
          <w:tcPr>
            <w:tcW w:w="4784" w:type="dxa"/>
            <w:vMerge w:val="restart"/>
            <w:tcBorders>
              <w:top w:val="single" w:sz="4" w:space="0" w:color="000000"/>
              <w:left w:val="single" w:sz="9" w:space="0" w:color="D2D2D2"/>
              <w:right w:val="single" w:sz="4" w:space="0" w:color="000000"/>
            </w:tcBorders>
          </w:tcPr>
          <w:p>
            <w:pPr>
              <w:pStyle w:val="TableParagraph"/>
              <w:spacing w:line="314" w:lineRule="auto" w:before="51"/>
              <w:ind w:left="16" w:right="24"/>
              <w:jc w:val="left"/>
              <w:rPr>
                <w:rFonts w:ascii="宋体" w:hAnsi="宋体" w:cs="宋体" w:eastAsia="宋体" w:hint="default"/>
                <w:sz w:val="18"/>
                <w:szCs w:val="18"/>
              </w:rPr>
            </w:pPr>
            <w:r>
              <w:rPr>
                <w:rFonts w:ascii="宋体" w:hAnsi="宋体" w:cs="宋体" w:eastAsia="宋体" w:hint="default"/>
                <w:sz w:val="18"/>
                <w:szCs w:val="18"/>
              </w:rPr>
              <w:t>中小股东是否有充分表达意见和诉求的机会，其合法权益是 否得到了充分保护：公司在召开修订利润分配政策及审议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年度利润分配方案的股东大会时，采取现场投票与网络 投票相结合的表决方式，为中小投资者参与本次决策提供了 充分的便利。公司利润分配决策程序和机制完备，充分考虑 了广大投资者的合理诉求，其合法权益得到了充分保护。</w:t>
            </w:r>
          </w:p>
        </w:tc>
      </w:tr>
      <w:tr>
        <w:trPr>
          <w:trHeight w:val="705" w:hRule="exact"/>
        </w:trPr>
        <w:tc>
          <w:tcPr>
            <w:tcW w:w="478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9" w:lineRule="auto" w:before="51"/>
              <w:ind w:left="22" w:right="70"/>
              <w:jc w:val="left"/>
              <w:rPr>
                <w:rFonts w:ascii="宋体" w:hAnsi="宋体" w:cs="宋体" w:eastAsia="宋体" w:hint="default"/>
                <w:sz w:val="18"/>
                <w:szCs w:val="18"/>
              </w:rPr>
            </w:pPr>
            <w:r>
              <w:rPr>
                <w:rFonts w:ascii="宋体" w:hAnsi="宋体" w:cs="宋体" w:eastAsia="宋体" w:hint="default"/>
                <w:sz w:val="18"/>
                <w:szCs w:val="18"/>
              </w:rPr>
              <w:t>中小股东是否有充分表达意见和诉求的机会，其合法权益是 否得到了充分保护：</w:t>
            </w:r>
          </w:p>
        </w:tc>
        <w:tc>
          <w:tcPr>
            <w:tcW w:w="4784" w:type="dxa"/>
            <w:vMerge/>
            <w:tcBorders>
              <w:left w:val="single" w:sz="9" w:space="0" w:color="D2D2D2"/>
              <w:right w:val="single" w:sz="4" w:space="0" w:color="000000"/>
            </w:tcBorders>
          </w:tcPr>
          <w:p>
            <w:pPr/>
          </w:p>
        </w:tc>
      </w:tr>
      <w:tr>
        <w:trPr>
          <w:trHeight w:val="629" w:hRule="exact"/>
        </w:trPr>
        <w:tc>
          <w:tcPr>
            <w:tcW w:w="4785" w:type="dxa"/>
            <w:tcBorders>
              <w:top w:val="nil" w:sz="6" w:space="0" w:color="auto"/>
              <w:left w:val="single" w:sz="4" w:space="0" w:color="000000"/>
              <w:bottom w:val="single" w:sz="4" w:space="0" w:color="000000"/>
              <w:right w:val="single" w:sz="4" w:space="0" w:color="000000"/>
            </w:tcBorders>
            <w:shd w:val="clear" w:color="auto" w:fill="D2D2D2"/>
          </w:tcPr>
          <w:p>
            <w:pPr/>
          </w:p>
        </w:tc>
        <w:tc>
          <w:tcPr>
            <w:tcW w:w="4784" w:type="dxa"/>
            <w:vMerge/>
            <w:tcBorders>
              <w:left w:val="single" w:sz="9" w:space="0" w:color="D2D2D2"/>
              <w:bottom w:val="single" w:sz="4" w:space="0" w:color="000000"/>
              <w:right w:val="single" w:sz="4" w:space="0" w:color="000000"/>
            </w:tcBorders>
          </w:tcPr>
          <w:p>
            <w:pPr/>
          </w:p>
        </w:tc>
      </w:tr>
    </w:tbl>
    <w:p>
      <w:pPr>
        <w:spacing w:after="0"/>
        <w:sectPr>
          <w:pgSz w:w="11910" w:h="16840"/>
          <w:pgMar w:header="877" w:footer="979" w:top="1100" w:bottom="1160" w:left="980" w:right="0"/>
        </w:sectPr>
      </w:pPr>
    </w:p>
    <w:p>
      <w:pPr>
        <w:spacing w:line="240" w:lineRule="auto" w:before="6"/>
        <w:rPr>
          <w:rFonts w:ascii="宋体" w:hAnsi="宋体" w:cs="宋体" w:eastAsia="宋体" w:hint="default"/>
          <w:sz w:val="3"/>
          <w:szCs w:val="3"/>
        </w:rPr>
      </w:pPr>
      <w:r>
        <w:rPr/>
        <w:pict>
          <v:group style="position:absolute;margin-left:242.839996pt;margin-top:281.019989pt;width:290.95pt;height:20.8pt;mso-position-horizontal-relative:page;mso-position-vertical-relative:page;z-index:-1222840" coordorigin="4857,5620" coordsize="5819,416">
            <v:group style="position:absolute;left:4868;top:5632;width:2;height:393" coordorigin="4868,5632" coordsize="2,393">
              <v:shape style="position:absolute;left:4868;top:5632;width:2;height:393" coordorigin="4868,5632" coordsize="0,393" path="m4868,5632l4868,6024e" filled="false" stroked="true" strokeweight="1.160pt" strokecolor="#ffffff">
                <v:path arrowok="t"/>
              </v:shape>
            </v:group>
            <v:group style="position:absolute;left:4880;top:5632;width:5796;height:393" coordorigin="4880,5632" coordsize="5796,393">
              <v:shape style="position:absolute;left:4880;top:5632;width:5796;height:393" coordorigin="4880,5632" coordsize="5796,393" path="m4880,6024l10675,6024,10675,5632,4880,5632,4880,6024xe" filled="true" fillcolor="#ffffff" stroked="false">
                <v:path arrowok="t"/>
                <v:fill type="solid"/>
              </v:shape>
            </v:group>
            <w10:wrap type="none"/>
          </v:group>
        </w:pict>
      </w:r>
    </w:p>
    <w:tbl>
      <w:tblPr>
        <w:tblW w:w="0" w:type="auto"/>
        <w:jc w:val="left"/>
        <w:tblInd w:w="149" w:type="dxa"/>
        <w:tblLayout w:type="fixed"/>
        <w:tblCellMar>
          <w:top w:w="0" w:type="dxa"/>
          <w:left w:w="0" w:type="dxa"/>
          <w:bottom w:w="0" w:type="dxa"/>
          <w:right w:w="0" w:type="dxa"/>
        </w:tblCellMar>
        <w:tblLook w:val="01E0"/>
      </w:tblPr>
      <w:tblGrid>
        <w:gridCol w:w="4785"/>
        <w:gridCol w:w="4784"/>
      </w:tblGrid>
      <w:tr>
        <w:trPr>
          <w:trHeight w:val="332" w:hRule="exact"/>
        </w:trPr>
        <w:tc>
          <w:tcPr>
            <w:tcW w:w="4785" w:type="dxa"/>
            <w:tcBorders>
              <w:top w:val="nil" w:sz="6" w:space="0" w:color="auto"/>
              <w:left w:val="nil" w:sz="6" w:space="0" w:color="auto"/>
              <w:bottom w:val="single" w:sz="4" w:space="0" w:color="000000"/>
              <w:right w:val="nil" w:sz="6" w:space="0" w:color="auto"/>
            </w:tcBorders>
          </w:tcPr>
          <w:p>
            <w:pPr/>
          </w:p>
        </w:tc>
        <w:tc>
          <w:tcPr>
            <w:tcW w:w="4784" w:type="dxa"/>
            <w:tcBorders>
              <w:top w:val="nil" w:sz="6" w:space="0" w:color="auto"/>
              <w:left w:val="nil" w:sz="6" w:space="0" w:color="auto"/>
              <w:bottom w:val="single" w:sz="4" w:space="0" w:color="000000"/>
              <w:right w:val="nil" w:sz="6" w:space="0" w:color="auto"/>
            </w:tcBorders>
          </w:tcPr>
          <w:p>
            <w:pPr/>
          </w:p>
        </w:tc>
      </w:tr>
      <w:tr>
        <w:trPr>
          <w:trHeight w:val="714"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70"/>
              <w:jc w:val="left"/>
              <w:rPr>
                <w:rFonts w:ascii="宋体" w:hAnsi="宋体" w:cs="宋体" w:eastAsia="宋体" w:hint="default"/>
                <w:sz w:val="18"/>
                <w:szCs w:val="18"/>
              </w:rPr>
            </w:pPr>
            <w:r>
              <w:rPr>
                <w:rFonts w:ascii="宋体" w:hAnsi="宋体" w:cs="宋体" w:eastAsia="宋体" w:hint="default"/>
                <w:sz w:val="18"/>
                <w:szCs w:val="18"/>
              </w:rPr>
              <w:t>现金分红政策进行调整或变更的，条件及程序是否合规、透 明：</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是</w:t>
            </w:r>
          </w:p>
        </w:tc>
      </w:tr>
    </w:tbl>
    <w:p>
      <w:pPr>
        <w:spacing w:before="51"/>
        <w:ind w:left="154" w:right="1117" w:firstLine="0"/>
        <w:jc w:val="left"/>
        <w:rPr>
          <w:rFonts w:ascii="宋体" w:hAnsi="宋体" w:cs="宋体" w:eastAsia="宋体" w:hint="default"/>
          <w:sz w:val="18"/>
          <w:szCs w:val="18"/>
        </w:rPr>
      </w:pPr>
      <w:r>
        <w:rPr/>
        <w:pict>
          <v:group style="position:absolute;margin-left:55.200001pt;margin-top:-52.578308pt;width:485pt;height:.1pt;mso-position-horizontal-relative:page;mso-position-vertical-relative:paragraph;z-index:-1222864" coordorigin="1104,-1052" coordsize="9700,2">
            <v:shape style="position:absolute;left:1104;top:-1052;width:9700;height:2" coordorigin="1104,-1052" coordsize="9700,0" path="m1104,-1052l10804,-1052e" filled="false" stroked="true" strokeweight=".72pt" strokecolor="#000000">
              <v:path arrowok="t"/>
            </v:shape>
            <w10:wrap type="none"/>
          </v:group>
        </w:pict>
      </w:r>
      <w:r>
        <w:rPr>
          <w:rFonts w:ascii="宋体" w:hAnsi="宋体" w:cs="宋体" w:eastAsia="宋体" w:hint="default"/>
          <w:sz w:val="18"/>
          <w:szCs w:val="18"/>
        </w:rPr>
        <w:t>公司报告期利润分配预案及资本公积金转增股本预案与公司章程和分红管理办法等的相关规定一致</w:t>
      </w:r>
    </w:p>
    <w:p>
      <w:pPr>
        <w:spacing w:line="350" w:lineRule="auto" w:before="117"/>
        <w:ind w:left="154" w:right="427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 </w:t>
      </w:r>
      <w:r>
        <w:rPr>
          <w:rFonts w:ascii="宋体" w:hAnsi="宋体" w:cs="宋体" w:eastAsia="宋体" w:hint="default"/>
          <w:sz w:val="18"/>
          <w:szCs w:val="18"/>
        </w:rPr>
        <w:t>否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不适用 公司报告期利润分配预案及资本公积金转增股本预案符合公司章程等的相关规定。 本年度利润分配及资本公积金转增股本情况</w:t>
      </w:r>
    </w:p>
    <w:tbl>
      <w:tblPr>
        <w:tblW w:w="0" w:type="auto"/>
        <w:jc w:val="left"/>
        <w:tblInd w:w="149" w:type="dxa"/>
        <w:tblLayout w:type="fixed"/>
        <w:tblCellMar>
          <w:top w:w="0" w:type="dxa"/>
          <w:left w:w="0" w:type="dxa"/>
          <w:bottom w:w="0" w:type="dxa"/>
          <w:right w:w="0" w:type="dxa"/>
        </w:tblCellMar>
        <w:tblLook w:val="01E0"/>
      </w:tblPr>
      <w:tblGrid>
        <w:gridCol w:w="3706"/>
        <w:gridCol w:w="5863"/>
      </w:tblGrid>
      <w:tr>
        <w:trPr>
          <w:trHeight w:val="402" w:hRule="exact"/>
        </w:trPr>
        <w:tc>
          <w:tcPr>
            <w:tcW w:w="37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每</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股送红股数（股）</w:t>
            </w:r>
          </w:p>
        </w:tc>
        <w:tc>
          <w:tcPr>
            <w:tcW w:w="586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37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每</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股派息</w:t>
            </w:r>
            <w:r>
              <w:rPr>
                <w:rFonts w:ascii="宋体" w:hAnsi="宋体" w:cs="宋体" w:eastAsia="宋体" w:hint="default"/>
                <w:spacing w:val="1"/>
                <w:sz w:val="18"/>
                <w:szCs w:val="18"/>
              </w:rPr>
              <w:t>数</w:t>
            </w:r>
            <w:r>
              <w:rPr>
                <w:rFonts w:ascii="宋体" w:hAnsi="宋体" w:cs="宋体" w:eastAsia="宋体" w:hint="default"/>
                <w:sz w:val="18"/>
                <w:szCs w:val="18"/>
              </w:rPr>
              <w:t>（元</w:t>
            </w:r>
            <w:r>
              <w:rPr>
                <w:rFonts w:ascii="宋体" w:hAnsi="宋体" w:cs="宋体" w:eastAsia="宋体" w:hint="default"/>
                <w:spacing w:val="-90"/>
                <w:sz w:val="18"/>
                <w:szCs w:val="18"/>
              </w:rPr>
              <w:t>）</w:t>
            </w:r>
            <w:r>
              <w:rPr>
                <w:rFonts w:ascii="宋体" w:hAnsi="宋体" w:cs="宋体" w:eastAsia="宋体" w:hint="default"/>
                <w:sz w:val="18"/>
                <w:szCs w:val="18"/>
              </w:rPr>
              <w:t>（含税）</w:t>
            </w:r>
          </w:p>
        </w:tc>
        <w:tc>
          <w:tcPr>
            <w:tcW w:w="586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0.40</w:t>
            </w:r>
          </w:p>
        </w:tc>
      </w:tr>
      <w:tr>
        <w:trPr>
          <w:trHeight w:val="402" w:hRule="exact"/>
        </w:trPr>
        <w:tc>
          <w:tcPr>
            <w:tcW w:w="37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每</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股转增数（股）</w:t>
            </w:r>
          </w:p>
        </w:tc>
        <w:tc>
          <w:tcPr>
            <w:tcW w:w="586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37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分配预案的股本基数（股）</w:t>
            </w:r>
          </w:p>
        </w:tc>
        <w:tc>
          <w:tcPr>
            <w:tcW w:w="586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481,092,495</w:t>
            </w:r>
          </w:p>
        </w:tc>
      </w:tr>
      <w:tr>
        <w:trPr>
          <w:trHeight w:val="402" w:hRule="exact"/>
        </w:trPr>
        <w:tc>
          <w:tcPr>
            <w:tcW w:w="37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现金分红金额（元</w:t>
            </w:r>
            <w:r>
              <w:rPr>
                <w:rFonts w:ascii="宋体" w:hAnsi="宋体" w:cs="宋体" w:eastAsia="宋体" w:hint="default"/>
                <w:spacing w:val="-90"/>
                <w:sz w:val="18"/>
                <w:szCs w:val="18"/>
              </w:rPr>
              <w:t>）</w:t>
            </w:r>
            <w:r>
              <w:rPr>
                <w:rFonts w:ascii="宋体" w:hAnsi="宋体" w:cs="宋体" w:eastAsia="宋体" w:hint="default"/>
                <w:sz w:val="18"/>
                <w:szCs w:val="18"/>
              </w:rPr>
              <w:t>（含税）</w:t>
            </w:r>
          </w:p>
        </w:tc>
        <w:tc>
          <w:tcPr>
            <w:tcW w:w="586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19,243,699.80</w:t>
            </w:r>
          </w:p>
        </w:tc>
      </w:tr>
      <w:tr>
        <w:trPr>
          <w:trHeight w:val="402" w:hRule="exact"/>
        </w:trPr>
        <w:tc>
          <w:tcPr>
            <w:tcW w:w="37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以其他方式（如回购股份）现金分红金额（元</w:t>
            </w:r>
          </w:p>
        </w:tc>
        <w:tc>
          <w:tcPr>
            <w:tcW w:w="5863" w:type="dxa"/>
            <w:tcBorders>
              <w:top w:val="single" w:sz="4" w:space="0" w:color="000000"/>
              <w:left w:val="single" w:sz="13" w:space="0" w:color="D2D2D2"/>
              <w:bottom w:val="single" w:sz="4" w:space="0" w:color="000000"/>
              <w:right w:val="single" w:sz="4" w:space="0" w:color="000000"/>
            </w:tcBorders>
          </w:tcPr>
          <w:p>
            <w:pPr>
              <w:pStyle w:val="TableParagraph"/>
              <w:tabs>
                <w:tab w:pos="5503" w:val="left" w:leader="none"/>
              </w:tabs>
              <w:spacing w:line="240" w:lineRule="auto" w:before="51"/>
              <w:ind w:left="-124" w:right="19"/>
              <w:jc w:val="right"/>
              <w:rPr>
                <w:rFonts w:ascii="Times New Roman" w:hAnsi="Times New Roman" w:cs="Times New Roman" w:eastAsia="Times New Roman" w:hint="default"/>
                <w:sz w:val="18"/>
                <w:szCs w:val="18"/>
              </w:rPr>
            </w:pPr>
            <w:r>
              <w:rPr>
                <w:rFonts w:ascii="宋体" w:hAnsi="宋体" w:cs="宋体" w:eastAsia="宋体" w:hint="default"/>
                <w:sz w:val="18"/>
                <w:szCs w:val="18"/>
              </w:rPr>
              <w:t>）</w:t>
              <w:tab/>
            </w:r>
            <w:r>
              <w:rPr>
                <w:rFonts w:ascii="Times New Roman" w:hAnsi="Times New Roman" w:cs="Times New Roman" w:eastAsia="Times New Roman" w:hint="default"/>
                <w:sz w:val="18"/>
                <w:szCs w:val="18"/>
              </w:rPr>
              <w:t>0.00</w:t>
            </w:r>
          </w:p>
        </w:tc>
      </w:tr>
      <w:tr>
        <w:trPr>
          <w:trHeight w:val="402" w:hRule="exact"/>
        </w:trPr>
        <w:tc>
          <w:tcPr>
            <w:tcW w:w="37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现金分红总额（含其他方式</w:t>
            </w:r>
            <w:r>
              <w:rPr>
                <w:rFonts w:ascii="宋体" w:hAnsi="宋体" w:cs="宋体" w:eastAsia="宋体" w:hint="default"/>
                <w:spacing w:val="-90"/>
                <w:sz w:val="18"/>
                <w:szCs w:val="18"/>
              </w:rPr>
              <w:t>）</w:t>
            </w:r>
            <w:r>
              <w:rPr>
                <w:rFonts w:ascii="宋体" w:hAnsi="宋体" w:cs="宋体" w:eastAsia="宋体" w:hint="default"/>
                <w:sz w:val="18"/>
                <w:szCs w:val="18"/>
              </w:rPr>
              <w:t>（元）</w:t>
            </w:r>
          </w:p>
        </w:tc>
        <w:tc>
          <w:tcPr>
            <w:tcW w:w="586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r>
      <w:tr>
        <w:trPr>
          <w:trHeight w:val="402" w:hRule="exact"/>
        </w:trPr>
        <w:tc>
          <w:tcPr>
            <w:tcW w:w="37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可分配利润（元）</w:t>
            </w:r>
          </w:p>
        </w:tc>
        <w:tc>
          <w:tcPr>
            <w:tcW w:w="586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312,793,415.15</w:t>
            </w:r>
          </w:p>
        </w:tc>
      </w:tr>
      <w:tr>
        <w:trPr>
          <w:trHeight w:val="714" w:hRule="exact"/>
        </w:trPr>
        <w:tc>
          <w:tcPr>
            <w:tcW w:w="37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71"/>
              <w:jc w:val="left"/>
              <w:rPr>
                <w:rFonts w:ascii="宋体" w:hAnsi="宋体" w:cs="宋体" w:eastAsia="宋体" w:hint="default"/>
                <w:sz w:val="18"/>
                <w:szCs w:val="18"/>
              </w:rPr>
            </w:pPr>
            <w:r>
              <w:rPr>
                <w:rFonts w:ascii="宋体" w:hAnsi="宋体" w:cs="宋体" w:eastAsia="宋体" w:hint="default"/>
                <w:sz w:val="18"/>
                <w:szCs w:val="18"/>
              </w:rPr>
              <w:t>现金分红总额（含其他方式）占利润分配总额 的比例</w:t>
            </w:r>
          </w:p>
        </w:tc>
        <w:tc>
          <w:tcPr>
            <w:tcW w:w="586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r>
      <w:tr>
        <w:trPr>
          <w:trHeight w:val="402" w:hRule="exact"/>
        </w:trPr>
        <w:tc>
          <w:tcPr>
            <w:tcW w:w="956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本次现金分红情况</w:t>
            </w:r>
          </w:p>
        </w:tc>
      </w:tr>
      <w:tr>
        <w:trPr>
          <w:trHeight w:val="402" w:hRule="exact"/>
        </w:trPr>
        <w:tc>
          <w:tcPr>
            <w:tcW w:w="956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pacing w:val="-2"/>
                <w:sz w:val="18"/>
                <w:szCs w:val="18"/>
              </w:rPr>
              <w:t>公司发展阶段不易区分但有重大资金支出安排的，进行利润分配时，现金分红在本次利润分配中所占比例最低应达到</w:t>
            </w:r>
            <w:r>
              <w:rPr>
                <w:rFonts w:ascii="宋体" w:hAnsi="宋体" w:cs="宋体" w:eastAsia="宋体" w:hint="default"/>
                <w:spacing w:val="-15"/>
                <w:sz w:val="18"/>
                <w:szCs w:val="18"/>
              </w:rPr>
              <w:t> </w:t>
            </w:r>
            <w:r>
              <w:rPr>
                <w:rFonts w:ascii="Times New Roman" w:hAnsi="Times New Roman" w:cs="Times New Roman" w:eastAsia="Times New Roman" w:hint="default"/>
                <w:sz w:val="18"/>
                <w:szCs w:val="18"/>
              </w:rPr>
              <w:t>20</w:t>
            </w:r>
            <w:r>
              <w:rPr>
                <w:rFonts w:ascii="宋体" w:hAnsi="宋体" w:cs="宋体" w:eastAsia="宋体" w:hint="default"/>
                <w:sz w:val="18"/>
                <w:szCs w:val="18"/>
              </w:rPr>
              <w:t>％</w:t>
            </w:r>
          </w:p>
        </w:tc>
      </w:tr>
      <w:tr>
        <w:trPr>
          <w:trHeight w:val="402" w:hRule="exact"/>
        </w:trPr>
        <w:tc>
          <w:tcPr>
            <w:tcW w:w="956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888" w:right="0"/>
              <w:jc w:val="left"/>
              <w:rPr>
                <w:rFonts w:ascii="宋体" w:hAnsi="宋体" w:cs="宋体" w:eastAsia="宋体" w:hint="default"/>
                <w:sz w:val="18"/>
                <w:szCs w:val="18"/>
              </w:rPr>
            </w:pPr>
            <w:r>
              <w:rPr>
                <w:rFonts w:ascii="宋体" w:hAnsi="宋体" w:cs="宋体" w:eastAsia="宋体" w:hint="default"/>
                <w:sz w:val="18"/>
                <w:szCs w:val="18"/>
              </w:rPr>
              <w:t>利润分配或资本公积金转增预案的详细情况说明</w:t>
            </w:r>
          </w:p>
        </w:tc>
      </w:tr>
      <w:tr>
        <w:trPr>
          <w:trHeight w:val="2274" w:hRule="exact"/>
        </w:trPr>
        <w:tc>
          <w:tcPr>
            <w:tcW w:w="956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经立信会计师事务所（特殊普通合伙）审计：公司</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年度实现归属于上市公司股东的净利润为</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96,112,608.43</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元，</w:t>
            </w:r>
          </w:p>
          <w:p>
            <w:pPr>
              <w:pStyle w:val="TableParagraph"/>
              <w:spacing w:line="240" w:lineRule="auto" w:before="63"/>
              <w:ind w:left="22" w:right="0"/>
              <w:jc w:val="both"/>
              <w:rPr>
                <w:rFonts w:ascii="宋体" w:hAnsi="宋体" w:cs="宋体" w:eastAsia="宋体" w:hint="default"/>
                <w:sz w:val="18"/>
                <w:szCs w:val="18"/>
              </w:rPr>
            </w:pPr>
            <w:r>
              <w:rPr>
                <w:rFonts w:ascii="宋体" w:hAnsi="宋体" w:cs="宋体" w:eastAsia="宋体" w:hint="default"/>
                <w:sz w:val="18"/>
                <w:szCs w:val="18"/>
              </w:rPr>
              <w:t>母公司实现的净利润为</w:t>
            </w:r>
            <w:r>
              <w:rPr>
                <w:rFonts w:ascii="宋体" w:hAnsi="宋体" w:cs="宋体" w:eastAsia="宋体" w:hint="default"/>
                <w:spacing w:val="-56"/>
                <w:sz w:val="18"/>
                <w:szCs w:val="18"/>
              </w:rPr>
              <w:t> </w:t>
            </w:r>
            <w:r>
              <w:rPr>
                <w:rFonts w:ascii="Times New Roman" w:hAnsi="Times New Roman" w:cs="Times New Roman" w:eastAsia="Times New Roman" w:hint="default"/>
                <w:sz w:val="18"/>
                <w:szCs w:val="18"/>
              </w:rPr>
              <w:t>55,763,813.81</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元。根据《公司章程》的有关规定，母公司应当提取利润的</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10%</w:t>
            </w:r>
            <w:r>
              <w:rPr>
                <w:rFonts w:ascii="宋体" w:hAnsi="宋体" w:cs="宋体" w:eastAsia="宋体" w:hint="default"/>
                <w:sz w:val="18"/>
                <w:szCs w:val="18"/>
              </w:rPr>
              <w:t>，即</w:t>
            </w:r>
            <w:r>
              <w:rPr>
                <w:rFonts w:ascii="宋体" w:hAnsi="宋体" w:cs="宋体" w:eastAsia="宋体" w:hint="default"/>
                <w:spacing w:val="-56"/>
                <w:sz w:val="18"/>
                <w:szCs w:val="18"/>
              </w:rPr>
              <w:t> </w:t>
            </w:r>
            <w:r>
              <w:rPr>
                <w:rFonts w:ascii="Times New Roman" w:hAnsi="Times New Roman" w:cs="Times New Roman" w:eastAsia="Times New Roman" w:hint="default"/>
                <w:sz w:val="18"/>
                <w:szCs w:val="18"/>
              </w:rPr>
              <w:t>5,576,381.38</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元</w:t>
            </w:r>
          </w:p>
          <w:p>
            <w:pPr>
              <w:pStyle w:val="TableParagraph"/>
              <w:spacing w:line="312" w:lineRule="auto" w:before="63"/>
              <w:ind w:left="22" w:right="-4"/>
              <w:jc w:val="both"/>
              <w:rPr>
                <w:rFonts w:ascii="宋体" w:hAnsi="宋体" w:cs="宋体" w:eastAsia="宋体" w:hint="default"/>
                <w:sz w:val="18"/>
                <w:szCs w:val="18"/>
              </w:rPr>
            </w:pPr>
            <w:r>
              <w:rPr>
                <w:rFonts w:ascii="宋体" w:hAnsi="宋体" w:cs="宋体" w:eastAsia="宋体" w:hint="default"/>
                <w:sz w:val="18"/>
                <w:szCs w:val="18"/>
              </w:rPr>
              <w:t>作为法定公积金。截至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日，母公司可供分配的利润为</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312,793,415.15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元，资本公积余额为</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479,950,978.98 </w:t>
            </w:r>
            <w:r>
              <w:rPr>
                <w:rFonts w:ascii="宋体" w:hAnsi="宋体" w:cs="宋体" w:eastAsia="宋体" w:hint="default"/>
                <w:sz w:val="18"/>
                <w:szCs w:val="18"/>
              </w:rPr>
              <w:t>元。考虑到公司业务持续发展，且经营现金流同步增长，在符合利润分配原则、保证公司正常经营和长远发展的前提下， </w:t>
            </w:r>
            <w:r>
              <w:rPr>
                <w:rFonts w:ascii="宋体" w:hAnsi="宋体" w:cs="宋体" w:eastAsia="宋体" w:hint="default"/>
                <w:spacing w:val="-1"/>
                <w:sz w:val="18"/>
                <w:szCs w:val="18"/>
              </w:rPr>
              <w:t>为了更好的兼顾股东的即期利益和长远利益，使公司的价值能够更加公允、客观的体现，从长远角度回报投资者，使全体</w:t>
            </w:r>
            <w:r>
              <w:rPr>
                <w:rFonts w:ascii="宋体" w:hAnsi="宋体" w:cs="宋体" w:eastAsia="宋体" w:hint="default"/>
                <w:spacing w:val="-69"/>
                <w:sz w:val="18"/>
                <w:szCs w:val="18"/>
              </w:rPr>
              <w:t> </w:t>
            </w:r>
            <w:r>
              <w:rPr>
                <w:rFonts w:ascii="宋体" w:hAnsi="宋体" w:cs="宋体" w:eastAsia="宋体" w:hint="default"/>
                <w:spacing w:val="-69"/>
                <w:sz w:val="18"/>
                <w:szCs w:val="18"/>
              </w:rPr>
            </w:r>
            <w:r>
              <w:rPr>
                <w:rFonts w:ascii="宋体" w:hAnsi="宋体" w:cs="宋体" w:eastAsia="宋体" w:hint="default"/>
                <w:sz w:val="18"/>
                <w:szCs w:val="18"/>
              </w:rPr>
              <w:t>股东分享公司成长的经营成果，</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4"/>
                <w:sz w:val="18"/>
                <w:szCs w:val="18"/>
              </w:rPr>
              <w:t> </w:t>
            </w:r>
            <w:r>
              <w:rPr>
                <w:rFonts w:ascii="宋体" w:hAnsi="宋体" w:cs="宋体" w:eastAsia="宋体" w:hint="default"/>
                <w:spacing w:val="-3"/>
                <w:sz w:val="18"/>
                <w:szCs w:val="18"/>
              </w:rPr>
              <w:t>年度公司利润分配预案如下：以截止</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日公司总股本</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481,092,495</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股为</w:t>
            </w:r>
          </w:p>
          <w:p>
            <w:pPr>
              <w:pStyle w:val="TableParagraph"/>
              <w:spacing w:line="240" w:lineRule="auto" w:before="4"/>
              <w:ind w:left="22" w:right="0"/>
              <w:jc w:val="both"/>
              <w:rPr>
                <w:rFonts w:ascii="宋体" w:hAnsi="宋体" w:cs="宋体" w:eastAsia="宋体" w:hint="default"/>
                <w:sz w:val="18"/>
                <w:szCs w:val="18"/>
              </w:rPr>
            </w:pPr>
            <w:r>
              <w:rPr>
                <w:rFonts w:ascii="宋体" w:hAnsi="宋体" w:cs="宋体" w:eastAsia="宋体" w:hint="default"/>
                <w:sz w:val="18"/>
                <w:szCs w:val="18"/>
              </w:rPr>
              <w:t>基数，向全体股东每</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w:t>
            </w:r>
            <w:r>
              <w:rPr>
                <w:rFonts w:ascii="宋体" w:hAnsi="宋体" w:cs="宋体" w:eastAsia="宋体" w:hint="default"/>
                <w:spacing w:val="1"/>
                <w:sz w:val="18"/>
                <w:szCs w:val="18"/>
              </w:rPr>
              <w:t>派</w:t>
            </w:r>
            <w:r>
              <w:rPr>
                <w:rFonts w:ascii="宋体" w:hAnsi="宋体" w:cs="宋体" w:eastAsia="宋体" w:hint="default"/>
                <w:sz w:val="18"/>
                <w:szCs w:val="18"/>
              </w:rPr>
              <w:t>发现金</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元人民币（含税</w:t>
            </w:r>
            <w:r>
              <w:rPr>
                <w:rFonts w:ascii="宋体" w:hAnsi="宋体" w:cs="宋体" w:eastAsia="宋体" w:hint="default"/>
                <w:spacing w:val="-90"/>
                <w:sz w:val="18"/>
                <w:szCs w:val="18"/>
              </w:rPr>
              <w:t>）</w:t>
            </w:r>
            <w:r>
              <w:rPr>
                <w:rFonts w:ascii="宋体" w:hAnsi="宋体" w:cs="宋体" w:eastAsia="宋体" w:hint="default"/>
                <w:sz w:val="18"/>
                <w:szCs w:val="18"/>
              </w:rPr>
              <w:t>，合计派发现金股利为人民币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19,243,69</w:t>
            </w:r>
            <w:r>
              <w:rPr>
                <w:rFonts w:ascii="Times New Roman" w:hAnsi="Times New Roman" w:cs="Times New Roman" w:eastAsia="Times New Roman" w:hint="default"/>
                <w:spacing w:val="-2"/>
                <w:sz w:val="18"/>
                <w:szCs w:val="18"/>
              </w:rPr>
              <w:t>9</w:t>
            </w:r>
            <w:r>
              <w:rPr>
                <w:rFonts w:ascii="Times New Roman" w:hAnsi="Times New Roman" w:cs="Times New Roman" w:eastAsia="Times New Roman" w:hint="default"/>
                <w:sz w:val="18"/>
                <w:szCs w:val="18"/>
              </w:rPr>
              <w:t>.80 </w:t>
            </w:r>
            <w:r>
              <w:rPr>
                <w:rFonts w:ascii="宋体" w:hAnsi="宋体" w:cs="宋体" w:eastAsia="宋体" w:hint="default"/>
                <w:sz w:val="18"/>
                <w:szCs w:val="18"/>
              </w:rPr>
              <w:t>元（含税</w:t>
            </w:r>
            <w:r>
              <w:rPr>
                <w:rFonts w:ascii="宋体" w:hAnsi="宋体" w:cs="宋体" w:eastAsia="宋体" w:hint="default"/>
                <w:spacing w:val="-90"/>
                <w:sz w:val="18"/>
                <w:szCs w:val="18"/>
              </w:rPr>
              <w:t>）</w:t>
            </w:r>
            <w:r>
              <w:rPr>
                <w:rFonts w:ascii="宋体" w:hAnsi="宋体" w:cs="宋体" w:eastAsia="宋体" w:hint="default"/>
                <w:sz w:val="18"/>
                <w:szCs w:val="18"/>
              </w:rPr>
              <w:t>。</w:t>
            </w:r>
          </w:p>
        </w:tc>
      </w:tr>
    </w:tbl>
    <w:p>
      <w:pPr>
        <w:spacing w:line="388" w:lineRule="auto" w:before="73"/>
        <w:ind w:left="577" w:right="1509" w:hanging="424"/>
        <w:jc w:val="left"/>
        <w:rPr>
          <w:rFonts w:ascii="宋体" w:hAnsi="宋体" w:cs="宋体" w:eastAsia="宋体" w:hint="default"/>
          <w:sz w:val="21"/>
          <w:szCs w:val="21"/>
        </w:rPr>
      </w:pPr>
      <w:r>
        <w:rPr>
          <w:rFonts w:ascii="宋体" w:hAnsi="宋体" w:cs="宋体" w:eastAsia="宋体" w:hint="default"/>
          <w:sz w:val="18"/>
          <w:szCs w:val="18"/>
        </w:rPr>
        <w:t>公司近</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 </w:t>
      </w:r>
      <w:r>
        <w:rPr>
          <w:rFonts w:ascii="宋体" w:hAnsi="宋体" w:cs="宋体" w:eastAsia="宋体" w:hint="default"/>
          <w:spacing w:val="-3"/>
          <w:sz w:val="18"/>
          <w:szCs w:val="18"/>
        </w:rPr>
        <w:t>年（包括本报告期）的普通股股利分配方案（预案）、资本公积金转增股本方案（预案）情况</w:t>
      </w:r>
      <w:r>
        <w:rPr>
          <w:rFonts w:ascii="宋体" w:hAnsi="宋体" w:cs="宋体" w:eastAsia="宋体" w:hint="default"/>
          <w:spacing w:val="-59"/>
          <w:sz w:val="18"/>
          <w:szCs w:val="18"/>
        </w:rPr>
        <w:t> </w:t>
      </w:r>
      <w:r>
        <w:rPr>
          <w:rFonts w:ascii="宋体" w:hAnsi="宋体" w:cs="宋体" w:eastAsia="宋体" w:hint="default"/>
          <w:spacing w:val="-59"/>
          <w:sz w:val="18"/>
          <w:szCs w:val="18"/>
        </w:rPr>
      </w:r>
      <w:r>
        <w:rPr>
          <w:rFonts w:ascii="Times New Roman" w:hAnsi="Times New Roman" w:cs="Times New Roman" w:eastAsia="Times New Roman" w:hint="default"/>
          <w:sz w:val="21"/>
          <w:szCs w:val="21"/>
        </w:rPr>
        <w:t>1</w:t>
      </w:r>
      <w:r>
        <w:rPr>
          <w:rFonts w:ascii="宋体" w:hAnsi="宋体" w:cs="宋体" w:eastAsia="宋体" w:hint="default"/>
          <w:sz w:val="21"/>
          <w:szCs w:val="21"/>
        </w:rPr>
        <w:t>、</w:t>
      </w:r>
      <w:r>
        <w:rPr>
          <w:rFonts w:ascii="Times New Roman" w:hAnsi="Times New Roman" w:cs="Times New Roman" w:eastAsia="Times New Roman" w:hint="default"/>
          <w:sz w:val="21"/>
          <w:szCs w:val="21"/>
        </w:rPr>
        <w:t>2016</w:t>
      </w:r>
      <w:r>
        <w:rPr>
          <w:rFonts w:ascii="宋体" w:hAnsi="宋体" w:cs="宋体" w:eastAsia="宋体" w:hint="default"/>
          <w:sz w:val="21"/>
          <w:szCs w:val="21"/>
        </w:rPr>
        <w:t>年度利润分配方案 经立信会计师事务所（特殊普通合伙）审计：公司</w:t>
      </w:r>
      <w:r>
        <w:rPr>
          <w:rFonts w:ascii="Times New Roman" w:hAnsi="Times New Roman" w:cs="Times New Roman" w:eastAsia="Times New Roman" w:hint="default"/>
          <w:sz w:val="21"/>
          <w:szCs w:val="21"/>
        </w:rPr>
        <w:t>2016</w:t>
      </w:r>
      <w:r>
        <w:rPr>
          <w:rFonts w:ascii="宋体" w:hAnsi="宋体" w:cs="宋体" w:eastAsia="宋体" w:hint="default"/>
          <w:sz w:val="21"/>
          <w:szCs w:val="21"/>
        </w:rPr>
        <w:t>年度实现归属于上市公司股东的净利润为</w:t>
      </w:r>
    </w:p>
    <w:p>
      <w:pPr>
        <w:pStyle w:val="BodyText"/>
        <w:spacing w:line="386" w:lineRule="auto" w:before="33"/>
        <w:ind w:left="577" w:right="1123" w:hanging="424"/>
        <w:jc w:val="left"/>
      </w:pPr>
      <w:r>
        <w:rPr>
          <w:rFonts w:ascii="Times New Roman" w:hAnsi="Times New Roman" w:cs="Times New Roman" w:eastAsia="Times New Roman" w:hint="default"/>
        </w:rPr>
        <w:t>84,850,220.15</w:t>
      </w:r>
      <w:r>
        <w:rPr/>
        <w:t>元，母公司实现的净利润为</w:t>
      </w:r>
      <w:r>
        <w:rPr>
          <w:rFonts w:ascii="Times New Roman" w:hAnsi="Times New Roman" w:cs="Times New Roman" w:eastAsia="Times New Roman" w:hint="default"/>
        </w:rPr>
        <w:t>50,850,053.10</w:t>
      </w:r>
      <w:r>
        <w:rPr/>
        <w:t>元。 </w:t>
      </w:r>
      <w:r>
        <w:rPr>
          <w:spacing w:val="-1"/>
        </w:rPr>
        <w:t>根据《公司章程》的有关规定，母公司应当提取利润的</w:t>
      </w:r>
      <w:r>
        <w:rPr>
          <w:rFonts w:ascii="Times New Roman" w:hAnsi="Times New Roman" w:cs="Times New Roman" w:eastAsia="Times New Roman" w:hint="default"/>
          <w:spacing w:val="-1"/>
        </w:rPr>
        <w:t>10%</w:t>
      </w:r>
      <w:r>
        <w:rPr>
          <w:spacing w:val="-1"/>
        </w:rPr>
        <w:t>，即</w:t>
      </w:r>
      <w:r>
        <w:rPr>
          <w:rFonts w:ascii="Times New Roman" w:hAnsi="Times New Roman" w:cs="Times New Roman" w:eastAsia="Times New Roman" w:hint="default"/>
          <w:spacing w:val="-1"/>
        </w:rPr>
        <w:t>5,085,005.31</w:t>
      </w:r>
      <w:r>
        <w:rPr>
          <w:spacing w:val="-1"/>
        </w:rPr>
        <w:t>元作为法定公积金。截至</w:t>
      </w:r>
    </w:p>
    <w:p>
      <w:pPr>
        <w:pStyle w:val="BodyText"/>
        <w:spacing w:line="386" w:lineRule="auto" w:before="35"/>
        <w:ind w:left="577" w:right="1117" w:hanging="424"/>
        <w:jc w:val="left"/>
      </w:pPr>
      <w:r>
        <w:rPr>
          <w:rFonts w:ascii="Times New Roman" w:hAnsi="Times New Roman" w:cs="Times New Roman" w:eastAsia="Times New Roman" w:hint="default"/>
        </w:rPr>
        <w:t>2016</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日，母公司可供分配的利润为</w:t>
      </w:r>
      <w:r>
        <w:rPr>
          <w:rFonts w:ascii="Times New Roman" w:hAnsi="Times New Roman" w:cs="Times New Roman" w:eastAsia="Times New Roman" w:hint="default"/>
        </w:rPr>
        <w:t>214,027,026.04</w:t>
      </w:r>
      <w:r>
        <w:rPr/>
        <w:t>元，资本公积余额为</w:t>
      </w:r>
      <w:r>
        <w:rPr>
          <w:rFonts w:ascii="Times New Roman" w:hAnsi="Times New Roman" w:cs="Times New Roman" w:eastAsia="Times New Roman" w:hint="default"/>
        </w:rPr>
        <w:t>689,027,663.38</w:t>
      </w:r>
      <w:r>
        <w:rPr/>
        <w:t>元。 </w:t>
      </w:r>
      <w:r>
        <w:rPr>
          <w:spacing w:val="-1"/>
        </w:rPr>
        <w:t>考虑到公司业务持续发展，且经营现金流同步增长，在符合利润分配原则、保证公司正常经营和长远</w:t>
      </w:r>
    </w:p>
    <w:p>
      <w:pPr>
        <w:pStyle w:val="BodyText"/>
        <w:spacing w:line="408" w:lineRule="auto" w:before="65"/>
        <w:ind w:right="0"/>
        <w:jc w:val="left"/>
      </w:pPr>
      <w:r>
        <w:rPr/>
        <w:t>发展的前提下，为了更好的兼顾股东的即期利益和长远利益，使公司的价值能够更加公允、客观的体现，</w:t>
      </w:r>
      <w:r>
        <w:rPr>
          <w:spacing w:val="-38"/>
        </w:rPr>
        <w:t> </w:t>
      </w:r>
      <w:r>
        <w:rPr>
          <w:spacing w:val="-38"/>
        </w:rPr>
      </w:r>
      <w:r>
        <w:rPr/>
        <w:t>从长远角度回报投资者，使全体股东分享公司成长的经营成果，</w:t>
      </w:r>
      <w:r>
        <w:rPr>
          <w:rFonts w:ascii="Times New Roman" w:hAnsi="Times New Roman" w:cs="Times New Roman" w:eastAsia="Times New Roman" w:hint="default"/>
        </w:rPr>
        <w:t>2016</w:t>
      </w:r>
      <w:r>
        <w:rPr/>
        <w:t>年度公司利润分配预案如下：以截止</w:t>
      </w:r>
    </w:p>
    <w:p>
      <w:pPr>
        <w:spacing w:after="0" w:line="408" w:lineRule="auto"/>
        <w:jc w:val="left"/>
        <w:sectPr>
          <w:pgSz w:w="11910" w:h="16840"/>
          <w:pgMar w:header="877" w:footer="979" w:top="1060" w:bottom="1160" w:left="980" w:right="0"/>
        </w:sectPr>
      </w:pPr>
    </w:p>
    <w:p>
      <w:pPr>
        <w:spacing w:line="240" w:lineRule="auto" w:before="12"/>
        <w:rPr>
          <w:rFonts w:ascii="宋体" w:hAnsi="宋体" w:cs="宋体" w:eastAsia="宋体" w:hint="default"/>
          <w:sz w:val="2"/>
          <w:szCs w:val="2"/>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spacing w:line="240" w:lineRule="auto" w:before="2"/>
        <w:rPr>
          <w:rFonts w:ascii="宋体" w:hAnsi="宋体" w:cs="宋体" w:eastAsia="宋体" w:hint="default"/>
          <w:sz w:val="26"/>
          <w:szCs w:val="26"/>
        </w:rPr>
      </w:pPr>
    </w:p>
    <w:p>
      <w:pPr>
        <w:pStyle w:val="BodyText"/>
        <w:spacing w:line="386" w:lineRule="auto" w:before="35"/>
        <w:ind w:left="577" w:right="1117" w:hanging="424"/>
        <w:jc w:val="left"/>
      </w:pPr>
      <w:r>
        <w:rPr>
          <w:rFonts w:ascii="Times New Roman" w:hAnsi="Times New Roman" w:cs="Times New Roman" w:eastAsia="Times New Roman" w:hint="default"/>
        </w:rPr>
        <w:t>2016</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日公司总股本</w:t>
      </w:r>
      <w:r>
        <w:rPr>
          <w:rFonts w:ascii="Times New Roman" w:hAnsi="Times New Roman" w:cs="Times New Roman" w:eastAsia="Times New Roman" w:hint="default"/>
        </w:rPr>
        <w:t>324,624,301</w:t>
      </w:r>
      <w:r>
        <w:rPr/>
        <w:t>股为基数，向全体股东每</w:t>
      </w:r>
      <w:r>
        <w:rPr>
          <w:rFonts w:ascii="Times New Roman" w:hAnsi="Times New Roman" w:cs="Times New Roman" w:eastAsia="Times New Roman" w:hint="default"/>
        </w:rPr>
        <w:t>10</w:t>
      </w:r>
      <w:r>
        <w:rPr/>
        <w:t>股派发现金</w:t>
      </w:r>
      <w:r>
        <w:rPr>
          <w:rFonts w:ascii="Times New Roman" w:hAnsi="Times New Roman" w:cs="Times New Roman" w:eastAsia="Times New Roman" w:hint="default"/>
        </w:rPr>
        <w:t>0.55</w:t>
      </w:r>
      <w:r>
        <w:rPr/>
        <w:t>元人民币（含税）。 </w:t>
      </w:r>
      <w:r>
        <w:rPr>
          <w:spacing w:val="-1"/>
        </w:rPr>
        <w:t>公司第四届董事会第二次会议及第四届监事会第二次会议审议通过上述预案，独立董事均发表了明确</w:t>
      </w:r>
    </w:p>
    <w:p>
      <w:pPr>
        <w:pStyle w:val="BodyText"/>
        <w:spacing w:line="398" w:lineRule="auto" w:before="65"/>
        <w:ind w:right="0"/>
        <w:jc w:val="left"/>
      </w:pPr>
      <w:r>
        <w:rPr>
          <w:spacing w:val="-1"/>
        </w:rPr>
        <w:t>的同意意见。公司</w:t>
      </w:r>
      <w:r>
        <w:rPr>
          <w:rFonts w:ascii="Times New Roman" w:hAnsi="Times New Roman" w:cs="Times New Roman" w:eastAsia="Times New Roman" w:hint="default"/>
          <w:spacing w:val="-1"/>
        </w:rPr>
        <w:t>2016</w:t>
      </w:r>
      <w:r>
        <w:rPr>
          <w:spacing w:val="-1"/>
        </w:rPr>
        <w:t>年度利润分配预案已经由</w:t>
      </w:r>
      <w:r>
        <w:rPr>
          <w:rFonts w:ascii="Times New Roman" w:hAnsi="Times New Roman" w:cs="Times New Roman" w:eastAsia="Times New Roman" w:hint="default"/>
          <w:spacing w:val="-1"/>
        </w:rPr>
        <w:t>2016</w:t>
      </w:r>
      <w:r>
        <w:rPr>
          <w:spacing w:val="-1"/>
        </w:rPr>
        <w:t>年</w:t>
      </w:r>
      <w:r>
        <w:rPr>
          <w:rFonts w:ascii="Times New Roman" w:hAnsi="Times New Roman" w:cs="Times New Roman" w:eastAsia="Times New Roman" w:hint="default"/>
          <w:spacing w:val="-1"/>
        </w:rPr>
        <w:t>5</w:t>
      </w:r>
      <w:r>
        <w:rPr>
          <w:spacing w:val="-1"/>
        </w:rPr>
        <w:t>月</w:t>
      </w:r>
      <w:r>
        <w:rPr>
          <w:rFonts w:ascii="Times New Roman" w:hAnsi="Times New Roman" w:cs="Times New Roman" w:eastAsia="Times New Roman" w:hint="default"/>
          <w:spacing w:val="-1"/>
        </w:rPr>
        <w:t>12</w:t>
      </w:r>
      <w:r>
        <w:rPr>
          <w:spacing w:val="-1"/>
        </w:rPr>
        <w:t>日召开的公司</w:t>
      </w:r>
      <w:r>
        <w:rPr>
          <w:rFonts w:ascii="Times New Roman" w:hAnsi="Times New Roman" w:cs="Times New Roman" w:eastAsia="Times New Roman" w:hint="default"/>
          <w:spacing w:val="-1"/>
        </w:rPr>
        <w:t>2016</w:t>
      </w:r>
      <w:r>
        <w:rPr>
          <w:spacing w:val="-1"/>
        </w:rPr>
        <w:t>年年度股东大会审议通过。</w:t>
      </w:r>
      <w:r>
        <w:rPr>
          <w:spacing w:val="-79"/>
        </w:rPr>
        <w:t> </w:t>
      </w:r>
      <w:r>
        <w:rPr>
          <w:spacing w:val="-79"/>
        </w:rPr>
      </w:r>
      <w:r>
        <w:rPr/>
        <w:t>本次股东大会公司采用了现场投票与网络投票相结合的方式，为中小股东提供了充分表达意见和诉求的便</w:t>
      </w:r>
      <w:r>
        <w:rPr/>
        <w:t> 利机会，维护了中小股东的合法权益。</w:t>
      </w:r>
    </w:p>
    <w:p>
      <w:pPr>
        <w:pStyle w:val="BodyText"/>
        <w:spacing w:line="240" w:lineRule="auto" w:before="54"/>
        <w:ind w:left="577" w:right="0"/>
        <w:jc w:val="left"/>
      </w:pPr>
      <w:r>
        <w:rPr>
          <w:rFonts w:ascii="Times New Roman" w:hAnsi="Times New Roman" w:cs="Times New Roman" w:eastAsia="Times New Roman" w:hint="default"/>
        </w:rPr>
        <w:t>2017</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14</w:t>
      </w:r>
      <w:r>
        <w:rPr/>
        <w:t>日，公司在《巨潮资讯网》上刊登了《</w:t>
      </w:r>
      <w:r>
        <w:rPr>
          <w:rFonts w:ascii="Times New Roman" w:hAnsi="Times New Roman" w:cs="Times New Roman" w:eastAsia="Times New Roman" w:hint="default"/>
        </w:rPr>
        <w:t>2016</w:t>
      </w:r>
      <w:r>
        <w:rPr/>
        <w:t>年年度权益分派实施公告》，截至</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6</w:t>
      </w:r>
      <w:r>
        <w:rPr/>
        <w:t>月</w:t>
      </w:r>
    </w:p>
    <w:p>
      <w:pPr>
        <w:pStyle w:val="BodyText"/>
        <w:spacing w:line="240" w:lineRule="auto" w:before="177"/>
        <w:ind w:right="1117"/>
        <w:jc w:val="left"/>
      </w:pPr>
      <w:r>
        <w:rPr>
          <w:rFonts w:ascii="Times New Roman" w:hAnsi="Times New Roman" w:cs="Times New Roman" w:eastAsia="Times New Roman" w:hint="default"/>
        </w:rPr>
        <w:t>22</w:t>
      </w:r>
      <w:r>
        <w:rPr/>
        <w:t>日，公司</w:t>
      </w:r>
      <w:r>
        <w:rPr>
          <w:rFonts w:ascii="Times New Roman" w:hAnsi="Times New Roman" w:cs="Times New Roman" w:eastAsia="Times New Roman" w:hint="default"/>
        </w:rPr>
        <w:t>2016</w:t>
      </w:r>
      <w:r>
        <w:rPr/>
        <w:t>年年度权益分派已实施完毕。</w:t>
      </w:r>
    </w:p>
    <w:p>
      <w:pPr>
        <w:pStyle w:val="BodyText"/>
        <w:spacing w:line="240" w:lineRule="auto" w:before="177"/>
        <w:ind w:left="577" w:right="1117"/>
        <w:jc w:val="left"/>
      </w:pPr>
      <w:r>
        <w:rPr>
          <w:rFonts w:ascii="Times New Roman" w:hAnsi="Times New Roman" w:cs="Times New Roman" w:eastAsia="Times New Roman" w:hint="default"/>
        </w:rPr>
        <w:t>2</w:t>
      </w:r>
      <w:r>
        <w:rPr/>
        <w:t>、</w:t>
      </w:r>
      <w:r>
        <w:rPr>
          <w:rFonts w:ascii="Times New Roman" w:hAnsi="Times New Roman" w:cs="Times New Roman" w:eastAsia="Times New Roman" w:hint="default"/>
        </w:rPr>
        <w:t>2017</w:t>
      </w:r>
      <w:r>
        <w:rPr/>
        <w:t>年度利润分配方案</w:t>
      </w:r>
    </w:p>
    <w:p>
      <w:pPr>
        <w:pStyle w:val="BodyText"/>
        <w:spacing w:line="240" w:lineRule="auto" w:before="177"/>
        <w:ind w:left="577" w:right="1117"/>
        <w:jc w:val="left"/>
      </w:pPr>
      <w:r>
        <w:rPr/>
        <w:t>经立信会计师事务所（特殊普通合伙）审计：公司 </w:t>
      </w:r>
      <w:r>
        <w:rPr>
          <w:rFonts w:ascii="Times New Roman" w:hAnsi="Times New Roman" w:cs="Times New Roman" w:eastAsia="Times New Roman" w:hint="default"/>
        </w:rPr>
        <w:t>2017</w:t>
      </w:r>
      <w:r>
        <w:rPr>
          <w:rFonts w:ascii="Times New Roman" w:hAnsi="Times New Roman" w:cs="Times New Roman" w:eastAsia="Times New Roman" w:hint="default"/>
          <w:spacing w:val="9"/>
        </w:rPr>
        <w:t> </w:t>
      </w:r>
      <w:r>
        <w:rPr/>
        <w:t>年度实现归属于上市公司股东的净利润为</w:t>
      </w:r>
    </w:p>
    <w:p>
      <w:pPr>
        <w:pStyle w:val="BodyText"/>
        <w:spacing w:line="386" w:lineRule="auto" w:before="177"/>
        <w:ind w:left="577" w:right="1123" w:hanging="424"/>
        <w:jc w:val="left"/>
      </w:pPr>
      <w:r>
        <w:rPr>
          <w:rFonts w:ascii="Times New Roman" w:hAnsi="Times New Roman" w:cs="Times New Roman" w:eastAsia="Times New Roman" w:hint="default"/>
        </w:rPr>
        <w:t>119,671,217.16</w:t>
      </w:r>
      <w:r>
        <w:rPr/>
        <w:t>元，母公司实现的净利润为</w:t>
      </w:r>
      <w:r>
        <w:rPr>
          <w:rFonts w:ascii="Times New Roman" w:hAnsi="Times New Roman" w:cs="Times New Roman" w:eastAsia="Times New Roman" w:hint="default"/>
        </w:rPr>
        <w:t>95,093,703.83</w:t>
      </w:r>
      <w:r>
        <w:rPr/>
        <w:t>元。 </w:t>
      </w:r>
      <w:r>
        <w:rPr>
          <w:spacing w:val="-1"/>
        </w:rPr>
        <w:t>根据《公司章程》的有关规定，母公司应当提取利润的</w:t>
      </w:r>
      <w:r>
        <w:rPr>
          <w:rFonts w:ascii="Times New Roman" w:hAnsi="Times New Roman" w:cs="Times New Roman" w:eastAsia="Times New Roman" w:hint="default"/>
          <w:spacing w:val="-1"/>
        </w:rPr>
        <w:t>10%</w:t>
      </w:r>
      <w:r>
        <w:rPr>
          <w:spacing w:val="-1"/>
        </w:rPr>
        <w:t>，即</w:t>
      </w:r>
      <w:r>
        <w:rPr>
          <w:rFonts w:ascii="Times New Roman" w:hAnsi="Times New Roman" w:cs="Times New Roman" w:eastAsia="Times New Roman" w:hint="default"/>
          <w:spacing w:val="-1"/>
        </w:rPr>
        <w:t>9,509,370.38</w:t>
      </w:r>
      <w:r>
        <w:rPr>
          <w:spacing w:val="-1"/>
        </w:rPr>
        <w:t>元作为法定公积金。截至</w:t>
      </w:r>
    </w:p>
    <w:p>
      <w:pPr>
        <w:pStyle w:val="BodyText"/>
        <w:spacing w:line="386" w:lineRule="auto" w:before="35"/>
        <w:ind w:left="577" w:right="1117" w:hanging="424"/>
        <w:jc w:val="left"/>
      </w:pPr>
      <w:r>
        <w:rPr>
          <w:rFonts w:ascii="Times New Roman" w:hAnsi="Times New Roman" w:cs="Times New Roman" w:eastAsia="Times New Roman" w:hint="default"/>
        </w:rPr>
        <w:t>2017</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日，母公司可供分配的利润为</w:t>
      </w:r>
      <w:r>
        <w:rPr>
          <w:rFonts w:ascii="Times New Roman" w:hAnsi="Times New Roman" w:cs="Times New Roman" w:eastAsia="Times New Roman" w:hint="default"/>
        </w:rPr>
        <w:t>281,757,022.93</w:t>
      </w:r>
      <w:r>
        <w:rPr/>
        <w:t>元，资本公积余额为</w:t>
      </w:r>
      <w:r>
        <w:rPr>
          <w:rFonts w:ascii="Times New Roman" w:hAnsi="Times New Roman" w:cs="Times New Roman" w:eastAsia="Times New Roman" w:hint="default"/>
        </w:rPr>
        <w:t>702,083,069.98</w:t>
      </w:r>
      <w:r>
        <w:rPr/>
        <w:t>元。 </w:t>
      </w:r>
      <w:r>
        <w:rPr>
          <w:spacing w:val="-1"/>
        </w:rPr>
        <w:t>考虑到公司业务持续发展，且经营现金流同步增长，在符合利润分配原则、保证公司正常经营和长远</w:t>
      </w:r>
    </w:p>
    <w:p>
      <w:pPr>
        <w:pStyle w:val="BodyText"/>
        <w:spacing w:line="391" w:lineRule="auto" w:before="65"/>
        <w:ind w:right="0"/>
        <w:jc w:val="left"/>
      </w:pPr>
      <w:r>
        <w:rPr/>
        <w:t>发展的前提下，为了更好的兼顾股东的即期利益和长远利益，使公司的价值能够更加公允、客观的体现，</w:t>
      </w:r>
      <w:r>
        <w:rPr>
          <w:spacing w:val="-38"/>
        </w:rPr>
        <w:t> </w:t>
      </w:r>
      <w:r>
        <w:rPr>
          <w:spacing w:val="-38"/>
        </w:rPr>
      </w:r>
      <w:r>
        <w:rPr/>
        <w:t>从长远角度回报投资者，使全体股东分享公司成长的经营成果，</w:t>
      </w:r>
      <w:r>
        <w:rPr>
          <w:rFonts w:ascii="Times New Roman" w:hAnsi="Times New Roman" w:cs="Times New Roman" w:eastAsia="Times New Roman" w:hint="default"/>
        </w:rPr>
        <w:t>2017</w:t>
      </w:r>
      <w:r>
        <w:rPr>
          <w:rFonts w:ascii="Times New Roman" w:hAnsi="Times New Roman" w:cs="Times New Roman" w:eastAsia="Times New Roman" w:hint="default"/>
          <w:spacing w:val="31"/>
        </w:rPr>
        <w:t> </w:t>
      </w:r>
      <w:r>
        <w:rPr/>
        <w:t>年度公司利润分配预案如下：以截 </w:t>
      </w:r>
      <w:r>
        <w:rPr>
          <w:spacing w:val="-2"/>
        </w:rPr>
        <w:t>止</w:t>
      </w:r>
      <w:r>
        <w:rPr>
          <w:rFonts w:ascii="Times New Roman" w:hAnsi="Times New Roman" w:cs="Times New Roman" w:eastAsia="Times New Roman" w:hint="default"/>
          <w:spacing w:val="-2"/>
        </w:rPr>
        <w:t>2017</w:t>
      </w:r>
      <w:r>
        <w:rPr>
          <w:spacing w:val="-2"/>
        </w:rPr>
        <w:t>年</w:t>
      </w:r>
      <w:r>
        <w:rPr>
          <w:rFonts w:ascii="Times New Roman" w:hAnsi="Times New Roman" w:cs="Times New Roman" w:eastAsia="Times New Roman" w:hint="default"/>
          <w:spacing w:val="-2"/>
        </w:rPr>
        <w:t>12</w:t>
      </w:r>
      <w:r>
        <w:rPr>
          <w:spacing w:val="-2"/>
        </w:rPr>
        <w:t>月</w:t>
      </w:r>
      <w:r>
        <w:rPr>
          <w:rFonts w:ascii="Times New Roman" w:hAnsi="Times New Roman" w:cs="Times New Roman" w:eastAsia="Times New Roman" w:hint="default"/>
          <w:spacing w:val="-2"/>
        </w:rPr>
        <w:t>31</w:t>
      </w:r>
      <w:r>
        <w:rPr>
          <w:spacing w:val="-2"/>
        </w:rPr>
        <w:t>日公司总股本</w:t>
      </w:r>
      <w:r>
        <w:rPr>
          <w:rFonts w:ascii="Times New Roman" w:hAnsi="Times New Roman" w:cs="Times New Roman" w:eastAsia="Times New Roman" w:hint="default"/>
          <w:spacing w:val="-2"/>
        </w:rPr>
        <w:t>324,475,501</w:t>
      </w:r>
      <w:r>
        <w:rPr>
          <w:spacing w:val="-2"/>
        </w:rPr>
        <w:t>股为基数，向全体股东每</w:t>
      </w:r>
      <w:r>
        <w:rPr>
          <w:rFonts w:ascii="Times New Roman" w:hAnsi="Times New Roman" w:cs="Times New Roman" w:eastAsia="Times New Roman" w:hint="default"/>
          <w:spacing w:val="-2"/>
        </w:rPr>
        <w:t>10</w:t>
      </w:r>
      <w:r>
        <w:rPr>
          <w:spacing w:val="-2"/>
        </w:rPr>
        <w:t>股派发现金</w:t>
      </w:r>
      <w:r>
        <w:rPr>
          <w:rFonts w:ascii="Times New Roman" w:hAnsi="Times New Roman" w:cs="Times New Roman" w:eastAsia="Times New Roman" w:hint="default"/>
          <w:spacing w:val="-2"/>
        </w:rPr>
        <w:t>0.6</w:t>
      </w:r>
      <w:r>
        <w:rPr>
          <w:spacing w:val="-2"/>
        </w:rPr>
        <w:t>元人民币（含税），合</w:t>
      </w:r>
      <w:r>
        <w:rPr>
          <w:spacing w:val="-78"/>
        </w:rPr>
        <w:t> </w:t>
      </w:r>
      <w:r>
        <w:rPr>
          <w:spacing w:val="-78"/>
        </w:rPr>
      </w:r>
      <w:r>
        <w:rPr>
          <w:spacing w:val="-2"/>
        </w:rPr>
        <w:t>计派发现金股利为人民币</w:t>
      </w:r>
      <w:r>
        <w:rPr>
          <w:rFonts w:ascii="Times New Roman" w:hAnsi="Times New Roman" w:cs="Times New Roman" w:eastAsia="Times New Roman" w:hint="default"/>
          <w:spacing w:val="-2"/>
        </w:rPr>
        <w:t>19,468,530.06</w:t>
      </w:r>
      <w:r>
        <w:rPr>
          <w:spacing w:val="-2"/>
        </w:rPr>
        <w:t>元（含税）。同时，以资本公积金向全体股东每</w:t>
      </w:r>
      <w:r>
        <w:rPr>
          <w:rFonts w:ascii="Times New Roman" w:hAnsi="Times New Roman" w:cs="Times New Roman" w:eastAsia="Times New Roman" w:hint="default"/>
          <w:spacing w:val="-2"/>
        </w:rPr>
        <w:t>10</w:t>
      </w:r>
      <w:r>
        <w:rPr>
          <w:spacing w:val="-2"/>
        </w:rPr>
        <w:t>股转增</w:t>
      </w:r>
      <w:r>
        <w:rPr>
          <w:rFonts w:ascii="Times New Roman" w:hAnsi="Times New Roman" w:cs="Times New Roman" w:eastAsia="Times New Roman" w:hint="default"/>
          <w:spacing w:val="-2"/>
        </w:rPr>
        <w:t>5</w:t>
      </w:r>
      <w:r>
        <w:rPr>
          <w:spacing w:val="-2"/>
        </w:rPr>
        <w:t>股，共计</w:t>
      </w:r>
      <w:r>
        <w:rPr>
          <w:spacing w:val="-76"/>
        </w:rPr>
        <w:t> </w:t>
      </w:r>
      <w:r>
        <w:rPr>
          <w:spacing w:val="-76"/>
        </w:rPr>
      </w:r>
      <w:r>
        <w:rPr/>
        <w:t>转增</w:t>
      </w:r>
      <w:r>
        <w:rPr>
          <w:rFonts w:ascii="Times New Roman" w:hAnsi="Times New Roman" w:cs="Times New Roman" w:eastAsia="Times New Roman" w:hint="default"/>
        </w:rPr>
        <w:t>162,237,751</w:t>
      </w:r>
      <w:r>
        <w:rPr/>
        <w:t>股，转增后公司总股本增加至</w:t>
      </w:r>
      <w:r>
        <w:rPr>
          <w:rFonts w:ascii="Times New Roman" w:hAnsi="Times New Roman" w:cs="Times New Roman" w:eastAsia="Times New Roman" w:hint="default"/>
        </w:rPr>
        <w:t>486,713,252</w:t>
      </w:r>
      <w:r>
        <w:rPr/>
        <w:t>股。</w:t>
      </w:r>
    </w:p>
    <w:p>
      <w:pPr>
        <w:pStyle w:val="BodyText"/>
        <w:spacing w:line="386" w:lineRule="auto" w:before="30"/>
        <w:ind w:right="1117" w:firstLine="423"/>
        <w:jc w:val="left"/>
      </w:pPr>
      <w:r>
        <w:rPr/>
        <w:t>公司权益分派方案经股东大会审议通过后，公司回购注销了</w:t>
      </w:r>
      <w:r>
        <w:rPr>
          <w:rFonts w:ascii="Times New Roman" w:hAnsi="Times New Roman" w:cs="Times New Roman" w:eastAsia="Times New Roman" w:hint="default"/>
        </w:rPr>
        <w:t>445</w:t>
      </w:r>
      <w:r>
        <w:rPr/>
        <w:t>名限制性股票激励对象已获授但尚未 </w:t>
      </w:r>
      <w:r>
        <w:rPr>
          <w:spacing w:val="-1"/>
        </w:rPr>
        <w:t>解锁的限制性股票共计</w:t>
      </w:r>
      <w:r>
        <w:rPr>
          <w:rFonts w:ascii="Times New Roman" w:hAnsi="Times New Roman" w:cs="Times New Roman" w:eastAsia="Times New Roman" w:hint="default"/>
          <w:spacing w:val="-1"/>
        </w:rPr>
        <w:t>5,620,740</w:t>
      </w:r>
      <w:r>
        <w:rPr>
          <w:spacing w:val="-1"/>
        </w:rPr>
        <w:t>股。基于前述因素，截至</w:t>
      </w:r>
      <w:r>
        <w:rPr>
          <w:rFonts w:ascii="Times New Roman" w:hAnsi="Times New Roman" w:cs="Times New Roman" w:eastAsia="Times New Roman" w:hint="default"/>
          <w:spacing w:val="-1"/>
        </w:rPr>
        <w:t>2018</w:t>
      </w:r>
      <w:r>
        <w:rPr>
          <w:spacing w:val="-1"/>
        </w:rPr>
        <w:t>年</w:t>
      </w:r>
      <w:r>
        <w:rPr>
          <w:rFonts w:ascii="Times New Roman" w:hAnsi="Times New Roman" w:cs="Times New Roman" w:eastAsia="Times New Roman" w:hint="default"/>
          <w:spacing w:val="-1"/>
        </w:rPr>
        <w:t>5</w:t>
      </w:r>
      <w:r>
        <w:rPr>
          <w:spacing w:val="-1"/>
        </w:rPr>
        <w:t>月</w:t>
      </w:r>
      <w:r>
        <w:rPr>
          <w:rFonts w:ascii="Times New Roman" w:hAnsi="Times New Roman" w:cs="Times New Roman" w:eastAsia="Times New Roman" w:hint="default"/>
          <w:spacing w:val="-1"/>
        </w:rPr>
        <w:t>7</w:t>
      </w:r>
      <w:r>
        <w:rPr>
          <w:spacing w:val="-1"/>
        </w:rPr>
        <w:t>日，公司总股本由</w:t>
      </w:r>
      <w:r>
        <w:rPr>
          <w:rFonts w:ascii="Times New Roman" w:hAnsi="Times New Roman" w:cs="Times New Roman" w:eastAsia="Times New Roman" w:hint="default"/>
          <w:spacing w:val="-1"/>
        </w:rPr>
        <w:t>324,475,501</w:t>
      </w:r>
      <w:r>
        <w:rPr>
          <w:spacing w:val="-1"/>
        </w:rPr>
        <w:t>股减少</w:t>
      </w:r>
      <w:r>
        <w:rPr>
          <w:spacing w:val="-72"/>
        </w:rPr>
        <w:t> </w:t>
      </w:r>
      <w:r>
        <w:rPr>
          <w:spacing w:val="-72"/>
        </w:rPr>
      </w:r>
      <w:r>
        <w:rPr>
          <w:spacing w:val="-1"/>
        </w:rPr>
        <w:t>至</w:t>
      </w:r>
      <w:r>
        <w:rPr>
          <w:rFonts w:ascii="Times New Roman" w:hAnsi="Times New Roman" w:cs="Times New Roman" w:eastAsia="Times New Roman" w:hint="default"/>
          <w:spacing w:val="-1"/>
        </w:rPr>
        <w:t>318,854,761</w:t>
      </w:r>
      <w:r>
        <w:rPr>
          <w:spacing w:val="-1"/>
        </w:rPr>
        <w:t>股。根据《深圳证券交易所创业板上市公司规范运作指引》的相关规定，分配方案公布后至</w:t>
      </w:r>
      <w:r>
        <w:rPr>
          <w:spacing w:val="-81"/>
        </w:rPr>
        <w:t> </w:t>
      </w:r>
      <w:r>
        <w:rPr>
          <w:spacing w:val="-81"/>
        </w:rPr>
      </w:r>
      <w:r>
        <w:rPr/>
        <w:t>实施前，公司总股本由于增发新股、股权激励行权、可转债转股等原因发生变动的，应当按照</w:t>
      </w:r>
      <w:r>
        <w:rPr>
          <w:rFonts w:ascii="Times New Roman" w:hAnsi="Times New Roman" w:cs="Times New Roman" w:eastAsia="Times New Roman" w:hint="default"/>
        </w:rPr>
        <w:t>“</w:t>
      </w:r>
      <w:r>
        <w:rPr/>
        <w:t>现金分红 总额、送红股总额、转增股本总额固定不变</w:t>
      </w:r>
      <w:r>
        <w:rPr>
          <w:rFonts w:ascii="Times New Roman" w:hAnsi="Times New Roman" w:cs="Times New Roman" w:eastAsia="Times New Roman" w:hint="default"/>
        </w:rPr>
        <w:t>”</w:t>
      </w:r>
      <w:r>
        <w:rPr/>
        <w:t>的原则，在权益分派实施公告中披露按公司最新总股本计算 的分配比例。</w:t>
      </w:r>
    </w:p>
    <w:p>
      <w:pPr>
        <w:pStyle w:val="BodyText"/>
        <w:spacing w:line="396" w:lineRule="auto" w:before="65"/>
        <w:ind w:right="0" w:firstLine="423"/>
        <w:jc w:val="left"/>
      </w:pPr>
      <w:r>
        <w:rPr/>
        <w:t>因此，公司按最新股本计算的</w:t>
      </w:r>
      <w:r>
        <w:rPr>
          <w:rFonts w:ascii="Times New Roman" w:hAnsi="Times New Roman" w:cs="Times New Roman" w:eastAsia="Times New Roman" w:hint="default"/>
        </w:rPr>
        <w:t>2017</w:t>
      </w:r>
      <w:r>
        <w:rPr/>
        <w:t>年年度权益分派方案为：以公司现有总股本</w:t>
      </w:r>
      <w:r>
        <w:rPr>
          <w:rFonts w:ascii="Times New Roman" w:hAnsi="Times New Roman" w:cs="Times New Roman" w:eastAsia="Times New Roman" w:hint="default"/>
        </w:rPr>
        <w:t>318,854,761</w:t>
      </w:r>
      <w:r>
        <w:rPr/>
        <w:t>股为基数， 向全体股东每</w:t>
      </w:r>
      <w:r>
        <w:rPr>
          <w:rFonts w:ascii="Times New Roman" w:hAnsi="Times New Roman" w:cs="Times New Roman" w:eastAsia="Times New Roman" w:hint="default"/>
        </w:rPr>
        <w:t>10</w:t>
      </w:r>
      <w:r>
        <w:rPr/>
        <w:t>股派</w:t>
      </w:r>
      <w:r>
        <w:rPr>
          <w:rFonts w:ascii="Times New Roman" w:hAnsi="Times New Roman" w:cs="Times New Roman" w:eastAsia="Times New Roman" w:hint="default"/>
        </w:rPr>
        <w:t>0.610576</w:t>
      </w:r>
      <w:r>
        <w:rPr/>
        <w:t>元人民币现金，同时，以资本公积金向全体股东每</w:t>
      </w:r>
      <w:r>
        <w:rPr>
          <w:rFonts w:ascii="Times New Roman" w:hAnsi="Times New Roman" w:cs="Times New Roman" w:eastAsia="Times New Roman" w:hint="default"/>
        </w:rPr>
        <w:t>10</w:t>
      </w:r>
      <w:r>
        <w:rPr/>
        <w:t>股转增</w:t>
      </w:r>
      <w:r>
        <w:rPr>
          <w:rFonts w:ascii="Times New Roman" w:hAnsi="Times New Roman" w:cs="Times New Roman" w:eastAsia="Times New Roman" w:hint="default"/>
        </w:rPr>
        <w:t>5.088139</w:t>
      </w:r>
      <w:r>
        <w:rPr/>
        <w:t>股。公 司第四届董事会第十次会议及第四届监事会第九次会议审议通过，公司独立董事发表了同意的独立意见。</w:t>
      </w:r>
      <w:r>
        <w:rPr>
          <w:spacing w:val="-38"/>
        </w:rPr>
        <w:t> </w:t>
      </w:r>
      <w:r>
        <w:rPr>
          <w:spacing w:val="-38"/>
        </w:rPr>
      </w:r>
      <w:r>
        <w:rPr/>
        <w:t>公司</w:t>
      </w:r>
      <w:r>
        <w:rPr>
          <w:rFonts w:ascii="Times New Roman" w:hAnsi="Times New Roman" w:cs="Times New Roman" w:eastAsia="Times New Roman" w:hint="default"/>
        </w:rPr>
        <w:t>2017</w:t>
      </w:r>
      <w:r>
        <w:rPr/>
        <w:t>年度利润分配预案已经由</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10</w:t>
      </w:r>
      <w:r>
        <w:rPr/>
        <w:t>日召开的公司</w:t>
      </w:r>
      <w:r>
        <w:rPr>
          <w:rFonts w:ascii="Times New Roman" w:hAnsi="Times New Roman" w:cs="Times New Roman" w:eastAsia="Times New Roman" w:hint="default"/>
        </w:rPr>
        <w:t>2017</w:t>
      </w:r>
      <w:r>
        <w:rPr/>
        <w:t>年年度股东大会审议通过。本次股东大 会公司采用了现场投票与网络投票相结合的方式，为中小股东提供了充分表达意见和诉求的便利机会，维 护了中小股东的合法权益。</w:t>
      </w:r>
    </w:p>
    <w:p>
      <w:pPr>
        <w:spacing w:after="0" w:line="396" w:lineRule="auto"/>
        <w:jc w:val="left"/>
        <w:sectPr>
          <w:pgSz w:w="11910" w:h="16840"/>
          <w:pgMar w:header="877" w:footer="979" w:top="1060" w:bottom="1160" w:left="980" w:right="0"/>
        </w:sectPr>
      </w:pPr>
    </w:p>
    <w:p>
      <w:pPr>
        <w:spacing w:line="240" w:lineRule="auto" w:before="0"/>
        <w:rPr>
          <w:rFonts w:ascii="宋体" w:hAnsi="宋体" w:cs="宋体" w:eastAsia="宋体" w:hint="default"/>
          <w:sz w:val="20"/>
          <w:szCs w:val="20"/>
        </w:rPr>
      </w:pPr>
    </w:p>
    <w:p>
      <w:pPr>
        <w:pStyle w:val="BodyText"/>
        <w:spacing w:line="240" w:lineRule="auto" w:before="174"/>
        <w:ind w:left="577" w:right="0"/>
        <w:jc w:val="left"/>
      </w:pPr>
      <w:r>
        <w:rPr>
          <w:rFonts w:ascii="Times New Roman" w:hAnsi="Times New Roman" w:cs="Times New Roman" w:eastAsia="Times New Roman" w:hint="default"/>
        </w:rPr>
        <w:t>2018</w:t>
      </w:r>
      <w:r>
        <w:rPr/>
        <w:t>年</w:t>
      </w:r>
      <w:r>
        <w:rPr>
          <w:rFonts w:ascii="Times New Roman" w:hAnsi="Times New Roman" w:cs="Times New Roman" w:eastAsia="Times New Roman" w:hint="default"/>
        </w:rPr>
        <w:t>5</w:t>
      </w:r>
      <w:r>
        <w:rPr/>
        <w:t>月</w:t>
      </w:r>
      <w:r>
        <w:rPr>
          <w:rFonts w:ascii="Times New Roman" w:hAnsi="Times New Roman" w:cs="Times New Roman" w:eastAsia="Times New Roman" w:hint="default"/>
        </w:rPr>
        <w:t>15</w:t>
      </w:r>
      <w:r>
        <w:rPr/>
        <w:t>日，公司在《巨潮资讯网》上刊登了《</w:t>
      </w:r>
      <w:r>
        <w:rPr>
          <w:rFonts w:ascii="Times New Roman" w:hAnsi="Times New Roman" w:cs="Times New Roman" w:eastAsia="Times New Roman" w:hint="default"/>
        </w:rPr>
        <w:t>2017</w:t>
      </w:r>
      <w:r>
        <w:rPr/>
        <w:t>年年度权益分派实施公告》，截至</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5</w:t>
      </w:r>
      <w:r>
        <w:rPr/>
        <w:t>月</w:t>
      </w:r>
    </w:p>
    <w:p>
      <w:pPr>
        <w:pStyle w:val="BodyText"/>
        <w:spacing w:line="240" w:lineRule="auto" w:before="177"/>
        <w:ind w:right="1117"/>
        <w:jc w:val="left"/>
      </w:pPr>
      <w:r>
        <w:rPr>
          <w:rFonts w:ascii="Times New Roman" w:hAnsi="Times New Roman" w:cs="Times New Roman" w:eastAsia="Times New Roman" w:hint="default"/>
        </w:rPr>
        <w:t>22</w:t>
      </w:r>
      <w:r>
        <w:rPr/>
        <w:t>日，公司</w:t>
      </w:r>
      <w:r>
        <w:rPr>
          <w:rFonts w:ascii="Times New Roman" w:hAnsi="Times New Roman" w:cs="Times New Roman" w:eastAsia="Times New Roman" w:hint="default"/>
        </w:rPr>
        <w:t>2017</w:t>
      </w:r>
      <w:r>
        <w:rPr/>
        <w:t>年年度权益分派已实施完毕。</w:t>
      </w:r>
    </w:p>
    <w:p>
      <w:pPr>
        <w:pStyle w:val="BodyText"/>
        <w:spacing w:line="386" w:lineRule="auto" w:before="177"/>
        <w:ind w:left="577" w:right="1509"/>
        <w:jc w:val="left"/>
      </w:pPr>
      <w:r>
        <w:rPr>
          <w:rFonts w:ascii="Times New Roman" w:hAnsi="Times New Roman" w:cs="Times New Roman" w:eastAsia="Times New Roman" w:hint="default"/>
        </w:rPr>
        <w:t>3</w:t>
      </w:r>
      <w:r>
        <w:rPr/>
        <w:t>、</w:t>
      </w:r>
      <w:r>
        <w:rPr>
          <w:rFonts w:ascii="Times New Roman" w:hAnsi="Times New Roman" w:cs="Times New Roman" w:eastAsia="Times New Roman" w:hint="default"/>
        </w:rPr>
        <w:t>2018</w:t>
      </w:r>
      <w:r>
        <w:rPr/>
        <w:t>年度利润分配预案 经立信会计师事务所（特殊普通合伙）审计：公司</w:t>
      </w:r>
      <w:r>
        <w:rPr>
          <w:rFonts w:ascii="Times New Roman" w:hAnsi="Times New Roman" w:cs="Times New Roman" w:eastAsia="Times New Roman" w:hint="default"/>
        </w:rPr>
        <w:t>2018</w:t>
      </w:r>
      <w:r>
        <w:rPr/>
        <w:t>年度实现归属于上市公司股东的净利润为</w:t>
      </w:r>
    </w:p>
    <w:p>
      <w:pPr>
        <w:pStyle w:val="BodyText"/>
        <w:spacing w:line="386" w:lineRule="auto" w:before="35"/>
        <w:ind w:left="577" w:right="1123" w:hanging="424"/>
        <w:jc w:val="left"/>
      </w:pPr>
      <w:r>
        <w:rPr>
          <w:rFonts w:ascii="Times New Roman" w:hAnsi="Times New Roman" w:cs="Times New Roman" w:eastAsia="Times New Roman" w:hint="default"/>
        </w:rPr>
        <w:t>96,112,608.43</w:t>
      </w:r>
      <w:r>
        <w:rPr/>
        <w:t>元，母公司实现的净利润为</w:t>
      </w:r>
      <w:r>
        <w:rPr>
          <w:rFonts w:ascii="Times New Roman" w:hAnsi="Times New Roman" w:cs="Times New Roman" w:eastAsia="Times New Roman" w:hint="default"/>
        </w:rPr>
        <w:t>55,763,813.81</w:t>
      </w:r>
      <w:r>
        <w:rPr/>
        <w:t>元。 </w:t>
      </w:r>
      <w:r>
        <w:rPr>
          <w:spacing w:val="-1"/>
        </w:rPr>
        <w:t>根据《公司章程》的有关规定，母公司应当提取利润的</w:t>
      </w:r>
      <w:r>
        <w:rPr>
          <w:rFonts w:ascii="Times New Roman" w:hAnsi="Times New Roman" w:cs="Times New Roman" w:eastAsia="Times New Roman" w:hint="default"/>
          <w:spacing w:val="-1"/>
        </w:rPr>
        <w:t>10%</w:t>
      </w:r>
      <w:r>
        <w:rPr>
          <w:spacing w:val="-1"/>
        </w:rPr>
        <w:t>，即</w:t>
      </w:r>
      <w:r>
        <w:rPr>
          <w:rFonts w:ascii="Times New Roman" w:hAnsi="Times New Roman" w:cs="Times New Roman" w:eastAsia="Times New Roman" w:hint="default"/>
          <w:spacing w:val="-1"/>
        </w:rPr>
        <w:t>5,576,381.38</w:t>
      </w:r>
      <w:r>
        <w:rPr>
          <w:spacing w:val="-1"/>
        </w:rPr>
        <w:t>元作为法定公积金。截至</w:t>
      </w:r>
    </w:p>
    <w:p>
      <w:pPr>
        <w:pStyle w:val="BodyText"/>
        <w:spacing w:line="386" w:lineRule="auto" w:before="35"/>
        <w:ind w:left="577" w:right="1117" w:hanging="424"/>
        <w:jc w:val="left"/>
      </w:pP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日，母公司可供分配的利润为</w:t>
      </w:r>
      <w:r>
        <w:rPr>
          <w:rFonts w:ascii="Times New Roman" w:hAnsi="Times New Roman" w:cs="Times New Roman" w:eastAsia="Times New Roman" w:hint="default"/>
        </w:rPr>
        <w:t>312,793,415.15</w:t>
      </w:r>
      <w:r>
        <w:rPr/>
        <w:t>元，资本公积余额为</w:t>
      </w:r>
      <w:r>
        <w:rPr>
          <w:rFonts w:ascii="Times New Roman" w:hAnsi="Times New Roman" w:cs="Times New Roman" w:eastAsia="Times New Roman" w:hint="default"/>
        </w:rPr>
        <w:t>479,950,978.98</w:t>
      </w:r>
      <w:r>
        <w:rPr/>
        <w:t>元。 </w:t>
      </w:r>
      <w:r>
        <w:rPr>
          <w:spacing w:val="-1"/>
        </w:rPr>
        <w:t>考虑到公司业务持续发展，且经营现金流同步增长，在符合利润分配原则、保证公司正常经营和长远</w:t>
      </w:r>
    </w:p>
    <w:p>
      <w:pPr>
        <w:pStyle w:val="BodyText"/>
        <w:spacing w:line="393" w:lineRule="auto" w:before="65"/>
        <w:ind w:right="0"/>
        <w:jc w:val="left"/>
      </w:pPr>
      <w:r>
        <w:rPr/>
        <w:t>发展的前提下，为了更好的兼顾股东的即期利益和长远利益，使公司的价值能够更加公允、客观的体现，</w:t>
      </w:r>
      <w:r>
        <w:rPr>
          <w:spacing w:val="-38"/>
        </w:rPr>
        <w:t> </w:t>
      </w:r>
      <w:r>
        <w:rPr>
          <w:spacing w:val="-38"/>
        </w:rPr>
      </w:r>
      <w:r>
        <w:rPr/>
        <w:t>从长远角度回报投资者，使全体股东分享公司成长的经营成果，</w:t>
      </w:r>
      <w:r>
        <w:rPr>
          <w:rFonts w:ascii="Times New Roman" w:hAnsi="Times New Roman" w:cs="Times New Roman" w:eastAsia="Times New Roman" w:hint="default"/>
        </w:rPr>
        <w:t>2018</w:t>
      </w:r>
      <w:r>
        <w:rPr/>
        <w:t>年度公司利润分配预案如下：以截止 </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日公司总股本</w:t>
      </w:r>
      <w:r>
        <w:rPr>
          <w:rFonts w:ascii="Times New Roman" w:hAnsi="Times New Roman" w:cs="Times New Roman" w:eastAsia="Times New Roman" w:hint="default"/>
        </w:rPr>
        <w:t>481,092,495</w:t>
      </w:r>
      <w:r>
        <w:rPr/>
        <w:t>股为基数，向全体股东每</w:t>
      </w:r>
      <w:r>
        <w:rPr>
          <w:rFonts w:ascii="Times New Roman" w:hAnsi="Times New Roman" w:cs="Times New Roman" w:eastAsia="Times New Roman" w:hint="default"/>
        </w:rPr>
        <w:t>10</w:t>
      </w:r>
      <w:r>
        <w:rPr/>
        <w:t>股派发现金</w:t>
      </w:r>
      <w:r>
        <w:rPr>
          <w:rFonts w:ascii="Times New Roman" w:hAnsi="Times New Roman" w:cs="Times New Roman" w:eastAsia="Times New Roman" w:hint="default"/>
        </w:rPr>
        <w:t>0.40</w:t>
      </w:r>
      <w:r>
        <w:rPr/>
        <w:t>元人民币（含税），合 计派发现金股利为人民币</w:t>
      </w:r>
      <w:r>
        <w:rPr>
          <w:rFonts w:ascii="Times New Roman" w:hAnsi="Times New Roman" w:cs="Times New Roman" w:eastAsia="Times New Roman" w:hint="default"/>
        </w:rPr>
        <w:t>19,243,699.80</w:t>
      </w:r>
      <w:r>
        <w:rPr/>
        <w:t>元（含税）。</w:t>
      </w:r>
    </w:p>
    <w:p>
      <w:pPr>
        <w:pStyle w:val="BodyText"/>
        <w:spacing w:line="408" w:lineRule="auto" w:before="28"/>
        <w:ind w:right="1117" w:firstLine="423"/>
        <w:jc w:val="left"/>
      </w:pPr>
      <w:r>
        <w:rPr>
          <w:spacing w:val="-1"/>
        </w:rPr>
        <w:t>公司第四届董事会第二十二次会议及第四届监事会第二十次会议审议通过上述预案，独立董事均发表</w:t>
      </w:r>
      <w:r>
        <w:rPr/>
        <w:t> 了明确的同意意见。本利润分配预案尚需提请公司</w:t>
      </w:r>
      <w:r>
        <w:rPr>
          <w:rFonts w:ascii="Times New Roman" w:hAnsi="Times New Roman" w:cs="Times New Roman" w:eastAsia="Times New Roman" w:hint="default"/>
        </w:rPr>
        <w:t>2018</w:t>
      </w:r>
      <w:r>
        <w:rPr/>
        <w:t>年年度股东大会审议。</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16"/>
          <w:szCs w:val="16"/>
        </w:rPr>
      </w:pPr>
    </w:p>
    <w:p>
      <w:pPr>
        <w:spacing w:before="0"/>
        <w:ind w:left="154" w:right="1117" w:firstLine="0"/>
        <w:jc w:val="left"/>
        <w:rPr>
          <w:rFonts w:ascii="宋体" w:hAnsi="宋体" w:cs="宋体" w:eastAsia="宋体" w:hint="default"/>
          <w:sz w:val="18"/>
          <w:szCs w:val="18"/>
        </w:rPr>
      </w:pPr>
      <w:r>
        <w:rPr>
          <w:rFonts w:ascii="宋体" w:hAnsi="宋体" w:cs="宋体" w:eastAsia="宋体" w:hint="default"/>
          <w:sz w:val="18"/>
          <w:szCs w:val="18"/>
        </w:rPr>
        <w:t>公司近三年（包括本报告期）普通股现金分红情况表</w:t>
      </w:r>
    </w:p>
    <w:p>
      <w:pPr>
        <w:spacing w:before="117"/>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1187"/>
        <w:gridCol w:w="1194"/>
        <w:gridCol w:w="1196"/>
        <w:gridCol w:w="1185"/>
        <w:gridCol w:w="1208"/>
        <w:gridCol w:w="1185"/>
        <w:gridCol w:w="1207"/>
        <w:gridCol w:w="1184"/>
      </w:tblGrid>
      <w:tr>
        <w:trPr>
          <w:trHeight w:val="161" w:hRule="exact"/>
        </w:trPr>
        <w:tc>
          <w:tcPr>
            <w:tcW w:w="1187" w:type="dxa"/>
            <w:vMerge w:val="restart"/>
            <w:tcBorders>
              <w:top w:val="single" w:sz="4" w:space="0" w:color="000000"/>
              <w:left w:val="single" w:sz="4" w:space="0" w:color="000000"/>
              <w:right w:val="single" w:sz="4" w:space="0" w:color="000000"/>
            </w:tcBorders>
            <w:shd w:val="clear" w:color="auto" w:fill="D2D2D2"/>
          </w:tcPr>
          <w:p>
            <w:pPr/>
          </w:p>
        </w:tc>
        <w:tc>
          <w:tcPr>
            <w:tcW w:w="1194" w:type="dxa"/>
            <w:vMerge w:val="restart"/>
            <w:tcBorders>
              <w:top w:val="single" w:sz="4" w:space="0" w:color="000000"/>
              <w:left w:val="single" w:sz="4" w:space="0" w:color="000000"/>
              <w:right w:val="single" w:sz="4" w:space="0" w:color="000000"/>
            </w:tcBorders>
            <w:shd w:val="clear" w:color="auto" w:fill="D2D2D2"/>
          </w:tcPr>
          <w:p>
            <w:pPr/>
          </w:p>
        </w:tc>
        <w:tc>
          <w:tcPr>
            <w:tcW w:w="1196" w:type="dxa"/>
            <w:vMerge w:val="restart"/>
            <w:tcBorders>
              <w:top w:val="single" w:sz="4" w:space="0" w:color="000000"/>
              <w:left w:val="single" w:sz="4" w:space="0" w:color="000000"/>
              <w:right w:val="single" w:sz="4" w:space="0" w:color="000000"/>
            </w:tcBorders>
            <w:shd w:val="clear" w:color="auto" w:fill="D2D2D2"/>
          </w:tcPr>
          <w:p>
            <w:pPr/>
          </w:p>
        </w:tc>
        <w:tc>
          <w:tcPr>
            <w:tcW w:w="1185" w:type="dxa"/>
            <w:tcBorders>
              <w:top w:val="single" w:sz="4" w:space="0" w:color="000000"/>
              <w:left w:val="single" w:sz="4" w:space="0" w:color="000000"/>
              <w:bottom w:val="nil" w:sz="6" w:space="0" w:color="auto"/>
              <w:right w:val="single" w:sz="4" w:space="0" w:color="000000"/>
            </w:tcBorders>
            <w:shd w:val="clear" w:color="auto" w:fill="D2D2D2"/>
          </w:tcPr>
          <w:p>
            <w:pPr/>
          </w:p>
        </w:tc>
        <w:tc>
          <w:tcPr>
            <w:tcW w:w="1208" w:type="dxa"/>
            <w:vMerge w:val="restart"/>
            <w:tcBorders>
              <w:top w:val="single" w:sz="4" w:space="0" w:color="000000"/>
              <w:left w:val="single" w:sz="4" w:space="0" w:color="000000"/>
              <w:right w:val="single" w:sz="4" w:space="0" w:color="000000"/>
            </w:tcBorders>
            <w:shd w:val="clear" w:color="auto" w:fill="D2D2D2"/>
          </w:tcPr>
          <w:p>
            <w:pPr/>
          </w:p>
        </w:tc>
        <w:tc>
          <w:tcPr>
            <w:tcW w:w="1185" w:type="dxa"/>
            <w:tcBorders>
              <w:top w:val="single" w:sz="4" w:space="0" w:color="000000"/>
              <w:left w:val="single" w:sz="4" w:space="0" w:color="000000"/>
              <w:bottom w:val="nil" w:sz="6" w:space="0" w:color="auto"/>
              <w:right w:val="single" w:sz="4" w:space="0" w:color="000000"/>
            </w:tcBorders>
            <w:shd w:val="clear" w:color="auto" w:fill="D2D2D2"/>
          </w:tcPr>
          <w:p>
            <w:pPr/>
          </w:p>
        </w:tc>
        <w:tc>
          <w:tcPr>
            <w:tcW w:w="1207" w:type="dxa"/>
            <w:vMerge w:val="restart"/>
            <w:tcBorders>
              <w:top w:val="single" w:sz="4" w:space="0" w:color="000000"/>
              <w:left w:val="single" w:sz="4" w:space="0" w:color="000000"/>
              <w:right w:val="single" w:sz="4" w:space="0" w:color="000000"/>
            </w:tcBorders>
            <w:shd w:val="clear" w:color="auto" w:fill="D2D2D2"/>
          </w:tcPr>
          <w:p>
            <w:pPr/>
          </w:p>
        </w:tc>
        <w:tc>
          <w:tcPr>
            <w:tcW w:w="118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现金分红总额</w:t>
            </w:r>
          </w:p>
          <w:p>
            <w:pPr>
              <w:pStyle w:val="TableParagraph"/>
              <w:spacing w:line="319" w:lineRule="auto" w:before="76"/>
              <w:ind w:left="53" w:right="39"/>
              <w:jc w:val="center"/>
              <w:rPr>
                <w:rFonts w:ascii="宋体" w:hAnsi="宋体" w:cs="宋体" w:eastAsia="宋体" w:hint="default"/>
                <w:sz w:val="18"/>
                <w:szCs w:val="18"/>
              </w:rPr>
            </w:pPr>
            <w:r>
              <w:rPr>
                <w:rFonts w:ascii="宋体" w:hAnsi="宋体" w:cs="宋体" w:eastAsia="宋体" w:hint="default"/>
                <w:sz w:val="18"/>
                <w:szCs w:val="18"/>
              </w:rPr>
              <w:t>（含其他方 式）占合并报 表中归属于上 市公司普通股 股东的净利润 的比率</w:t>
            </w:r>
          </w:p>
        </w:tc>
      </w:tr>
      <w:tr>
        <w:trPr>
          <w:trHeight w:val="156" w:hRule="exact"/>
        </w:trPr>
        <w:tc>
          <w:tcPr>
            <w:tcW w:w="1187" w:type="dxa"/>
            <w:vMerge/>
            <w:tcBorders>
              <w:left w:val="single" w:sz="4" w:space="0" w:color="000000"/>
              <w:right w:val="single" w:sz="4" w:space="0" w:color="000000"/>
            </w:tcBorders>
            <w:shd w:val="clear" w:color="auto" w:fill="D2D2D2"/>
          </w:tcPr>
          <w:p>
            <w:pPr/>
          </w:p>
        </w:tc>
        <w:tc>
          <w:tcPr>
            <w:tcW w:w="1194" w:type="dxa"/>
            <w:vMerge/>
            <w:tcBorders>
              <w:left w:val="single" w:sz="4" w:space="0" w:color="000000"/>
              <w:right w:val="single" w:sz="4" w:space="0" w:color="000000"/>
            </w:tcBorders>
            <w:shd w:val="clear" w:color="auto" w:fill="D2D2D2"/>
          </w:tcPr>
          <w:p>
            <w:pPr/>
          </w:p>
        </w:tc>
        <w:tc>
          <w:tcPr>
            <w:tcW w:w="1196" w:type="dxa"/>
            <w:vMerge/>
            <w:tcBorders>
              <w:left w:val="single" w:sz="4" w:space="0" w:color="000000"/>
              <w:bottom w:val="nil" w:sz="6" w:space="0" w:color="auto"/>
              <w:right w:val="single" w:sz="4" w:space="0" w:color="000000"/>
            </w:tcBorders>
            <w:shd w:val="clear" w:color="auto" w:fill="D2D2D2"/>
          </w:tcPr>
          <w:p>
            <w:pPr/>
          </w:p>
        </w:tc>
        <w:tc>
          <w:tcPr>
            <w:tcW w:w="1185" w:type="dxa"/>
            <w:vMerge w:val="restart"/>
            <w:tcBorders>
              <w:top w:val="nil" w:sz="6" w:space="0" w:color="auto"/>
              <w:left w:val="single" w:sz="4" w:space="0" w:color="000000"/>
              <w:right w:val="single" w:sz="4" w:space="0" w:color="000000"/>
            </w:tcBorders>
            <w:shd w:val="clear" w:color="auto" w:fill="D2D2D2"/>
          </w:tcPr>
          <w:p>
            <w:pPr>
              <w:pStyle w:val="TableParagraph"/>
              <w:spacing w:line="319" w:lineRule="auto" w:before="51"/>
              <w:ind w:left="52" w:right="40"/>
              <w:jc w:val="center"/>
              <w:rPr>
                <w:rFonts w:ascii="宋体" w:hAnsi="宋体" w:cs="宋体" w:eastAsia="宋体" w:hint="default"/>
                <w:sz w:val="18"/>
                <w:szCs w:val="18"/>
              </w:rPr>
            </w:pPr>
            <w:r>
              <w:rPr>
                <w:rFonts w:ascii="宋体" w:hAnsi="宋体" w:cs="宋体" w:eastAsia="宋体" w:hint="default"/>
                <w:sz w:val="18"/>
                <w:szCs w:val="18"/>
              </w:rPr>
              <w:t>现金分红金额 占合并报表中 归属于上市公 司普通股股东 的净利润的比 率</w:t>
            </w:r>
          </w:p>
        </w:tc>
        <w:tc>
          <w:tcPr>
            <w:tcW w:w="1208" w:type="dxa"/>
            <w:vMerge/>
            <w:tcBorders>
              <w:left w:val="single" w:sz="4" w:space="0" w:color="000000"/>
              <w:right w:val="single" w:sz="4" w:space="0" w:color="000000"/>
            </w:tcBorders>
            <w:shd w:val="clear" w:color="auto" w:fill="D2D2D2"/>
          </w:tcPr>
          <w:p>
            <w:pPr/>
          </w:p>
        </w:tc>
        <w:tc>
          <w:tcPr>
            <w:tcW w:w="1185" w:type="dxa"/>
            <w:vMerge w:val="restart"/>
            <w:tcBorders>
              <w:top w:val="nil" w:sz="6" w:space="0" w:color="auto"/>
              <w:left w:val="single" w:sz="4" w:space="0" w:color="000000"/>
              <w:right w:val="single" w:sz="4" w:space="0" w:color="000000"/>
            </w:tcBorders>
            <w:shd w:val="clear" w:color="auto" w:fill="D2D2D2"/>
          </w:tcPr>
          <w:p>
            <w:pPr>
              <w:pStyle w:val="TableParagraph"/>
              <w:spacing w:line="319" w:lineRule="auto" w:before="51"/>
              <w:ind w:left="53" w:right="39"/>
              <w:jc w:val="both"/>
              <w:rPr>
                <w:rFonts w:ascii="宋体" w:hAnsi="宋体" w:cs="宋体" w:eastAsia="宋体" w:hint="default"/>
                <w:sz w:val="18"/>
                <w:szCs w:val="18"/>
              </w:rPr>
            </w:pPr>
            <w:r>
              <w:rPr>
                <w:rFonts w:ascii="宋体" w:hAnsi="宋体" w:cs="宋体" w:eastAsia="宋体" w:hint="default"/>
                <w:sz w:val="18"/>
                <w:szCs w:val="18"/>
              </w:rPr>
              <w:t>以其他方式现 金分红金额占 合并报表中归 属于上市公司 普通股股东的 净利润的比例</w:t>
            </w:r>
          </w:p>
        </w:tc>
        <w:tc>
          <w:tcPr>
            <w:tcW w:w="1207" w:type="dxa"/>
            <w:vMerge/>
            <w:tcBorders>
              <w:left w:val="single" w:sz="4" w:space="0" w:color="000000"/>
              <w:right w:val="single" w:sz="4" w:space="0" w:color="000000"/>
            </w:tcBorders>
            <w:shd w:val="clear" w:color="auto" w:fill="D2D2D2"/>
          </w:tcPr>
          <w:p>
            <w:pPr/>
          </w:p>
        </w:tc>
        <w:tc>
          <w:tcPr>
            <w:tcW w:w="1184" w:type="dxa"/>
            <w:vMerge/>
            <w:tcBorders>
              <w:left w:val="single" w:sz="4" w:space="0" w:color="000000"/>
              <w:right w:val="single" w:sz="4" w:space="0" w:color="000000"/>
            </w:tcBorders>
            <w:shd w:val="clear" w:color="auto" w:fill="D2D2D2"/>
          </w:tcPr>
          <w:p>
            <w:pPr/>
          </w:p>
        </w:tc>
      </w:tr>
      <w:tr>
        <w:trPr>
          <w:trHeight w:val="156" w:hRule="exact"/>
        </w:trPr>
        <w:tc>
          <w:tcPr>
            <w:tcW w:w="1187" w:type="dxa"/>
            <w:vMerge/>
            <w:tcBorders>
              <w:left w:val="single" w:sz="4" w:space="0" w:color="000000"/>
              <w:right w:val="single" w:sz="4" w:space="0" w:color="000000"/>
            </w:tcBorders>
            <w:shd w:val="clear" w:color="auto" w:fill="D2D2D2"/>
          </w:tcPr>
          <w:p>
            <w:pPr/>
          </w:p>
        </w:tc>
        <w:tc>
          <w:tcPr>
            <w:tcW w:w="1194" w:type="dxa"/>
            <w:vMerge/>
            <w:tcBorders>
              <w:left w:val="single" w:sz="4" w:space="0" w:color="000000"/>
              <w:right w:val="single" w:sz="4" w:space="0" w:color="000000"/>
            </w:tcBorders>
            <w:shd w:val="clear" w:color="auto" w:fill="D2D2D2"/>
          </w:tcPr>
          <w:p>
            <w:pPr/>
          </w:p>
        </w:tc>
        <w:tc>
          <w:tcPr>
            <w:tcW w:w="1196" w:type="dxa"/>
            <w:vMerge w:val="restart"/>
            <w:tcBorders>
              <w:top w:val="nil" w:sz="6" w:space="0" w:color="auto"/>
              <w:left w:val="single" w:sz="4" w:space="0" w:color="000000"/>
              <w:right w:val="single" w:sz="4" w:space="0" w:color="000000"/>
            </w:tcBorders>
            <w:shd w:val="clear" w:color="auto" w:fill="D2D2D2"/>
          </w:tcPr>
          <w:p>
            <w:pPr>
              <w:pStyle w:val="TableParagraph"/>
              <w:spacing w:line="319" w:lineRule="auto" w:before="51"/>
              <w:ind w:left="53" w:right="50"/>
              <w:jc w:val="center"/>
              <w:rPr>
                <w:rFonts w:ascii="宋体" w:hAnsi="宋体" w:cs="宋体" w:eastAsia="宋体" w:hint="default"/>
                <w:sz w:val="18"/>
                <w:szCs w:val="18"/>
              </w:rPr>
            </w:pPr>
            <w:r>
              <w:rPr>
                <w:rFonts w:ascii="宋体" w:hAnsi="宋体" w:cs="宋体" w:eastAsia="宋体" w:hint="default"/>
                <w:sz w:val="18"/>
                <w:szCs w:val="18"/>
              </w:rPr>
              <w:t>分红年度合并 报表中归属于 上市公司普通 股股东的净利 润</w:t>
            </w:r>
          </w:p>
        </w:tc>
        <w:tc>
          <w:tcPr>
            <w:tcW w:w="1185" w:type="dxa"/>
            <w:vMerge/>
            <w:tcBorders>
              <w:left w:val="single" w:sz="4" w:space="0" w:color="000000"/>
              <w:right w:val="single" w:sz="4" w:space="0" w:color="000000"/>
            </w:tcBorders>
            <w:shd w:val="clear" w:color="auto" w:fill="D2D2D2"/>
          </w:tcPr>
          <w:p>
            <w:pPr/>
          </w:p>
        </w:tc>
        <w:tc>
          <w:tcPr>
            <w:tcW w:w="1208" w:type="dxa"/>
            <w:vMerge/>
            <w:tcBorders>
              <w:left w:val="single" w:sz="4" w:space="0" w:color="000000"/>
              <w:bottom w:val="nil" w:sz="6" w:space="0" w:color="auto"/>
              <w:right w:val="single" w:sz="4" w:space="0" w:color="000000"/>
            </w:tcBorders>
            <w:shd w:val="clear" w:color="auto" w:fill="D2D2D2"/>
          </w:tcPr>
          <w:p>
            <w:pPr/>
          </w:p>
        </w:tc>
        <w:tc>
          <w:tcPr>
            <w:tcW w:w="1185" w:type="dxa"/>
            <w:vMerge/>
            <w:tcBorders>
              <w:left w:val="single" w:sz="4" w:space="0" w:color="000000"/>
              <w:right w:val="single" w:sz="4" w:space="0" w:color="000000"/>
            </w:tcBorders>
            <w:shd w:val="clear" w:color="auto" w:fill="D2D2D2"/>
          </w:tcPr>
          <w:p>
            <w:pPr/>
          </w:p>
        </w:tc>
        <w:tc>
          <w:tcPr>
            <w:tcW w:w="1207" w:type="dxa"/>
            <w:vMerge/>
            <w:tcBorders>
              <w:left w:val="single" w:sz="4" w:space="0" w:color="000000"/>
              <w:right w:val="single" w:sz="4" w:space="0" w:color="000000"/>
            </w:tcBorders>
            <w:shd w:val="clear" w:color="auto" w:fill="D2D2D2"/>
          </w:tcPr>
          <w:p>
            <w:pPr/>
          </w:p>
        </w:tc>
        <w:tc>
          <w:tcPr>
            <w:tcW w:w="1184" w:type="dxa"/>
            <w:vMerge/>
            <w:tcBorders>
              <w:left w:val="single" w:sz="4" w:space="0" w:color="000000"/>
              <w:right w:val="single" w:sz="4" w:space="0" w:color="000000"/>
            </w:tcBorders>
            <w:shd w:val="clear" w:color="auto" w:fill="D2D2D2"/>
          </w:tcPr>
          <w:p>
            <w:pPr/>
          </w:p>
        </w:tc>
      </w:tr>
      <w:tr>
        <w:trPr>
          <w:trHeight w:val="156" w:hRule="exact"/>
        </w:trPr>
        <w:tc>
          <w:tcPr>
            <w:tcW w:w="1187" w:type="dxa"/>
            <w:vMerge/>
            <w:tcBorders>
              <w:left w:val="single" w:sz="4" w:space="0" w:color="000000"/>
              <w:right w:val="single" w:sz="4" w:space="0" w:color="000000"/>
            </w:tcBorders>
            <w:shd w:val="clear" w:color="auto" w:fill="D2D2D2"/>
          </w:tcPr>
          <w:p>
            <w:pPr/>
          </w:p>
        </w:tc>
        <w:tc>
          <w:tcPr>
            <w:tcW w:w="1194" w:type="dxa"/>
            <w:vMerge/>
            <w:tcBorders>
              <w:left w:val="single" w:sz="4" w:space="0" w:color="000000"/>
              <w:right w:val="single" w:sz="4" w:space="0" w:color="000000"/>
            </w:tcBorders>
            <w:shd w:val="clear" w:color="auto" w:fill="D2D2D2"/>
          </w:tcPr>
          <w:p>
            <w:pPr/>
          </w:p>
        </w:tc>
        <w:tc>
          <w:tcPr>
            <w:tcW w:w="1196" w:type="dxa"/>
            <w:vMerge/>
            <w:tcBorders>
              <w:left w:val="single" w:sz="4" w:space="0" w:color="000000"/>
              <w:right w:val="single" w:sz="4" w:space="0" w:color="000000"/>
            </w:tcBorders>
            <w:shd w:val="clear" w:color="auto" w:fill="D2D2D2"/>
          </w:tcPr>
          <w:p>
            <w:pPr/>
          </w:p>
        </w:tc>
        <w:tc>
          <w:tcPr>
            <w:tcW w:w="1185" w:type="dxa"/>
            <w:vMerge/>
            <w:tcBorders>
              <w:left w:val="single" w:sz="4" w:space="0" w:color="000000"/>
              <w:right w:val="single" w:sz="4" w:space="0" w:color="000000"/>
            </w:tcBorders>
            <w:shd w:val="clear" w:color="auto" w:fill="D2D2D2"/>
          </w:tcPr>
          <w:p>
            <w:pPr/>
          </w:p>
        </w:tc>
        <w:tc>
          <w:tcPr>
            <w:tcW w:w="120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以其他方式</w:t>
            </w:r>
          </w:p>
          <w:p>
            <w:pPr>
              <w:pStyle w:val="TableParagraph"/>
              <w:spacing w:line="319" w:lineRule="auto" w:before="76"/>
              <w:ind w:left="64" w:right="51"/>
              <w:jc w:val="center"/>
              <w:rPr>
                <w:rFonts w:ascii="宋体" w:hAnsi="宋体" w:cs="宋体" w:eastAsia="宋体" w:hint="default"/>
                <w:sz w:val="18"/>
                <w:szCs w:val="18"/>
              </w:rPr>
            </w:pPr>
            <w:r>
              <w:rPr>
                <w:rFonts w:ascii="宋体" w:hAnsi="宋体" w:cs="宋体" w:eastAsia="宋体" w:hint="default"/>
                <w:sz w:val="18"/>
                <w:szCs w:val="18"/>
              </w:rPr>
              <w:t>（如回购股 份）现金分红 的金额</w:t>
            </w:r>
          </w:p>
        </w:tc>
        <w:tc>
          <w:tcPr>
            <w:tcW w:w="1185" w:type="dxa"/>
            <w:vMerge/>
            <w:tcBorders>
              <w:left w:val="single" w:sz="4" w:space="0" w:color="000000"/>
              <w:right w:val="single" w:sz="4" w:space="0" w:color="000000"/>
            </w:tcBorders>
            <w:shd w:val="clear" w:color="auto" w:fill="D2D2D2"/>
          </w:tcPr>
          <w:p>
            <w:pPr/>
          </w:p>
        </w:tc>
        <w:tc>
          <w:tcPr>
            <w:tcW w:w="1207" w:type="dxa"/>
            <w:vMerge/>
            <w:tcBorders>
              <w:left w:val="single" w:sz="4" w:space="0" w:color="000000"/>
              <w:bottom w:val="nil" w:sz="6" w:space="0" w:color="auto"/>
              <w:right w:val="single" w:sz="4" w:space="0" w:color="000000"/>
            </w:tcBorders>
            <w:shd w:val="clear" w:color="auto" w:fill="D2D2D2"/>
          </w:tcPr>
          <w:p>
            <w:pPr/>
          </w:p>
        </w:tc>
        <w:tc>
          <w:tcPr>
            <w:tcW w:w="1184" w:type="dxa"/>
            <w:vMerge/>
            <w:tcBorders>
              <w:left w:val="single" w:sz="4" w:space="0" w:color="000000"/>
              <w:right w:val="single" w:sz="4" w:space="0" w:color="000000"/>
            </w:tcBorders>
            <w:shd w:val="clear" w:color="auto" w:fill="D2D2D2"/>
          </w:tcPr>
          <w:p>
            <w:pPr/>
          </w:p>
        </w:tc>
      </w:tr>
      <w:tr>
        <w:trPr>
          <w:trHeight w:val="156" w:hRule="exact"/>
        </w:trPr>
        <w:tc>
          <w:tcPr>
            <w:tcW w:w="1187" w:type="dxa"/>
            <w:vMerge/>
            <w:tcBorders>
              <w:left w:val="single" w:sz="4" w:space="0" w:color="000000"/>
              <w:right w:val="single" w:sz="4" w:space="0" w:color="000000"/>
            </w:tcBorders>
            <w:shd w:val="clear" w:color="auto" w:fill="D2D2D2"/>
          </w:tcPr>
          <w:p>
            <w:pPr/>
          </w:p>
        </w:tc>
        <w:tc>
          <w:tcPr>
            <w:tcW w:w="1194" w:type="dxa"/>
            <w:vMerge/>
            <w:tcBorders>
              <w:left w:val="single" w:sz="4" w:space="0" w:color="000000"/>
              <w:bottom w:val="nil" w:sz="6" w:space="0" w:color="auto"/>
              <w:right w:val="single" w:sz="4" w:space="0" w:color="000000"/>
            </w:tcBorders>
            <w:shd w:val="clear" w:color="auto" w:fill="D2D2D2"/>
          </w:tcPr>
          <w:p>
            <w:pPr/>
          </w:p>
        </w:tc>
        <w:tc>
          <w:tcPr>
            <w:tcW w:w="1196" w:type="dxa"/>
            <w:vMerge/>
            <w:tcBorders>
              <w:left w:val="single" w:sz="4" w:space="0" w:color="000000"/>
              <w:right w:val="single" w:sz="4" w:space="0" w:color="000000"/>
            </w:tcBorders>
            <w:shd w:val="clear" w:color="auto" w:fill="D2D2D2"/>
          </w:tcPr>
          <w:p>
            <w:pPr/>
          </w:p>
        </w:tc>
        <w:tc>
          <w:tcPr>
            <w:tcW w:w="1185" w:type="dxa"/>
            <w:vMerge/>
            <w:tcBorders>
              <w:left w:val="single" w:sz="4" w:space="0" w:color="000000"/>
              <w:right w:val="single" w:sz="4" w:space="0" w:color="000000"/>
            </w:tcBorders>
            <w:shd w:val="clear" w:color="auto" w:fill="D2D2D2"/>
          </w:tcPr>
          <w:p>
            <w:pPr/>
          </w:p>
        </w:tc>
        <w:tc>
          <w:tcPr>
            <w:tcW w:w="1208" w:type="dxa"/>
            <w:vMerge/>
            <w:tcBorders>
              <w:left w:val="single" w:sz="4" w:space="0" w:color="000000"/>
              <w:right w:val="single" w:sz="4" w:space="0" w:color="000000"/>
            </w:tcBorders>
            <w:shd w:val="clear" w:color="auto" w:fill="D2D2D2"/>
          </w:tcPr>
          <w:p>
            <w:pPr/>
          </w:p>
        </w:tc>
        <w:tc>
          <w:tcPr>
            <w:tcW w:w="1185" w:type="dxa"/>
            <w:vMerge/>
            <w:tcBorders>
              <w:left w:val="single" w:sz="4" w:space="0" w:color="000000"/>
              <w:right w:val="single" w:sz="4" w:space="0" w:color="000000"/>
            </w:tcBorders>
            <w:shd w:val="clear" w:color="auto" w:fill="D2D2D2"/>
          </w:tcPr>
          <w:p>
            <w:pPr/>
          </w:p>
        </w:tc>
        <w:tc>
          <w:tcPr>
            <w:tcW w:w="120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64" w:right="0"/>
              <w:jc w:val="left"/>
              <w:rPr>
                <w:rFonts w:ascii="宋体" w:hAnsi="宋体" w:cs="宋体" w:eastAsia="宋体" w:hint="default"/>
                <w:sz w:val="18"/>
                <w:szCs w:val="18"/>
              </w:rPr>
            </w:pPr>
            <w:r>
              <w:rPr>
                <w:rFonts w:ascii="宋体" w:hAnsi="宋体" w:cs="宋体" w:eastAsia="宋体" w:hint="default"/>
                <w:sz w:val="18"/>
                <w:szCs w:val="18"/>
              </w:rPr>
              <w:t>现金分红总额</w:t>
            </w:r>
          </w:p>
          <w:p>
            <w:pPr>
              <w:pStyle w:val="TableParagraph"/>
              <w:spacing w:line="319" w:lineRule="auto" w:before="76"/>
              <w:ind w:left="424" w:right="141" w:hanging="270"/>
              <w:jc w:val="left"/>
              <w:rPr>
                <w:rFonts w:ascii="宋体" w:hAnsi="宋体" w:cs="宋体" w:eastAsia="宋体" w:hint="default"/>
                <w:sz w:val="18"/>
                <w:szCs w:val="18"/>
              </w:rPr>
            </w:pPr>
            <w:r>
              <w:rPr>
                <w:rFonts w:ascii="宋体" w:hAnsi="宋体" w:cs="宋体" w:eastAsia="宋体" w:hint="default"/>
                <w:sz w:val="18"/>
                <w:szCs w:val="18"/>
              </w:rPr>
              <w:t>（含其他方 式）</w:t>
            </w:r>
          </w:p>
        </w:tc>
        <w:tc>
          <w:tcPr>
            <w:tcW w:w="1184" w:type="dxa"/>
            <w:vMerge/>
            <w:tcBorders>
              <w:left w:val="single" w:sz="4" w:space="0" w:color="000000"/>
              <w:right w:val="single" w:sz="4" w:space="0" w:color="000000"/>
            </w:tcBorders>
            <w:shd w:val="clear" w:color="auto" w:fill="D2D2D2"/>
          </w:tcPr>
          <w:p>
            <w:pPr/>
          </w:p>
        </w:tc>
      </w:tr>
      <w:tr>
        <w:trPr>
          <w:trHeight w:val="156" w:hRule="exact"/>
        </w:trPr>
        <w:tc>
          <w:tcPr>
            <w:tcW w:w="1187" w:type="dxa"/>
            <w:vMerge/>
            <w:tcBorders>
              <w:left w:val="single" w:sz="4" w:space="0" w:color="000000"/>
              <w:bottom w:val="nil" w:sz="6" w:space="0" w:color="auto"/>
              <w:right w:val="single" w:sz="4" w:space="0" w:color="000000"/>
            </w:tcBorders>
            <w:shd w:val="clear" w:color="auto" w:fill="D2D2D2"/>
          </w:tcPr>
          <w:p>
            <w:pPr/>
          </w:p>
        </w:tc>
        <w:tc>
          <w:tcPr>
            <w:tcW w:w="119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现金分红金额</w:t>
            </w:r>
          </w:p>
          <w:p>
            <w:pPr>
              <w:pStyle w:val="TableParagraph"/>
              <w:spacing w:line="240" w:lineRule="auto" w:before="77"/>
              <w:ind w:right="1"/>
              <w:jc w:val="center"/>
              <w:rPr>
                <w:rFonts w:ascii="宋体" w:hAnsi="宋体" w:cs="宋体" w:eastAsia="宋体" w:hint="default"/>
                <w:sz w:val="18"/>
                <w:szCs w:val="18"/>
              </w:rPr>
            </w:pPr>
            <w:r>
              <w:rPr>
                <w:rFonts w:ascii="宋体" w:hAnsi="宋体" w:cs="宋体" w:eastAsia="宋体" w:hint="default"/>
                <w:sz w:val="18"/>
                <w:szCs w:val="18"/>
              </w:rPr>
              <w:t>（含税）</w:t>
            </w:r>
          </w:p>
        </w:tc>
        <w:tc>
          <w:tcPr>
            <w:tcW w:w="1196" w:type="dxa"/>
            <w:vMerge/>
            <w:tcBorders>
              <w:left w:val="single" w:sz="4" w:space="0" w:color="000000"/>
              <w:right w:val="single" w:sz="4" w:space="0" w:color="000000"/>
            </w:tcBorders>
            <w:shd w:val="clear" w:color="auto" w:fill="D2D2D2"/>
          </w:tcPr>
          <w:p>
            <w:pPr/>
          </w:p>
        </w:tc>
        <w:tc>
          <w:tcPr>
            <w:tcW w:w="1185" w:type="dxa"/>
            <w:vMerge/>
            <w:tcBorders>
              <w:left w:val="single" w:sz="4" w:space="0" w:color="000000"/>
              <w:right w:val="single" w:sz="4" w:space="0" w:color="000000"/>
            </w:tcBorders>
            <w:shd w:val="clear" w:color="auto" w:fill="D2D2D2"/>
          </w:tcPr>
          <w:p>
            <w:pPr/>
          </w:p>
        </w:tc>
        <w:tc>
          <w:tcPr>
            <w:tcW w:w="1208" w:type="dxa"/>
            <w:vMerge/>
            <w:tcBorders>
              <w:left w:val="single" w:sz="4" w:space="0" w:color="000000"/>
              <w:right w:val="single" w:sz="4" w:space="0" w:color="000000"/>
            </w:tcBorders>
            <w:shd w:val="clear" w:color="auto" w:fill="D2D2D2"/>
          </w:tcPr>
          <w:p>
            <w:pPr/>
          </w:p>
        </w:tc>
        <w:tc>
          <w:tcPr>
            <w:tcW w:w="1185" w:type="dxa"/>
            <w:vMerge/>
            <w:tcBorders>
              <w:left w:val="single" w:sz="4" w:space="0" w:color="000000"/>
              <w:right w:val="single" w:sz="4" w:space="0" w:color="000000"/>
            </w:tcBorders>
            <w:shd w:val="clear" w:color="auto" w:fill="D2D2D2"/>
          </w:tcPr>
          <w:p>
            <w:pPr/>
          </w:p>
        </w:tc>
        <w:tc>
          <w:tcPr>
            <w:tcW w:w="1207" w:type="dxa"/>
            <w:vMerge/>
            <w:tcBorders>
              <w:left w:val="single" w:sz="4" w:space="0" w:color="000000"/>
              <w:right w:val="single" w:sz="4" w:space="0" w:color="000000"/>
            </w:tcBorders>
            <w:shd w:val="clear" w:color="auto" w:fill="D2D2D2"/>
          </w:tcPr>
          <w:p>
            <w:pPr/>
          </w:p>
        </w:tc>
        <w:tc>
          <w:tcPr>
            <w:tcW w:w="1184" w:type="dxa"/>
            <w:vMerge/>
            <w:tcBorders>
              <w:left w:val="single" w:sz="4" w:space="0" w:color="000000"/>
              <w:right w:val="single" w:sz="4" w:space="0" w:color="000000"/>
            </w:tcBorders>
            <w:shd w:val="clear" w:color="auto" w:fill="D2D2D2"/>
          </w:tcPr>
          <w:p>
            <w:pPr/>
          </w:p>
        </w:tc>
      </w:tr>
      <w:tr>
        <w:trPr>
          <w:trHeight w:val="392" w:hRule="exact"/>
        </w:trPr>
        <w:tc>
          <w:tcPr>
            <w:tcW w:w="118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221" w:right="0"/>
              <w:jc w:val="left"/>
              <w:rPr>
                <w:rFonts w:ascii="宋体" w:hAnsi="宋体" w:cs="宋体" w:eastAsia="宋体" w:hint="default"/>
                <w:sz w:val="18"/>
                <w:szCs w:val="18"/>
              </w:rPr>
            </w:pPr>
            <w:r>
              <w:rPr>
                <w:rFonts w:ascii="宋体" w:hAnsi="宋体" w:cs="宋体" w:eastAsia="宋体" w:hint="default"/>
                <w:sz w:val="18"/>
                <w:szCs w:val="18"/>
              </w:rPr>
              <w:t>分红年度</w:t>
            </w:r>
          </w:p>
        </w:tc>
        <w:tc>
          <w:tcPr>
            <w:tcW w:w="1194" w:type="dxa"/>
            <w:vMerge/>
            <w:tcBorders>
              <w:left w:val="single" w:sz="4" w:space="0" w:color="000000"/>
              <w:right w:val="single" w:sz="4" w:space="0" w:color="000000"/>
            </w:tcBorders>
            <w:shd w:val="clear" w:color="auto" w:fill="D2D2D2"/>
          </w:tcPr>
          <w:p>
            <w:pPr/>
          </w:p>
        </w:tc>
        <w:tc>
          <w:tcPr>
            <w:tcW w:w="1196" w:type="dxa"/>
            <w:vMerge/>
            <w:tcBorders>
              <w:left w:val="single" w:sz="4" w:space="0" w:color="000000"/>
              <w:right w:val="single" w:sz="4" w:space="0" w:color="000000"/>
            </w:tcBorders>
            <w:shd w:val="clear" w:color="auto" w:fill="D2D2D2"/>
          </w:tcPr>
          <w:p>
            <w:pPr/>
          </w:p>
        </w:tc>
        <w:tc>
          <w:tcPr>
            <w:tcW w:w="1185" w:type="dxa"/>
            <w:vMerge/>
            <w:tcBorders>
              <w:left w:val="single" w:sz="4" w:space="0" w:color="000000"/>
              <w:right w:val="single" w:sz="4" w:space="0" w:color="000000"/>
            </w:tcBorders>
            <w:shd w:val="clear" w:color="auto" w:fill="D2D2D2"/>
          </w:tcPr>
          <w:p>
            <w:pPr/>
          </w:p>
        </w:tc>
        <w:tc>
          <w:tcPr>
            <w:tcW w:w="1208" w:type="dxa"/>
            <w:vMerge/>
            <w:tcBorders>
              <w:left w:val="single" w:sz="4" w:space="0" w:color="000000"/>
              <w:right w:val="single" w:sz="4" w:space="0" w:color="000000"/>
            </w:tcBorders>
            <w:shd w:val="clear" w:color="auto" w:fill="D2D2D2"/>
          </w:tcPr>
          <w:p>
            <w:pPr/>
          </w:p>
        </w:tc>
        <w:tc>
          <w:tcPr>
            <w:tcW w:w="1185" w:type="dxa"/>
            <w:vMerge/>
            <w:tcBorders>
              <w:left w:val="single" w:sz="4" w:space="0" w:color="000000"/>
              <w:right w:val="single" w:sz="4" w:space="0" w:color="000000"/>
            </w:tcBorders>
            <w:shd w:val="clear" w:color="auto" w:fill="D2D2D2"/>
          </w:tcPr>
          <w:p>
            <w:pPr/>
          </w:p>
        </w:tc>
        <w:tc>
          <w:tcPr>
            <w:tcW w:w="1207" w:type="dxa"/>
            <w:vMerge/>
            <w:tcBorders>
              <w:left w:val="single" w:sz="4" w:space="0" w:color="000000"/>
              <w:right w:val="single" w:sz="4" w:space="0" w:color="000000"/>
            </w:tcBorders>
            <w:shd w:val="clear" w:color="auto" w:fill="D2D2D2"/>
          </w:tcPr>
          <w:p>
            <w:pPr/>
          </w:p>
        </w:tc>
        <w:tc>
          <w:tcPr>
            <w:tcW w:w="1184" w:type="dxa"/>
            <w:vMerge/>
            <w:tcBorders>
              <w:left w:val="single" w:sz="4" w:space="0" w:color="000000"/>
              <w:right w:val="single" w:sz="4" w:space="0" w:color="000000"/>
            </w:tcBorders>
            <w:shd w:val="clear" w:color="auto" w:fill="D2D2D2"/>
          </w:tcPr>
          <w:p>
            <w:pPr/>
          </w:p>
        </w:tc>
      </w:tr>
      <w:tr>
        <w:trPr>
          <w:trHeight w:val="156" w:hRule="exact"/>
        </w:trPr>
        <w:tc>
          <w:tcPr>
            <w:tcW w:w="1187" w:type="dxa"/>
            <w:vMerge w:val="restart"/>
            <w:tcBorders>
              <w:top w:val="nil" w:sz="6" w:space="0" w:color="auto"/>
              <w:left w:val="single" w:sz="4" w:space="0" w:color="000000"/>
              <w:right w:val="single" w:sz="4" w:space="0" w:color="000000"/>
            </w:tcBorders>
            <w:shd w:val="clear" w:color="auto" w:fill="D2D2D2"/>
          </w:tcPr>
          <w:p>
            <w:pPr/>
          </w:p>
        </w:tc>
        <w:tc>
          <w:tcPr>
            <w:tcW w:w="1194" w:type="dxa"/>
            <w:vMerge/>
            <w:tcBorders>
              <w:left w:val="single" w:sz="4" w:space="0" w:color="000000"/>
              <w:bottom w:val="nil" w:sz="6" w:space="0" w:color="auto"/>
              <w:right w:val="single" w:sz="4" w:space="0" w:color="000000"/>
            </w:tcBorders>
            <w:shd w:val="clear" w:color="auto" w:fill="D2D2D2"/>
          </w:tcPr>
          <w:p>
            <w:pPr/>
          </w:p>
        </w:tc>
        <w:tc>
          <w:tcPr>
            <w:tcW w:w="1196" w:type="dxa"/>
            <w:vMerge/>
            <w:tcBorders>
              <w:left w:val="single" w:sz="4" w:space="0" w:color="000000"/>
              <w:right w:val="single" w:sz="4" w:space="0" w:color="000000"/>
            </w:tcBorders>
            <w:shd w:val="clear" w:color="auto" w:fill="D2D2D2"/>
          </w:tcPr>
          <w:p>
            <w:pPr/>
          </w:p>
        </w:tc>
        <w:tc>
          <w:tcPr>
            <w:tcW w:w="1185" w:type="dxa"/>
            <w:vMerge/>
            <w:tcBorders>
              <w:left w:val="single" w:sz="4" w:space="0" w:color="000000"/>
              <w:right w:val="single" w:sz="4" w:space="0" w:color="000000"/>
            </w:tcBorders>
            <w:shd w:val="clear" w:color="auto" w:fill="D2D2D2"/>
          </w:tcPr>
          <w:p>
            <w:pPr/>
          </w:p>
        </w:tc>
        <w:tc>
          <w:tcPr>
            <w:tcW w:w="1208" w:type="dxa"/>
            <w:vMerge/>
            <w:tcBorders>
              <w:left w:val="single" w:sz="4" w:space="0" w:color="000000"/>
              <w:right w:val="single" w:sz="4" w:space="0" w:color="000000"/>
            </w:tcBorders>
            <w:shd w:val="clear" w:color="auto" w:fill="D2D2D2"/>
          </w:tcPr>
          <w:p>
            <w:pPr/>
          </w:p>
        </w:tc>
        <w:tc>
          <w:tcPr>
            <w:tcW w:w="1185" w:type="dxa"/>
            <w:vMerge/>
            <w:tcBorders>
              <w:left w:val="single" w:sz="4" w:space="0" w:color="000000"/>
              <w:right w:val="single" w:sz="4" w:space="0" w:color="000000"/>
            </w:tcBorders>
            <w:shd w:val="clear" w:color="auto" w:fill="D2D2D2"/>
          </w:tcPr>
          <w:p>
            <w:pPr/>
          </w:p>
        </w:tc>
        <w:tc>
          <w:tcPr>
            <w:tcW w:w="1207" w:type="dxa"/>
            <w:vMerge/>
            <w:tcBorders>
              <w:left w:val="single" w:sz="4" w:space="0" w:color="000000"/>
              <w:right w:val="single" w:sz="4" w:space="0" w:color="000000"/>
            </w:tcBorders>
            <w:shd w:val="clear" w:color="auto" w:fill="D2D2D2"/>
          </w:tcPr>
          <w:p>
            <w:pPr/>
          </w:p>
        </w:tc>
        <w:tc>
          <w:tcPr>
            <w:tcW w:w="1184" w:type="dxa"/>
            <w:vMerge/>
            <w:tcBorders>
              <w:left w:val="single" w:sz="4" w:space="0" w:color="000000"/>
              <w:right w:val="single" w:sz="4" w:space="0" w:color="000000"/>
            </w:tcBorders>
            <w:shd w:val="clear" w:color="auto" w:fill="D2D2D2"/>
          </w:tcPr>
          <w:p>
            <w:pPr/>
          </w:p>
        </w:tc>
      </w:tr>
      <w:tr>
        <w:trPr>
          <w:trHeight w:val="156" w:hRule="exact"/>
        </w:trPr>
        <w:tc>
          <w:tcPr>
            <w:tcW w:w="1187" w:type="dxa"/>
            <w:vMerge/>
            <w:tcBorders>
              <w:left w:val="single" w:sz="4" w:space="0" w:color="000000"/>
              <w:right w:val="single" w:sz="4" w:space="0" w:color="000000"/>
            </w:tcBorders>
            <w:shd w:val="clear" w:color="auto" w:fill="D2D2D2"/>
          </w:tcPr>
          <w:p>
            <w:pPr/>
          </w:p>
        </w:tc>
        <w:tc>
          <w:tcPr>
            <w:tcW w:w="1194" w:type="dxa"/>
            <w:vMerge w:val="restart"/>
            <w:tcBorders>
              <w:top w:val="nil" w:sz="6" w:space="0" w:color="auto"/>
              <w:left w:val="single" w:sz="4" w:space="0" w:color="000000"/>
              <w:right w:val="single" w:sz="4" w:space="0" w:color="000000"/>
            </w:tcBorders>
            <w:shd w:val="clear" w:color="auto" w:fill="D2D2D2"/>
          </w:tcPr>
          <w:p>
            <w:pPr/>
          </w:p>
        </w:tc>
        <w:tc>
          <w:tcPr>
            <w:tcW w:w="1196" w:type="dxa"/>
            <w:vMerge/>
            <w:tcBorders>
              <w:left w:val="single" w:sz="4" w:space="0" w:color="000000"/>
              <w:right w:val="single" w:sz="4" w:space="0" w:color="000000"/>
            </w:tcBorders>
            <w:shd w:val="clear" w:color="auto" w:fill="D2D2D2"/>
          </w:tcPr>
          <w:p>
            <w:pPr/>
          </w:p>
        </w:tc>
        <w:tc>
          <w:tcPr>
            <w:tcW w:w="1185" w:type="dxa"/>
            <w:vMerge/>
            <w:tcBorders>
              <w:left w:val="single" w:sz="4" w:space="0" w:color="000000"/>
              <w:right w:val="single" w:sz="4" w:space="0" w:color="000000"/>
            </w:tcBorders>
            <w:shd w:val="clear" w:color="auto" w:fill="D2D2D2"/>
          </w:tcPr>
          <w:p>
            <w:pPr/>
          </w:p>
        </w:tc>
        <w:tc>
          <w:tcPr>
            <w:tcW w:w="1208" w:type="dxa"/>
            <w:vMerge/>
            <w:tcBorders>
              <w:left w:val="single" w:sz="4" w:space="0" w:color="000000"/>
              <w:right w:val="single" w:sz="4" w:space="0" w:color="000000"/>
            </w:tcBorders>
            <w:shd w:val="clear" w:color="auto" w:fill="D2D2D2"/>
          </w:tcPr>
          <w:p>
            <w:pPr/>
          </w:p>
        </w:tc>
        <w:tc>
          <w:tcPr>
            <w:tcW w:w="1185" w:type="dxa"/>
            <w:vMerge/>
            <w:tcBorders>
              <w:left w:val="single" w:sz="4" w:space="0" w:color="000000"/>
              <w:right w:val="single" w:sz="4" w:space="0" w:color="000000"/>
            </w:tcBorders>
            <w:shd w:val="clear" w:color="auto" w:fill="D2D2D2"/>
          </w:tcPr>
          <w:p>
            <w:pPr/>
          </w:p>
        </w:tc>
        <w:tc>
          <w:tcPr>
            <w:tcW w:w="1207" w:type="dxa"/>
            <w:vMerge/>
            <w:tcBorders>
              <w:left w:val="single" w:sz="4" w:space="0" w:color="000000"/>
              <w:bottom w:val="nil" w:sz="6" w:space="0" w:color="auto"/>
              <w:right w:val="single" w:sz="4" w:space="0" w:color="000000"/>
            </w:tcBorders>
            <w:shd w:val="clear" w:color="auto" w:fill="D2D2D2"/>
          </w:tcPr>
          <w:p>
            <w:pPr/>
          </w:p>
        </w:tc>
        <w:tc>
          <w:tcPr>
            <w:tcW w:w="1184" w:type="dxa"/>
            <w:vMerge/>
            <w:tcBorders>
              <w:left w:val="single" w:sz="4" w:space="0" w:color="000000"/>
              <w:right w:val="single" w:sz="4" w:space="0" w:color="000000"/>
            </w:tcBorders>
            <w:shd w:val="clear" w:color="auto" w:fill="D2D2D2"/>
          </w:tcPr>
          <w:p>
            <w:pPr/>
          </w:p>
        </w:tc>
      </w:tr>
      <w:tr>
        <w:trPr>
          <w:trHeight w:val="156" w:hRule="exact"/>
        </w:trPr>
        <w:tc>
          <w:tcPr>
            <w:tcW w:w="1187" w:type="dxa"/>
            <w:vMerge/>
            <w:tcBorders>
              <w:left w:val="single" w:sz="4" w:space="0" w:color="000000"/>
              <w:right w:val="single" w:sz="4" w:space="0" w:color="000000"/>
            </w:tcBorders>
            <w:shd w:val="clear" w:color="auto" w:fill="D2D2D2"/>
          </w:tcPr>
          <w:p>
            <w:pPr/>
          </w:p>
        </w:tc>
        <w:tc>
          <w:tcPr>
            <w:tcW w:w="1194" w:type="dxa"/>
            <w:vMerge/>
            <w:tcBorders>
              <w:left w:val="single" w:sz="4" w:space="0" w:color="000000"/>
              <w:right w:val="single" w:sz="4" w:space="0" w:color="000000"/>
            </w:tcBorders>
            <w:shd w:val="clear" w:color="auto" w:fill="D2D2D2"/>
          </w:tcPr>
          <w:p>
            <w:pPr/>
          </w:p>
        </w:tc>
        <w:tc>
          <w:tcPr>
            <w:tcW w:w="1196" w:type="dxa"/>
            <w:vMerge/>
            <w:tcBorders>
              <w:left w:val="single" w:sz="4" w:space="0" w:color="000000"/>
              <w:right w:val="single" w:sz="4" w:space="0" w:color="000000"/>
            </w:tcBorders>
            <w:shd w:val="clear" w:color="auto" w:fill="D2D2D2"/>
          </w:tcPr>
          <w:p>
            <w:pPr/>
          </w:p>
        </w:tc>
        <w:tc>
          <w:tcPr>
            <w:tcW w:w="1185" w:type="dxa"/>
            <w:vMerge/>
            <w:tcBorders>
              <w:left w:val="single" w:sz="4" w:space="0" w:color="000000"/>
              <w:right w:val="single" w:sz="4" w:space="0" w:color="000000"/>
            </w:tcBorders>
            <w:shd w:val="clear" w:color="auto" w:fill="D2D2D2"/>
          </w:tcPr>
          <w:p>
            <w:pPr/>
          </w:p>
        </w:tc>
        <w:tc>
          <w:tcPr>
            <w:tcW w:w="1208" w:type="dxa"/>
            <w:vMerge/>
            <w:tcBorders>
              <w:left w:val="single" w:sz="4" w:space="0" w:color="000000"/>
              <w:bottom w:val="nil" w:sz="6" w:space="0" w:color="auto"/>
              <w:right w:val="single" w:sz="4" w:space="0" w:color="000000"/>
            </w:tcBorders>
            <w:shd w:val="clear" w:color="auto" w:fill="D2D2D2"/>
          </w:tcPr>
          <w:p>
            <w:pPr/>
          </w:p>
        </w:tc>
        <w:tc>
          <w:tcPr>
            <w:tcW w:w="1185" w:type="dxa"/>
            <w:vMerge/>
            <w:tcBorders>
              <w:left w:val="single" w:sz="4" w:space="0" w:color="000000"/>
              <w:right w:val="single" w:sz="4" w:space="0" w:color="000000"/>
            </w:tcBorders>
            <w:shd w:val="clear" w:color="auto" w:fill="D2D2D2"/>
          </w:tcPr>
          <w:p>
            <w:pPr/>
          </w:p>
        </w:tc>
        <w:tc>
          <w:tcPr>
            <w:tcW w:w="1207" w:type="dxa"/>
            <w:vMerge w:val="restart"/>
            <w:tcBorders>
              <w:top w:val="nil" w:sz="6" w:space="0" w:color="auto"/>
              <w:left w:val="single" w:sz="4" w:space="0" w:color="000000"/>
              <w:right w:val="single" w:sz="4" w:space="0" w:color="000000"/>
            </w:tcBorders>
            <w:shd w:val="clear" w:color="auto" w:fill="D2D2D2"/>
          </w:tcPr>
          <w:p>
            <w:pPr/>
          </w:p>
        </w:tc>
        <w:tc>
          <w:tcPr>
            <w:tcW w:w="1184" w:type="dxa"/>
            <w:vMerge/>
            <w:tcBorders>
              <w:left w:val="single" w:sz="4" w:space="0" w:color="000000"/>
              <w:right w:val="single" w:sz="4" w:space="0" w:color="000000"/>
            </w:tcBorders>
            <w:shd w:val="clear" w:color="auto" w:fill="D2D2D2"/>
          </w:tcPr>
          <w:p>
            <w:pPr/>
          </w:p>
        </w:tc>
      </w:tr>
      <w:tr>
        <w:trPr>
          <w:trHeight w:val="156" w:hRule="exact"/>
        </w:trPr>
        <w:tc>
          <w:tcPr>
            <w:tcW w:w="1187" w:type="dxa"/>
            <w:vMerge/>
            <w:tcBorders>
              <w:left w:val="single" w:sz="4" w:space="0" w:color="000000"/>
              <w:right w:val="single" w:sz="4" w:space="0" w:color="000000"/>
            </w:tcBorders>
            <w:shd w:val="clear" w:color="auto" w:fill="D2D2D2"/>
          </w:tcPr>
          <w:p>
            <w:pPr/>
          </w:p>
        </w:tc>
        <w:tc>
          <w:tcPr>
            <w:tcW w:w="1194" w:type="dxa"/>
            <w:vMerge/>
            <w:tcBorders>
              <w:left w:val="single" w:sz="4" w:space="0" w:color="000000"/>
              <w:right w:val="single" w:sz="4" w:space="0" w:color="000000"/>
            </w:tcBorders>
            <w:shd w:val="clear" w:color="auto" w:fill="D2D2D2"/>
          </w:tcPr>
          <w:p>
            <w:pPr/>
          </w:p>
        </w:tc>
        <w:tc>
          <w:tcPr>
            <w:tcW w:w="1196" w:type="dxa"/>
            <w:vMerge/>
            <w:tcBorders>
              <w:left w:val="single" w:sz="4" w:space="0" w:color="000000"/>
              <w:bottom w:val="nil" w:sz="6" w:space="0" w:color="auto"/>
              <w:right w:val="single" w:sz="4" w:space="0" w:color="000000"/>
            </w:tcBorders>
            <w:shd w:val="clear" w:color="auto" w:fill="D2D2D2"/>
          </w:tcPr>
          <w:p>
            <w:pPr/>
          </w:p>
        </w:tc>
        <w:tc>
          <w:tcPr>
            <w:tcW w:w="1185" w:type="dxa"/>
            <w:vMerge/>
            <w:tcBorders>
              <w:left w:val="single" w:sz="4" w:space="0" w:color="000000"/>
              <w:right w:val="single" w:sz="4" w:space="0" w:color="000000"/>
            </w:tcBorders>
            <w:shd w:val="clear" w:color="auto" w:fill="D2D2D2"/>
          </w:tcPr>
          <w:p>
            <w:pPr/>
          </w:p>
        </w:tc>
        <w:tc>
          <w:tcPr>
            <w:tcW w:w="1208" w:type="dxa"/>
            <w:vMerge w:val="restart"/>
            <w:tcBorders>
              <w:top w:val="nil" w:sz="6" w:space="0" w:color="auto"/>
              <w:left w:val="single" w:sz="4" w:space="0" w:color="000000"/>
              <w:right w:val="single" w:sz="4" w:space="0" w:color="000000"/>
            </w:tcBorders>
            <w:shd w:val="clear" w:color="auto" w:fill="D2D2D2"/>
          </w:tcPr>
          <w:p>
            <w:pPr/>
          </w:p>
        </w:tc>
        <w:tc>
          <w:tcPr>
            <w:tcW w:w="1185" w:type="dxa"/>
            <w:vMerge/>
            <w:tcBorders>
              <w:left w:val="single" w:sz="4" w:space="0" w:color="000000"/>
              <w:right w:val="single" w:sz="4" w:space="0" w:color="000000"/>
            </w:tcBorders>
            <w:shd w:val="clear" w:color="auto" w:fill="D2D2D2"/>
          </w:tcPr>
          <w:p>
            <w:pPr/>
          </w:p>
        </w:tc>
        <w:tc>
          <w:tcPr>
            <w:tcW w:w="1207" w:type="dxa"/>
            <w:vMerge/>
            <w:tcBorders>
              <w:left w:val="single" w:sz="4" w:space="0" w:color="000000"/>
              <w:right w:val="single" w:sz="4" w:space="0" w:color="000000"/>
            </w:tcBorders>
            <w:shd w:val="clear" w:color="auto" w:fill="D2D2D2"/>
          </w:tcPr>
          <w:p>
            <w:pPr/>
          </w:p>
        </w:tc>
        <w:tc>
          <w:tcPr>
            <w:tcW w:w="1184" w:type="dxa"/>
            <w:vMerge/>
            <w:tcBorders>
              <w:left w:val="single" w:sz="4" w:space="0" w:color="000000"/>
              <w:right w:val="single" w:sz="4" w:space="0" w:color="000000"/>
            </w:tcBorders>
            <w:shd w:val="clear" w:color="auto" w:fill="D2D2D2"/>
          </w:tcPr>
          <w:p>
            <w:pPr/>
          </w:p>
        </w:tc>
      </w:tr>
      <w:tr>
        <w:trPr>
          <w:trHeight w:val="156" w:hRule="exact"/>
        </w:trPr>
        <w:tc>
          <w:tcPr>
            <w:tcW w:w="1187" w:type="dxa"/>
            <w:vMerge/>
            <w:tcBorders>
              <w:left w:val="single" w:sz="4" w:space="0" w:color="000000"/>
              <w:right w:val="single" w:sz="4" w:space="0" w:color="000000"/>
            </w:tcBorders>
            <w:shd w:val="clear" w:color="auto" w:fill="D2D2D2"/>
          </w:tcPr>
          <w:p>
            <w:pPr/>
          </w:p>
        </w:tc>
        <w:tc>
          <w:tcPr>
            <w:tcW w:w="1194" w:type="dxa"/>
            <w:vMerge/>
            <w:tcBorders>
              <w:left w:val="single" w:sz="4" w:space="0" w:color="000000"/>
              <w:right w:val="single" w:sz="4" w:space="0" w:color="000000"/>
            </w:tcBorders>
            <w:shd w:val="clear" w:color="auto" w:fill="D2D2D2"/>
          </w:tcPr>
          <w:p>
            <w:pPr/>
          </w:p>
        </w:tc>
        <w:tc>
          <w:tcPr>
            <w:tcW w:w="1196" w:type="dxa"/>
            <w:vMerge w:val="restart"/>
            <w:tcBorders>
              <w:top w:val="nil" w:sz="6" w:space="0" w:color="auto"/>
              <w:left w:val="single" w:sz="4" w:space="0" w:color="000000"/>
              <w:right w:val="single" w:sz="4" w:space="0" w:color="000000"/>
            </w:tcBorders>
            <w:shd w:val="clear" w:color="auto" w:fill="D2D2D2"/>
          </w:tcPr>
          <w:p>
            <w:pPr/>
          </w:p>
        </w:tc>
        <w:tc>
          <w:tcPr>
            <w:tcW w:w="1185" w:type="dxa"/>
            <w:vMerge/>
            <w:tcBorders>
              <w:left w:val="single" w:sz="4" w:space="0" w:color="000000"/>
              <w:bottom w:val="nil" w:sz="6" w:space="0" w:color="auto"/>
              <w:right w:val="single" w:sz="4" w:space="0" w:color="000000"/>
            </w:tcBorders>
            <w:shd w:val="clear" w:color="auto" w:fill="D2D2D2"/>
          </w:tcPr>
          <w:p>
            <w:pPr/>
          </w:p>
        </w:tc>
        <w:tc>
          <w:tcPr>
            <w:tcW w:w="1208" w:type="dxa"/>
            <w:vMerge/>
            <w:tcBorders>
              <w:left w:val="single" w:sz="4" w:space="0" w:color="000000"/>
              <w:right w:val="single" w:sz="4" w:space="0" w:color="000000"/>
            </w:tcBorders>
            <w:shd w:val="clear" w:color="auto" w:fill="D2D2D2"/>
          </w:tcPr>
          <w:p>
            <w:pPr/>
          </w:p>
        </w:tc>
        <w:tc>
          <w:tcPr>
            <w:tcW w:w="1185" w:type="dxa"/>
            <w:vMerge/>
            <w:tcBorders>
              <w:left w:val="single" w:sz="4" w:space="0" w:color="000000"/>
              <w:bottom w:val="nil" w:sz="6" w:space="0" w:color="auto"/>
              <w:right w:val="single" w:sz="4" w:space="0" w:color="000000"/>
            </w:tcBorders>
            <w:shd w:val="clear" w:color="auto" w:fill="D2D2D2"/>
          </w:tcPr>
          <w:p>
            <w:pPr/>
          </w:p>
        </w:tc>
        <w:tc>
          <w:tcPr>
            <w:tcW w:w="1207" w:type="dxa"/>
            <w:vMerge/>
            <w:tcBorders>
              <w:left w:val="single" w:sz="4" w:space="0" w:color="000000"/>
              <w:right w:val="single" w:sz="4" w:space="0" w:color="000000"/>
            </w:tcBorders>
            <w:shd w:val="clear" w:color="auto" w:fill="D2D2D2"/>
          </w:tcPr>
          <w:p>
            <w:pPr/>
          </w:p>
        </w:tc>
        <w:tc>
          <w:tcPr>
            <w:tcW w:w="1184" w:type="dxa"/>
            <w:vMerge/>
            <w:tcBorders>
              <w:left w:val="single" w:sz="4" w:space="0" w:color="000000"/>
              <w:right w:val="single" w:sz="4" w:space="0" w:color="000000"/>
            </w:tcBorders>
            <w:shd w:val="clear" w:color="auto" w:fill="D2D2D2"/>
          </w:tcPr>
          <w:p>
            <w:pPr/>
          </w:p>
        </w:tc>
      </w:tr>
      <w:tr>
        <w:trPr>
          <w:trHeight w:val="161" w:hRule="exact"/>
        </w:trPr>
        <w:tc>
          <w:tcPr>
            <w:tcW w:w="1187" w:type="dxa"/>
            <w:vMerge/>
            <w:tcBorders>
              <w:left w:val="single" w:sz="4" w:space="0" w:color="000000"/>
              <w:bottom w:val="single" w:sz="4" w:space="0" w:color="000000"/>
              <w:right w:val="single" w:sz="4" w:space="0" w:color="000000"/>
            </w:tcBorders>
            <w:shd w:val="clear" w:color="auto" w:fill="D2D2D2"/>
          </w:tcPr>
          <w:p>
            <w:pPr/>
          </w:p>
        </w:tc>
        <w:tc>
          <w:tcPr>
            <w:tcW w:w="1194" w:type="dxa"/>
            <w:vMerge/>
            <w:tcBorders>
              <w:left w:val="single" w:sz="4" w:space="0" w:color="000000"/>
              <w:bottom w:val="single" w:sz="4" w:space="0" w:color="000000"/>
              <w:right w:val="single" w:sz="4" w:space="0" w:color="000000"/>
            </w:tcBorders>
            <w:shd w:val="clear" w:color="auto" w:fill="D2D2D2"/>
          </w:tcPr>
          <w:p>
            <w:pPr/>
          </w:p>
        </w:tc>
        <w:tc>
          <w:tcPr>
            <w:tcW w:w="1196" w:type="dxa"/>
            <w:vMerge/>
            <w:tcBorders>
              <w:left w:val="single" w:sz="4" w:space="0" w:color="000000"/>
              <w:bottom w:val="single" w:sz="4" w:space="0" w:color="000000"/>
              <w:right w:val="single" w:sz="4" w:space="0" w:color="000000"/>
            </w:tcBorders>
            <w:shd w:val="clear" w:color="auto" w:fill="D2D2D2"/>
          </w:tcPr>
          <w:p>
            <w:pPr/>
          </w:p>
        </w:tc>
        <w:tc>
          <w:tcPr>
            <w:tcW w:w="1185" w:type="dxa"/>
            <w:tcBorders>
              <w:top w:val="nil" w:sz="6" w:space="0" w:color="auto"/>
              <w:left w:val="single" w:sz="4" w:space="0" w:color="000000"/>
              <w:bottom w:val="single" w:sz="4" w:space="0" w:color="000000"/>
              <w:right w:val="single" w:sz="4" w:space="0" w:color="000000"/>
            </w:tcBorders>
            <w:shd w:val="clear" w:color="auto" w:fill="D2D2D2"/>
          </w:tcPr>
          <w:p>
            <w:pPr/>
          </w:p>
        </w:tc>
        <w:tc>
          <w:tcPr>
            <w:tcW w:w="1208" w:type="dxa"/>
            <w:vMerge/>
            <w:tcBorders>
              <w:left w:val="single" w:sz="4" w:space="0" w:color="000000"/>
              <w:bottom w:val="single" w:sz="4" w:space="0" w:color="000000"/>
              <w:right w:val="single" w:sz="4" w:space="0" w:color="000000"/>
            </w:tcBorders>
            <w:shd w:val="clear" w:color="auto" w:fill="D2D2D2"/>
          </w:tcPr>
          <w:p>
            <w:pPr/>
          </w:p>
        </w:tc>
        <w:tc>
          <w:tcPr>
            <w:tcW w:w="1185" w:type="dxa"/>
            <w:tcBorders>
              <w:top w:val="nil" w:sz="6" w:space="0" w:color="auto"/>
              <w:left w:val="single" w:sz="4" w:space="0" w:color="000000"/>
              <w:bottom w:val="single" w:sz="4" w:space="0" w:color="000000"/>
              <w:right w:val="single" w:sz="4" w:space="0" w:color="000000"/>
            </w:tcBorders>
            <w:shd w:val="clear" w:color="auto" w:fill="D2D2D2"/>
          </w:tcPr>
          <w:p>
            <w:pPr/>
          </w:p>
        </w:tc>
        <w:tc>
          <w:tcPr>
            <w:tcW w:w="1207" w:type="dxa"/>
            <w:vMerge/>
            <w:tcBorders>
              <w:left w:val="single" w:sz="4" w:space="0" w:color="000000"/>
              <w:bottom w:val="single" w:sz="4" w:space="0" w:color="000000"/>
              <w:right w:val="single" w:sz="4" w:space="0" w:color="000000"/>
            </w:tcBorders>
            <w:shd w:val="clear" w:color="auto" w:fill="D2D2D2"/>
          </w:tcPr>
          <w:p>
            <w:pPr/>
          </w:p>
        </w:tc>
        <w:tc>
          <w:tcPr>
            <w:tcW w:w="1184"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19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19,243,699.80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96,112,608.43</w:t>
            </w:r>
          </w:p>
        </w:tc>
        <w:tc>
          <w:tcPr>
            <w:tcW w:w="1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
              <w:jc w:val="right"/>
              <w:rPr>
                <w:rFonts w:ascii="Times New Roman" w:hAnsi="Times New Roman" w:cs="Times New Roman" w:eastAsia="Times New Roman" w:hint="default"/>
                <w:sz w:val="18"/>
                <w:szCs w:val="18"/>
              </w:rPr>
            </w:pPr>
            <w:r>
              <w:rPr>
                <w:rFonts w:ascii="Times New Roman"/>
                <w:sz w:val="18"/>
              </w:rPr>
              <w:t>20.02%</w:t>
            </w:r>
          </w:p>
        </w:tc>
        <w:tc>
          <w:tcPr>
            <w:tcW w:w="1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0.00</w:t>
            </w:r>
          </w:p>
        </w:tc>
        <w:tc>
          <w:tcPr>
            <w:tcW w:w="1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8"/>
              <w:jc w:val="right"/>
              <w:rPr>
                <w:rFonts w:ascii="Times New Roman" w:hAnsi="Times New Roman" w:cs="Times New Roman" w:eastAsia="Times New Roman" w:hint="default"/>
                <w:sz w:val="18"/>
                <w:szCs w:val="18"/>
              </w:rPr>
            </w:pPr>
            <w:r>
              <w:rPr>
                <w:rFonts w:ascii="Times New Roman"/>
                <w:sz w:val="18"/>
              </w:rPr>
              <w:t>0.00%</w:t>
            </w:r>
          </w:p>
        </w:tc>
        <w:tc>
          <w:tcPr>
            <w:tcW w:w="12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19,243,699.80</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8"/>
              <w:jc w:val="right"/>
              <w:rPr>
                <w:rFonts w:ascii="Times New Roman" w:hAnsi="Times New Roman" w:cs="Times New Roman" w:eastAsia="Times New Roman" w:hint="default"/>
                <w:sz w:val="18"/>
                <w:szCs w:val="18"/>
              </w:rPr>
            </w:pPr>
            <w:r>
              <w:rPr>
                <w:rFonts w:ascii="Times New Roman"/>
                <w:sz w:val="18"/>
              </w:rPr>
              <w:t>20.02%</w:t>
            </w:r>
          </w:p>
        </w:tc>
      </w:tr>
      <w:tr>
        <w:trPr>
          <w:trHeight w:val="402" w:hRule="exact"/>
        </w:trPr>
        <w:tc>
          <w:tcPr>
            <w:tcW w:w="1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19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19,468,530.06</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119,671,217.16</w:t>
            </w:r>
          </w:p>
        </w:tc>
        <w:tc>
          <w:tcPr>
            <w:tcW w:w="1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
              <w:jc w:val="right"/>
              <w:rPr>
                <w:rFonts w:ascii="Times New Roman" w:hAnsi="Times New Roman" w:cs="Times New Roman" w:eastAsia="Times New Roman" w:hint="default"/>
                <w:sz w:val="18"/>
                <w:szCs w:val="18"/>
              </w:rPr>
            </w:pPr>
            <w:r>
              <w:rPr>
                <w:rFonts w:ascii="Times New Roman"/>
                <w:sz w:val="18"/>
              </w:rPr>
              <w:t>16.27%</w:t>
            </w:r>
          </w:p>
        </w:tc>
        <w:tc>
          <w:tcPr>
            <w:tcW w:w="1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0.00</w:t>
            </w:r>
          </w:p>
        </w:tc>
        <w:tc>
          <w:tcPr>
            <w:tcW w:w="1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8"/>
              <w:jc w:val="right"/>
              <w:rPr>
                <w:rFonts w:ascii="Times New Roman" w:hAnsi="Times New Roman" w:cs="Times New Roman" w:eastAsia="Times New Roman" w:hint="default"/>
                <w:sz w:val="18"/>
                <w:szCs w:val="18"/>
              </w:rPr>
            </w:pPr>
            <w:r>
              <w:rPr>
                <w:rFonts w:ascii="Times New Roman"/>
                <w:sz w:val="18"/>
              </w:rPr>
              <w:t>0.00%</w:t>
            </w:r>
          </w:p>
        </w:tc>
        <w:tc>
          <w:tcPr>
            <w:tcW w:w="12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19,468,530.06</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8"/>
              <w:jc w:val="right"/>
              <w:rPr>
                <w:rFonts w:ascii="Times New Roman" w:hAnsi="Times New Roman" w:cs="Times New Roman" w:eastAsia="Times New Roman" w:hint="default"/>
                <w:sz w:val="18"/>
                <w:szCs w:val="18"/>
              </w:rPr>
            </w:pPr>
            <w:r>
              <w:rPr>
                <w:rFonts w:ascii="Times New Roman"/>
                <w:sz w:val="18"/>
              </w:rPr>
              <w:t>16.27%</w:t>
            </w:r>
          </w:p>
        </w:tc>
      </w:tr>
      <w:tr>
        <w:trPr>
          <w:trHeight w:val="402" w:hRule="exact"/>
        </w:trPr>
        <w:tc>
          <w:tcPr>
            <w:tcW w:w="1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19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17,854,336.56</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84,850,220.15</w:t>
            </w:r>
          </w:p>
        </w:tc>
        <w:tc>
          <w:tcPr>
            <w:tcW w:w="1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
              <w:jc w:val="right"/>
              <w:rPr>
                <w:rFonts w:ascii="Times New Roman" w:hAnsi="Times New Roman" w:cs="Times New Roman" w:eastAsia="Times New Roman" w:hint="default"/>
                <w:sz w:val="18"/>
                <w:szCs w:val="18"/>
              </w:rPr>
            </w:pPr>
            <w:r>
              <w:rPr>
                <w:rFonts w:ascii="Times New Roman"/>
                <w:sz w:val="18"/>
              </w:rPr>
              <w:t>21.04%</w:t>
            </w:r>
          </w:p>
        </w:tc>
        <w:tc>
          <w:tcPr>
            <w:tcW w:w="1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0.00</w:t>
            </w:r>
          </w:p>
        </w:tc>
        <w:tc>
          <w:tcPr>
            <w:tcW w:w="1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8"/>
              <w:jc w:val="right"/>
              <w:rPr>
                <w:rFonts w:ascii="Times New Roman" w:hAnsi="Times New Roman" w:cs="Times New Roman" w:eastAsia="Times New Roman" w:hint="default"/>
                <w:sz w:val="18"/>
                <w:szCs w:val="18"/>
              </w:rPr>
            </w:pPr>
            <w:r>
              <w:rPr>
                <w:rFonts w:ascii="Times New Roman"/>
                <w:sz w:val="18"/>
              </w:rPr>
              <w:t>0.00%</w:t>
            </w:r>
          </w:p>
        </w:tc>
        <w:tc>
          <w:tcPr>
            <w:tcW w:w="12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17,854,336.56</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8"/>
              <w:jc w:val="right"/>
              <w:rPr>
                <w:rFonts w:ascii="Times New Roman" w:hAnsi="Times New Roman" w:cs="Times New Roman" w:eastAsia="Times New Roman" w:hint="default"/>
                <w:sz w:val="18"/>
                <w:szCs w:val="18"/>
              </w:rPr>
            </w:pPr>
            <w:r>
              <w:rPr>
                <w:rFonts w:ascii="Times New Roman"/>
                <w:sz w:val="18"/>
              </w:rPr>
              <w:t>21.04%</w:t>
            </w:r>
          </w:p>
        </w:tc>
      </w:tr>
    </w:tbl>
    <w:p>
      <w:pPr>
        <w:spacing w:before="51"/>
        <w:ind w:left="154" w:right="1117" w:firstLine="0"/>
        <w:jc w:val="left"/>
        <w:rPr>
          <w:rFonts w:ascii="宋体" w:hAnsi="宋体" w:cs="宋体" w:eastAsia="宋体" w:hint="default"/>
          <w:sz w:val="18"/>
          <w:szCs w:val="18"/>
        </w:rPr>
      </w:pPr>
      <w:r>
        <w:rPr>
          <w:rFonts w:ascii="宋体" w:hAnsi="宋体" w:cs="宋体" w:eastAsia="宋体" w:hint="default"/>
          <w:sz w:val="18"/>
          <w:szCs w:val="18"/>
        </w:rPr>
        <w:t>公司报告期内盈利且母公司可供普通股股东分配利润为正但未提出普通股现金红利分配预案</w:t>
      </w:r>
    </w:p>
    <w:p>
      <w:pPr>
        <w:spacing w:before="117"/>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after="0"/>
        <w:jc w:val="left"/>
        <w:rPr>
          <w:rFonts w:ascii="宋体" w:hAnsi="宋体" w:cs="宋体" w:eastAsia="宋体" w:hint="default"/>
          <w:sz w:val="18"/>
          <w:szCs w:val="18"/>
        </w:rPr>
        <w:sectPr>
          <w:pgSz w:w="11910" w:h="16840"/>
          <w:pgMar w:header="877" w:footer="979" w:top="1060" w:bottom="1160" w:left="980" w:right="0"/>
        </w:sectPr>
      </w:pPr>
    </w:p>
    <w:p>
      <w:pPr>
        <w:spacing w:line="240" w:lineRule="auto" w:before="12"/>
        <w:rPr>
          <w:rFonts w:ascii="宋体" w:hAnsi="宋体" w:cs="宋体" w:eastAsia="宋体" w:hint="default"/>
          <w:sz w:val="2"/>
          <w:szCs w:val="2"/>
        </w:rPr>
      </w:pPr>
      <w:r>
        <w:rPr/>
        <w:pict>
          <v:group style="position:absolute;margin-left:501.339996pt;margin-top:416.279999pt;width:56.25pt;height:62.4pt;mso-position-horizontal-relative:page;mso-position-vertical-relative:page;z-index:-1222744" coordorigin="10027,8326" coordsize="1125,1248">
            <v:shape style="position:absolute;left:10027;top:8326;width:1125;height:1248" coordorigin="10027,8326" coordsize="1125,1248" path="m10027,9574l11151,9574,11151,8326,10027,8326,10027,9574xe" filled="true" fillcolor="#ffffff" stroked="false">
              <v:path arrowok="t"/>
              <v:fill type="solid"/>
            </v:shape>
            <w10:wrap type="none"/>
          </v:group>
        </w:pict>
      </w:r>
      <w:r>
        <w:rPr/>
        <w:pict>
          <v:group style="position:absolute;margin-left:502.480011pt;margin-top:381.040009pt;width:53.9pt;height:17.650pt;mso-position-horizontal-relative:page;mso-position-vertical-relative:page;z-index:-1222720" coordorigin="10050,7621" coordsize="1078,353">
            <v:shape style="position:absolute;left:10050;top:7621;width:1078;height:353" coordorigin="10050,7621" coordsize="1078,353" path="m10050,7974l11127,7974,11127,7621,10050,7621,10050,7974xe" filled="true" fillcolor="#ffffff" stroked="false">
              <v:path arrowok="t"/>
              <v:fill type="solid"/>
            </v:shape>
            <w10:wrap type="none"/>
          </v:group>
        </w:pict>
      </w:r>
    </w:p>
    <w:p>
      <w:pPr>
        <w:spacing w:line="20" w:lineRule="exact"/>
        <w:ind w:left="502" w:right="0" w:firstLine="0"/>
        <w:rPr>
          <w:rFonts w:ascii="宋体" w:hAnsi="宋体" w:cs="宋体" w:eastAsia="宋体" w:hint="default"/>
          <w:sz w:val="2"/>
          <w:szCs w:val="2"/>
        </w:rPr>
      </w:pPr>
      <w:r>
        <w:rPr>
          <w:rFonts w:ascii="宋体" w:hAnsi="宋体" w:cs="宋体" w:eastAsia="宋体" w:hint="default"/>
          <w:sz w:val="2"/>
          <w:szCs w:val="2"/>
        </w:rPr>
        <w:pict>
          <v:group style="width:701.7pt;height:.75pt;mso-position-horizontal-relative:char;mso-position-vertical-relative:line" coordorigin="0,0" coordsize="14034,15">
            <v:group style="position:absolute;left:7;top:7;width:14020;height:2" coordorigin="7,7" coordsize="14020,2">
              <v:shape style="position:absolute;left:7;top:7;width:14020;height:2" coordorigin="7,7" coordsize="14020,0" path="m7,7l14027,7e" filled="false" stroked="true" strokeweight=".72pt" strokecolor="#000000">
                <v:path arrowok="t"/>
              </v:shape>
            </v:group>
          </v:group>
        </w:pict>
      </w:r>
      <w:r>
        <w:rPr>
          <w:rFonts w:ascii="宋体" w:hAnsi="宋体" w:cs="宋体" w:eastAsia="宋体" w:hint="default"/>
          <w:sz w:val="2"/>
          <w:szCs w:val="2"/>
        </w:rPr>
      </w:r>
    </w:p>
    <w:p>
      <w:pPr>
        <w:spacing w:line="240" w:lineRule="auto" w:before="9"/>
        <w:rPr>
          <w:rFonts w:ascii="宋体" w:hAnsi="宋体" w:cs="宋体" w:eastAsia="宋体" w:hint="default"/>
          <w:sz w:val="15"/>
          <w:szCs w:val="15"/>
        </w:rPr>
      </w:pPr>
    </w:p>
    <w:p>
      <w:pPr>
        <w:pStyle w:val="Heading2"/>
        <w:spacing w:line="240" w:lineRule="auto" w:before="26"/>
        <w:ind w:left="540" w:right="0"/>
        <w:jc w:val="left"/>
        <w:rPr>
          <w:b w:val="0"/>
          <w:bCs w:val="0"/>
        </w:rPr>
      </w:pPr>
      <w:bookmarkStart w:name="二、承诺事项履行情况" w:id="63"/>
      <w:bookmarkEnd w:id="63"/>
      <w:r>
        <w:rPr>
          <w:b w:val="0"/>
          <w:bCs w:val="0"/>
        </w:rPr>
      </w:r>
      <w:r>
        <w:rPr/>
        <w:t>二、承诺事项履行情况</w:t>
      </w:r>
      <w:r>
        <w:rPr>
          <w:b w:val="0"/>
          <w:bCs w:val="0"/>
        </w:rPr>
      </w:r>
    </w:p>
    <w:p>
      <w:pPr>
        <w:spacing w:line="240" w:lineRule="auto" w:before="9"/>
        <w:rPr>
          <w:rFonts w:ascii="宋体" w:hAnsi="宋体" w:cs="宋体" w:eastAsia="宋体" w:hint="default"/>
          <w:b/>
          <w:bCs/>
          <w:sz w:val="24"/>
          <w:szCs w:val="24"/>
        </w:rPr>
      </w:pPr>
    </w:p>
    <w:p>
      <w:pPr>
        <w:pStyle w:val="Heading4"/>
        <w:spacing w:line="240" w:lineRule="auto"/>
        <w:ind w:left="540" w:right="0"/>
        <w:jc w:val="left"/>
        <w:rPr>
          <w:b w:val="0"/>
          <w:bCs w:val="0"/>
        </w:rPr>
      </w:pPr>
      <w:bookmarkStart w:name="1、公司实际控制人、股东、关联方、收购人以及公司等承诺相关方在报告期内履行完毕及" w:id="64"/>
      <w:bookmarkEnd w:id="64"/>
      <w:r>
        <w:rPr>
          <w:b w:val="0"/>
          <w:bCs w:val="0"/>
        </w:rPr>
      </w:r>
      <w:r>
        <w:rPr>
          <w:rFonts w:ascii="Times New Roman" w:hAnsi="Times New Roman" w:cs="Times New Roman" w:eastAsia="Times New Roman" w:hint="default"/>
        </w:rPr>
        <w:t>1</w:t>
      </w:r>
      <w:r>
        <w:rPr/>
        <w:t>、公司实际控制人、股东、关联方、收购人以及公司等承诺相关方在报告期内履行完毕及截至报告期末尚未履行完毕的承诺事项</w:t>
      </w:r>
      <w:r>
        <w:rPr>
          <w:b w:val="0"/>
          <w:bCs w:val="0"/>
        </w:rPr>
      </w:r>
    </w:p>
    <w:p>
      <w:pPr>
        <w:spacing w:line="240" w:lineRule="auto" w:before="8"/>
        <w:rPr>
          <w:rFonts w:ascii="宋体" w:hAnsi="宋体" w:cs="宋体" w:eastAsia="宋体" w:hint="default"/>
          <w:b/>
          <w:bCs/>
          <w:sz w:val="26"/>
          <w:szCs w:val="26"/>
        </w:rPr>
      </w:pPr>
    </w:p>
    <w:p>
      <w:pPr>
        <w:spacing w:before="0"/>
        <w:ind w:left="54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2"/>
        <w:rPr>
          <w:rFonts w:ascii="宋体" w:hAnsi="宋体" w:cs="宋体" w:eastAsia="宋体" w:hint="default"/>
          <w:sz w:val="6"/>
          <w:szCs w:val="6"/>
        </w:rPr>
      </w:pPr>
    </w:p>
    <w:tbl>
      <w:tblPr>
        <w:tblW w:w="0" w:type="auto"/>
        <w:jc w:val="left"/>
        <w:tblInd w:w="109" w:type="dxa"/>
        <w:tblLayout w:type="fixed"/>
        <w:tblCellMar>
          <w:top w:w="0" w:type="dxa"/>
          <w:left w:w="0" w:type="dxa"/>
          <w:bottom w:w="0" w:type="dxa"/>
          <w:right w:w="0" w:type="dxa"/>
        </w:tblCellMar>
        <w:tblLook w:val="01E0"/>
      </w:tblPr>
      <w:tblGrid>
        <w:gridCol w:w="1702"/>
        <w:gridCol w:w="1277"/>
        <w:gridCol w:w="850"/>
        <w:gridCol w:w="5180"/>
        <w:gridCol w:w="1134"/>
        <w:gridCol w:w="1134"/>
        <w:gridCol w:w="3544"/>
      </w:tblGrid>
      <w:tr>
        <w:trPr>
          <w:trHeight w:val="402" w:hRule="exact"/>
        </w:trPr>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承诺来源</w:t>
            </w:r>
          </w:p>
        </w:tc>
        <w:tc>
          <w:tcPr>
            <w:tcW w:w="12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63" w:right="0"/>
              <w:jc w:val="left"/>
              <w:rPr>
                <w:rFonts w:ascii="宋体" w:hAnsi="宋体" w:cs="宋体" w:eastAsia="宋体" w:hint="default"/>
                <w:sz w:val="18"/>
                <w:szCs w:val="18"/>
              </w:rPr>
            </w:pPr>
            <w:r>
              <w:rPr>
                <w:rFonts w:ascii="宋体" w:hAnsi="宋体" w:cs="宋体" w:eastAsia="宋体" w:hint="default"/>
                <w:sz w:val="18"/>
                <w:szCs w:val="18"/>
              </w:rPr>
              <w:t>承诺方</w:t>
            </w:r>
          </w:p>
        </w:tc>
        <w:tc>
          <w:tcPr>
            <w:tcW w:w="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0" w:right="0"/>
              <w:jc w:val="left"/>
              <w:rPr>
                <w:rFonts w:ascii="宋体" w:hAnsi="宋体" w:cs="宋体" w:eastAsia="宋体" w:hint="default"/>
                <w:sz w:val="18"/>
                <w:szCs w:val="18"/>
              </w:rPr>
            </w:pPr>
            <w:r>
              <w:rPr>
                <w:rFonts w:ascii="宋体" w:hAnsi="宋体" w:cs="宋体" w:eastAsia="宋体" w:hint="default"/>
                <w:sz w:val="18"/>
                <w:szCs w:val="18"/>
              </w:rPr>
              <w:t>承诺类型</w:t>
            </w:r>
          </w:p>
        </w:tc>
        <w:tc>
          <w:tcPr>
            <w:tcW w:w="51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承诺内容</w:t>
            </w:r>
          </w:p>
        </w:tc>
        <w:tc>
          <w:tcPr>
            <w:tcW w:w="11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01" w:right="0"/>
              <w:jc w:val="left"/>
              <w:rPr>
                <w:rFonts w:ascii="宋体" w:hAnsi="宋体" w:cs="宋体" w:eastAsia="宋体" w:hint="default"/>
                <w:sz w:val="18"/>
                <w:szCs w:val="18"/>
              </w:rPr>
            </w:pPr>
            <w:r>
              <w:rPr>
                <w:rFonts w:ascii="宋体" w:hAnsi="宋体" w:cs="宋体" w:eastAsia="宋体" w:hint="default"/>
                <w:sz w:val="18"/>
                <w:szCs w:val="18"/>
              </w:rPr>
              <w:t>承诺时间</w:t>
            </w:r>
          </w:p>
        </w:tc>
        <w:tc>
          <w:tcPr>
            <w:tcW w:w="11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01" w:right="0"/>
              <w:jc w:val="left"/>
              <w:rPr>
                <w:rFonts w:ascii="宋体" w:hAnsi="宋体" w:cs="宋体" w:eastAsia="宋体" w:hint="default"/>
                <w:sz w:val="18"/>
                <w:szCs w:val="18"/>
              </w:rPr>
            </w:pPr>
            <w:r>
              <w:rPr>
                <w:rFonts w:ascii="宋体" w:hAnsi="宋体" w:cs="宋体" w:eastAsia="宋体" w:hint="default"/>
                <w:sz w:val="18"/>
                <w:szCs w:val="18"/>
              </w:rPr>
              <w:t>承诺期限</w:t>
            </w:r>
          </w:p>
        </w:tc>
        <w:tc>
          <w:tcPr>
            <w:tcW w:w="35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履行情况</w:t>
            </w:r>
          </w:p>
        </w:tc>
      </w:tr>
      <w:tr>
        <w:trPr>
          <w:trHeight w:val="714" w:hRule="exact"/>
        </w:trPr>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47"/>
              <w:jc w:val="left"/>
              <w:rPr>
                <w:rFonts w:ascii="宋体" w:hAnsi="宋体" w:cs="宋体" w:eastAsia="宋体" w:hint="default"/>
                <w:sz w:val="18"/>
                <w:szCs w:val="18"/>
              </w:rPr>
            </w:pPr>
            <w:r>
              <w:rPr>
                <w:rFonts w:ascii="宋体" w:hAnsi="宋体" w:cs="宋体" w:eastAsia="宋体" w:hint="default"/>
                <w:sz w:val="18"/>
                <w:szCs w:val="18"/>
              </w:rPr>
              <w:t>收购报告书或权益变 动报告书中所作承诺</w:t>
            </w:r>
          </w:p>
        </w:tc>
        <w:tc>
          <w:tcPr>
            <w:tcW w:w="1277" w:type="dxa"/>
            <w:tcBorders>
              <w:top w:val="single" w:sz="4" w:space="0" w:color="000000"/>
              <w:left w:val="single" w:sz="13" w:space="0" w:color="D2D2D2"/>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518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3544" w:type="dxa"/>
            <w:tcBorders>
              <w:top w:val="single" w:sz="4" w:space="0" w:color="000000"/>
              <w:left w:val="single" w:sz="4" w:space="0" w:color="000000"/>
              <w:bottom w:val="single" w:sz="4" w:space="0" w:color="000000"/>
              <w:right w:val="single" w:sz="4" w:space="0" w:color="000000"/>
            </w:tcBorders>
          </w:tcPr>
          <w:p>
            <w:pPr/>
          </w:p>
        </w:tc>
      </w:tr>
      <w:tr>
        <w:trPr>
          <w:trHeight w:val="2274" w:hRule="exact"/>
        </w:trPr>
        <w:tc>
          <w:tcPr>
            <w:tcW w:w="1702" w:type="dxa"/>
            <w:vMerge w:val="restart"/>
            <w:tcBorders>
              <w:top w:val="single" w:sz="4" w:space="0" w:color="000000"/>
              <w:left w:val="single" w:sz="4" w:space="0" w:color="000000"/>
              <w:right w:val="single" w:sz="4" w:space="0" w:color="000000"/>
            </w:tcBorders>
            <w:shd w:val="clear" w:color="auto" w:fill="D2D2D2"/>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3" w:right="21"/>
              <w:jc w:val="left"/>
              <w:rPr>
                <w:rFonts w:ascii="宋体" w:hAnsi="宋体" w:cs="宋体" w:eastAsia="宋体" w:hint="default"/>
                <w:sz w:val="18"/>
                <w:szCs w:val="18"/>
              </w:rPr>
            </w:pPr>
            <w:r>
              <w:rPr>
                <w:rFonts w:ascii="宋体" w:hAnsi="宋体" w:cs="宋体" w:eastAsia="宋体" w:hint="default"/>
                <w:sz w:val="18"/>
                <w:szCs w:val="18"/>
              </w:rPr>
              <w:t>公司配套融资 的认购对象郑 州佳辰企业管 </w:t>
            </w:r>
            <w:r>
              <w:rPr>
                <w:rFonts w:ascii="宋体" w:hAnsi="宋体" w:cs="宋体" w:eastAsia="宋体" w:hint="default"/>
                <w:spacing w:val="-6"/>
                <w:sz w:val="18"/>
                <w:szCs w:val="18"/>
              </w:rPr>
              <w:t>理咨询中心（有</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13"/>
                <w:sz w:val="18"/>
                <w:szCs w:val="18"/>
              </w:rPr>
              <w:t>限合伙）、罗会</w:t>
            </w:r>
            <w:r>
              <w:rPr>
                <w:rFonts w:ascii="宋体" w:hAnsi="宋体" w:cs="宋体" w:eastAsia="宋体" w:hint="default"/>
                <w:sz w:val="18"/>
                <w:szCs w:val="18"/>
              </w:rPr>
              <w:t> </w:t>
            </w:r>
            <w:r>
              <w:rPr>
                <w:rFonts w:ascii="宋体" w:hAnsi="宋体" w:cs="宋体" w:eastAsia="宋体" w:hint="default"/>
                <w:spacing w:val="-6"/>
                <w:sz w:val="18"/>
                <w:szCs w:val="18"/>
              </w:rPr>
              <w:t>军、柳楠、吴凤</w:t>
            </w:r>
            <w:r>
              <w:rPr>
                <w:rFonts w:ascii="宋体" w:hAnsi="宋体" w:cs="宋体" w:eastAsia="宋体" w:hint="default"/>
                <w:sz w:val="18"/>
                <w:szCs w:val="18"/>
              </w:rPr>
              <w:t> 辉</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5"/>
              <w:ind w:left="22" w:right="95"/>
              <w:jc w:val="left"/>
              <w:rPr>
                <w:rFonts w:ascii="宋体" w:hAnsi="宋体" w:cs="宋体" w:eastAsia="宋体" w:hint="default"/>
                <w:sz w:val="18"/>
                <w:szCs w:val="18"/>
              </w:rPr>
            </w:pPr>
            <w:r>
              <w:rPr>
                <w:rFonts w:ascii="宋体" w:hAnsi="宋体" w:cs="宋体" w:eastAsia="宋体" w:hint="default"/>
                <w:sz w:val="18"/>
                <w:szCs w:val="18"/>
              </w:rPr>
              <w:t>股份限售 承诺</w:t>
            </w:r>
          </w:p>
        </w:tc>
        <w:tc>
          <w:tcPr>
            <w:tcW w:w="5180"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1"/>
              <w:ind w:left="22" w:right="21"/>
              <w:jc w:val="left"/>
              <w:rPr>
                <w:rFonts w:ascii="宋体" w:hAnsi="宋体" w:cs="宋体" w:eastAsia="宋体" w:hint="default"/>
                <w:sz w:val="18"/>
                <w:szCs w:val="18"/>
              </w:rPr>
            </w:pPr>
            <w:r>
              <w:rPr>
                <w:rFonts w:ascii="宋体" w:hAnsi="宋体" w:cs="宋体" w:eastAsia="宋体" w:hint="default"/>
                <w:spacing w:val="-3"/>
                <w:sz w:val="18"/>
                <w:szCs w:val="18"/>
              </w:rPr>
              <w:t>根据本公司与配套融资的认购对象（以下简称</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认购对象</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）郑州佳</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pacing w:val="-4"/>
                <w:sz w:val="18"/>
                <w:szCs w:val="18"/>
              </w:rPr>
              <w:t>辰、罗会军、柳楠、吴凤辉签订的《股份认购协议》，向</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名认购</w:t>
            </w:r>
          </w:p>
          <w:p>
            <w:pPr>
              <w:pStyle w:val="TableParagraph"/>
              <w:spacing w:line="314" w:lineRule="auto" w:before="13"/>
              <w:ind w:left="22" w:right="22"/>
              <w:jc w:val="left"/>
              <w:rPr>
                <w:rFonts w:ascii="宋体" w:hAnsi="宋体" w:cs="宋体" w:eastAsia="宋体" w:hint="default"/>
                <w:sz w:val="18"/>
                <w:szCs w:val="18"/>
              </w:rPr>
            </w:pPr>
            <w:r>
              <w:rPr>
                <w:rFonts w:ascii="宋体" w:hAnsi="宋体" w:cs="宋体" w:eastAsia="宋体" w:hint="default"/>
                <w:sz w:val="18"/>
                <w:szCs w:val="18"/>
              </w:rPr>
              <w:t>对象发行的股份自股份发行结束之日起</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36</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个月内不得以任何方式 进行转让或上市交易；若该限售期与当时有效的法律、法规、规 章、相关证券监管部门及证券交易所的有关规定不相符，可根据 当时有效的法律、法规、规章、相关证券监管部门及证券交易所 的有关规定进行相应调整。</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4"/>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3"/>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29 </w:t>
            </w:r>
            <w:r>
              <w:rPr>
                <w:rFonts w:ascii="宋体" w:hAnsi="宋体" w:cs="宋体" w:eastAsia="宋体" w:hint="default"/>
                <w:sz w:val="18"/>
                <w:szCs w:val="18"/>
              </w:rPr>
              <w:t>日</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4"/>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35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5"/>
              <w:ind w:left="22" w:right="89"/>
              <w:jc w:val="left"/>
              <w:rPr>
                <w:rFonts w:ascii="宋体" w:hAnsi="宋体" w:cs="宋体" w:eastAsia="宋体" w:hint="default"/>
                <w:sz w:val="18"/>
                <w:szCs w:val="18"/>
              </w:rPr>
            </w:pPr>
            <w:r>
              <w:rPr>
                <w:rFonts w:ascii="宋体" w:hAnsi="宋体" w:cs="宋体" w:eastAsia="宋体" w:hint="default"/>
                <w:sz w:val="18"/>
                <w:szCs w:val="18"/>
              </w:rPr>
              <w:t>截至报告期末，上述承诺人严格信守承诺， 未发生违反承诺的情况</w:t>
            </w:r>
          </w:p>
        </w:tc>
      </w:tr>
      <w:tr>
        <w:trPr>
          <w:trHeight w:val="785" w:hRule="exact"/>
        </w:trPr>
        <w:tc>
          <w:tcPr>
            <w:tcW w:w="1702" w:type="dxa"/>
            <w:vMerge/>
            <w:tcBorders>
              <w:left w:val="single" w:sz="4" w:space="0" w:color="000000"/>
              <w:bottom w:val="nil" w:sz="6" w:space="0" w:color="auto"/>
              <w:right w:val="single" w:sz="4" w:space="0" w:color="000000"/>
            </w:tcBorders>
            <w:shd w:val="clear" w:color="auto" w:fill="D2D2D2"/>
          </w:tcPr>
          <w:p>
            <w:pPr/>
          </w:p>
        </w:tc>
        <w:tc>
          <w:tcPr>
            <w:tcW w:w="1277" w:type="dxa"/>
            <w:vMerge w:val="restart"/>
            <w:tcBorders>
              <w:top w:val="single" w:sz="4" w:space="0" w:color="000000"/>
              <w:left w:val="single" w:sz="9" w:space="0" w:color="D2D2D2"/>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9" w:lineRule="auto"/>
              <w:ind w:left="17" w:right="-17"/>
              <w:jc w:val="left"/>
              <w:rPr>
                <w:rFonts w:ascii="宋体" w:hAnsi="宋体" w:cs="宋体" w:eastAsia="宋体" w:hint="default"/>
                <w:sz w:val="18"/>
                <w:szCs w:val="18"/>
              </w:rPr>
            </w:pPr>
            <w:r>
              <w:rPr>
                <w:rFonts w:ascii="宋体" w:hAnsi="宋体" w:cs="宋体" w:eastAsia="宋体" w:hint="default"/>
                <w:sz w:val="18"/>
                <w:szCs w:val="18"/>
              </w:rPr>
              <w:t>公司发行股份 及支付现金购 买资产的交易 </w:t>
            </w:r>
            <w:r>
              <w:rPr>
                <w:rFonts w:ascii="宋体" w:hAnsi="宋体" w:cs="宋体" w:eastAsia="宋体" w:hint="default"/>
                <w:spacing w:val="-6"/>
                <w:sz w:val="18"/>
                <w:szCs w:val="18"/>
              </w:rPr>
              <w:t>对方刘永春、丛</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6"/>
                <w:sz w:val="18"/>
                <w:szCs w:val="18"/>
              </w:rPr>
              <w:t>伟滋、李洪、熊</w:t>
            </w:r>
            <w:r>
              <w:rPr>
                <w:rFonts w:ascii="宋体" w:hAnsi="宋体" w:cs="宋体" w:eastAsia="宋体" w:hint="default"/>
                <w:sz w:val="18"/>
                <w:szCs w:val="18"/>
              </w:rPr>
              <w:t> 小洪、白海清、 黄暂度</w:t>
            </w:r>
          </w:p>
        </w:tc>
        <w:tc>
          <w:tcPr>
            <w:tcW w:w="85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其他承诺</w:t>
            </w:r>
          </w:p>
        </w:tc>
        <w:tc>
          <w:tcPr>
            <w:tcW w:w="5180" w:type="dxa"/>
            <w:vMerge w:val="restart"/>
            <w:tcBorders>
              <w:top w:val="single" w:sz="4" w:space="0" w:color="000000"/>
              <w:left w:val="single" w:sz="4" w:space="0" w:color="000000"/>
              <w:right w:val="single" w:sz="9" w:space="0" w:color="FFFFFF"/>
            </w:tcBorders>
          </w:tcPr>
          <w:p>
            <w:pPr>
              <w:pStyle w:val="TableParagraph"/>
              <w:spacing w:line="312" w:lineRule="auto" w:before="51"/>
              <w:ind w:left="22" w:right="-41"/>
              <w:jc w:val="left"/>
              <w:rPr>
                <w:rFonts w:ascii="宋体" w:hAnsi="宋体" w:cs="宋体" w:eastAsia="宋体" w:hint="default"/>
                <w:sz w:val="18"/>
                <w:szCs w:val="18"/>
              </w:rPr>
            </w:pPr>
            <w:r>
              <w:rPr>
                <w:rFonts w:ascii="宋体" w:hAnsi="宋体" w:cs="宋体" w:eastAsia="宋体" w:hint="default"/>
                <w:sz w:val="18"/>
                <w:szCs w:val="18"/>
              </w:rPr>
              <w:t>本次交易的交易对方就其持有标的公司股权无代持、无纠纷、无 转让限制等情况的承诺如下：</w:t>
            </w:r>
            <w:r>
              <w:rPr>
                <w:rFonts w:ascii="Times New Roman" w:hAnsi="Times New Roman" w:cs="Times New Roman" w:eastAsia="Times New Roman" w:hint="default"/>
                <w:sz w:val="18"/>
                <w:szCs w:val="18"/>
              </w:rPr>
              <w:t>1</w:t>
            </w:r>
            <w:r>
              <w:rPr>
                <w:rFonts w:ascii="宋体" w:hAnsi="宋体" w:cs="宋体" w:eastAsia="宋体" w:hint="default"/>
                <w:sz w:val="18"/>
                <w:szCs w:val="18"/>
              </w:rPr>
              <w:t>、本人合法持有迪科远望的股份， 并及时、足额缴纳出资，本人获得迪科远望股份的资金来源真实 合法、不存在违反法律法规的情形、不存在被有关部门收缴、追 </w:t>
            </w:r>
            <w:r>
              <w:rPr>
                <w:rFonts w:ascii="宋体" w:hAnsi="宋体" w:cs="宋体" w:eastAsia="宋体" w:hint="default"/>
                <w:spacing w:val="-5"/>
                <w:sz w:val="18"/>
                <w:szCs w:val="18"/>
              </w:rPr>
              <w:t>索等法律风险；</w:t>
            </w:r>
            <w:r>
              <w:rPr>
                <w:rFonts w:ascii="Times New Roman" w:hAnsi="Times New Roman" w:cs="Times New Roman" w:eastAsia="Times New Roman" w:hint="default"/>
                <w:spacing w:val="-5"/>
                <w:sz w:val="18"/>
                <w:szCs w:val="18"/>
              </w:rPr>
              <w:t>2</w:t>
            </w:r>
            <w:r>
              <w:rPr>
                <w:rFonts w:ascii="宋体" w:hAnsi="宋体" w:cs="宋体" w:eastAsia="宋体" w:hint="default"/>
                <w:spacing w:val="-5"/>
                <w:sz w:val="18"/>
                <w:szCs w:val="18"/>
              </w:rPr>
              <w:t>、本人持有的迪科远望股份不存在被质押、扣押、</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z w:val="18"/>
                <w:szCs w:val="18"/>
              </w:rPr>
              <w:t>冻结、司法查封或拍卖、托管、设定信托、被依法限制表决权，</w:t>
            </w:r>
            <w:r>
              <w:rPr>
                <w:rFonts w:ascii="宋体" w:hAnsi="宋体" w:cs="宋体" w:eastAsia="宋体" w:hint="default"/>
                <w:sz w:val="18"/>
                <w:szCs w:val="18"/>
              </w:rPr>
              <w:t> 或其他使该等股份权利行使和</w:t>
            </w:r>
            <w:r>
              <w:rPr>
                <w:rFonts w:ascii="Times New Roman" w:hAnsi="Times New Roman" w:cs="Times New Roman" w:eastAsia="Times New Roman" w:hint="default"/>
                <w:sz w:val="18"/>
                <w:szCs w:val="18"/>
              </w:rPr>
              <w:t>/</w:t>
            </w:r>
            <w:r>
              <w:rPr>
                <w:rFonts w:ascii="宋体" w:hAnsi="宋体" w:cs="宋体" w:eastAsia="宋体" w:hint="default"/>
                <w:sz w:val="18"/>
                <w:szCs w:val="18"/>
              </w:rPr>
              <w:t>或转让受到限制或禁止的情形；</w:t>
            </w:r>
            <w:r>
              <w:rPr>
                <w:rFonts w:ascii="Times New Roman" w:hAnsi="Times New Roman" w:cs="Times New Roman" w:eastAsia="Times New Roman" w:hint="default"/>
                <w:sz w:val="18"/>
                <w:szCs w:val="18"/>
              </w:rPr>
              <w:t>3</w:t>
            </w:r>
            <w:r>
              <w:rPr>
                <w:rFonts w:ascii="宋体" w:hAnsi="宋体" w:cs="宋体" w:eastAsia="宋体" w:hint="default"/>
                <w:sz w:val="18"/>
                <w:szCs w:val="18"/>
              </w:rPr>
              <w:t>、 本人持有的迪科远望股份不存在委托持股情形，不存在利益输送 或其他权益安排，本人基于该等股份依法行使股东权利没有任何 法律障碍，该等股份不存在纠纷或潜在纠纷。</w:t>
            </w:r>
          </w:p>
        </w:tc>
        <w:tc>
          <w:tcPr>
            <w:tcW w:w="1134" w:type="dxa"/>
            <w:vMerge w:val="restart"/>
            <w:tcBorders>
              <w:top w:val="single" w:sz="4" w:space="0" w:color="000000"/>
              <w:left w:val="single" w:sz="9" w:space="0" w:color="FFFFFF"/>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1"/>
              <w:ind w:left="1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4"/>
              <w:ind w:left="1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3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302" w:lineRule="auto" w:before="63"/>
              <w:ind w:left="22" w:right="95"/>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r>
              <w:rPr>
                <w:rFonts w:ascii="Times New Roman" w:hAnsi="Times New Roman" w:cs="Times New Roman" w:eastAsia="Times New Roman" w:hint="default"/>
                <w:sz w:val="18"/>
                <w:szCs w:val="18"/>
              </w:rPr>
              <w:t>-</w:t>
            </w:r>
            <w:r>
              <w:rPr>
                <w:rFonts w:ascii="宋体" w:hAnsi="宋体" w:cs="宋体" w:eastAsia="宋体" w:hint="default"/>
                <w:sz w:val="18"/>
                <w:szCs w:val="18"/>
              </w:rPr>
              <w:t>长期有 效</w:t>
            </w:r>
          </w:p>
        </w:tc>
        <w:tc>
          <w:tcPr>
            <w:tcW w:w="354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1"/>
              <w:ind w:left="22" w:right="89"/>
              <w:jc w:val="left"/>
              <w:rPr>
                <w:rFonts w:ascii="宋体" w:hAnsi="宋体" w:cs="宋体" w:eastAsia="宋体" w:hint="default"/>
                <w:sz w:val="18"/>
                <w:szCs w:val="18"/>
              </w:rPr>
            </w:pPr>
            <w:r>
              <w:rPr>
                <w:rFonts w:ascii="宋体" w:hAnsi="宋体" w:cs="宋体" w:eastAsia="宋体" w:hint="default"/>
                <w:sz w:val="18"/>
                <w:szCs w:val="18"/>
              </w:rPr>
              <w:t>截至报告期末，上述承诺人严格信守承诺， 未发生违反承诺的情况。</w:t>
            </w:r>
          </w:p>
        </w:tc>
      </w:tr>
      <w:tr>
        <w:trPr>
          <w:trHeight w:val="392" w:hRule="exact"/>
        </w:trPr>
        <w:tc>
          <w:tcPr>
            <w:tcW w:w="170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right="24"/>
              <w:jc w:val="center"/>
              <w:rPr>
                <w:rFonts w:ascii="宋体" w:hAnsi="宋体" w:cs="宋体" w:eastAsia="宋体" w:hint="default"/>
                <w:sz w:val="18"/>
                <w:szCs w:val="18"/>
              </w:rPr>
            </w:pPr>
            <w:r>
              <w:rPr>
                <w:rFonts w:ascii="宋体" w:hAnsi="宋体" w:cs="宋体" w:eastAsia="宋体" w:hint="default"/>
                <w:sz w:val="18"/>
                <w:szCs w:val="18"/>
              </w:rPr>
              <w:t>资产重组时所作承诺</w:t>
            </w:r>
          </w:p>
        </w:tc>
        <w:tc>
          <w:tcPr>
            <w:tcW w:w="1277" w:type="dxa"/>
            <w:vMerge/>
            <w:tcBorders>
              <w:left w:val="single" w:sz="9" w:space="0" w:color="D2D2D2"/>
              <w:right w:val="single" w:sz="4" w:space="0" w:color="000000"/>
            </w:tcBorders>
          </w:tcPr>
          <w:p>
            <w:pPr/>
          </w:p>
        </w:tc>
        <w:tc>
          <w:tcPr>
            <w:tcW w:w="850" w:type="dxa"/>
            <w:vMerge/>
            <w:tcBorders>
              <w:left w:val="single" w:sz="4" w:space="0" w:color="000000"/>
              <w:right w:val="single" w:sz="4" w:space="0" w:color="000000"/>
            </w:tcBorders>
          </w:tcPr>
          <w:p>
            <w:pPr/>
          </w:p>
        </w:tc>
        <w:tc>
          <w:tcPr>
            <w:tcW w:w="5180" w:type="dxa"/>
            <w:vMerge/>
            <w:tcBorders>
              <w:left w:val="single" w:sz="4" w:space="0" w:color="000000"/>
              <w:right w:val="single" w:sz="9" w:space="0" w:color="FFFFFF"/>
            </w:tcBorders>
          </w:tcPr>
          <w:p>
            <w:pPr/>
          </w:p>
        </w:tc>
        <w:tc>
          <w:tcPr>
            <w:tcW w:w="1134" w:type="dxa"/>
            <w:vMerge/>
            <w:tcBorders>
              <w:left w:val="single" w:sz="9" w:space="0" w:color="FFFFFF"/>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2033" w:hRule="exact"/>
        </w:trPr>
        <w:tc>
          <w:tcPr>
            <w:tcW w:w="1702" w:type="dxa"/>
            <w:vMerge w:val="restart"/>
            <w:tcBorders>
              <w:top w:val="nil" w:sz="6" w:space="0" w:color="auto"/>
              <w:left w:val="single" w:sz="4" w:space="0" w:color="000000"/>
              <w:right w:val="single" w:sz="4" w:space="0" w:color="000000"/>
            </w:tcBorders>
            <w:shd w:val="clear" w:color="auto" w:fill="D2D2D2"/>
          </w:tcPr>
          <w:p>
            <w:pPr/>
          </w:p>
        </w:tc>
        <w:tc>
          <w:tcPr>
            <w:tcW w:w="1277" w:type="dxa"/>
            <w:vMerge/>
            <w:tcBorders>
              <w:left w:val="single" w:sz="9" w:space="0" w:color="D2D2D2"/>
              <w:bottom w:val="single" w:sz="4" w:space="0" w:color="000000"/>
              <w:right w:val="single" w:sz="4" w:space="0" w:color="000000"/>
            </w:tcBorders>
          </w:tcPr>
          <w:p>
            <w:pPr/>
          </w:p>
        </w:tc>
        <w:tc>
          <w:tcPr>
            <w:tcW w:w="850" w:type="dxa"/>
            <w:vMerge/>
            <w:tcBorders>
              <w:left w:val="single" w:sz="4" w:space="0" w:color="000000"/>
              <w:bottom w:val="single" w:sz="4" w:space="0" w:color="000000"/>
              <w:right w:val="single" w:sz="4" w:space="0" w:color="000000"/>
            </w:tcBorders>
          </w:tcPr>
          <w:p>
            <w:pPr/>
          </w:p>
        </w:tc>
        <w:tc>
          <w:tcPr>
            <w:tcW w:w="5180" w:type="dxa"/>
            <w:vMerge/>
            <w:tcBorders>
              <w:left w:val="single" w:sz="4" w:space="0" w:color="000000"/>
              <w:bottom w:val="single" w:sz="4" w:space="0" w:color="000000"/>
              <w:right w:val="single" w:sz="9" w:space="0" w:color="FFFFFF"/>
            </w:tcBorders>
          </w:tcPr>
          <w:p>
            <w:pPr/>
          </w:p>
        </w:tc>
        <w:tc>
          <w:tcPr>
            <w:tcW w:w="1134" w:type="dxa"/>
            <w:vMerge/>
            <w:tcBorders>
              <w:left w:val="single" w:sz="9" w:space="0" w:color="FFFFFF"/>
              <w:bottom w:val="single" w:sz="4" w:space="0" w:color="000000"/>
              <w:right w:val="single" w:sz="4" w:space="0" w:color="000000"/>
            </w:tcBorders>
          </w:tcPr>
          <w:p>
            <w:pPr/>
          </w:p>
        </w:tc>
        <w:tc>
          <w:tcPr>
            <w:tcW w:w="1134" w:type="dxa"/>
            <w:vMerge/>
            <w:tcBorders>
              <w:left w:val="single" w:sz="4" w:space="0" w:color="000000"/>
              <w:bottom w:val="single" w:sz="4" w:space="0" w:color="000000"/>
              <w:right w:val="single" w:sz="4" w:space="0" w:color="000000"/>
            </w:tcBorders>
          </w:tcPr>
          <w:p>
            <w:pPr/>
          </w:p>
        </w:tc>
        <w:tc>
          <w:tcPr>
            <w:tcW w:w="3544" w:type="dxa"/>
            <w:vMerge/>
            <w:tcBorders>
              <w:left w:val="single" w:sz="4" w:space="0" w:color="000000"/>
              <w:bottom w:val="single" w:sz="4" w:space="0" w:color="000000"/>
              <w:right w:val="single" w:sz="4" w:space="0" w:color="000000"/>
            </w:tcBorders>
          </w:tcPr>
          <w:p>
            <w:pPr/>
          </w:p>
        </w:tc>
      </w:tr>
      <w:tr>
        <w:trPr>
          <w:trHeight w:val="1026" w:hRule="exact"/>
        </w:trPr>
        <w:tc>
          <w:tcPr>
            <w:tcW w:w="1702" w:type="dxa"/>
            <w:vMerge/>
            <w:tcBorders>
              <w:left w:val="single" w:sz="4" w:space="0" w:color="000000"/>
              <w:bottom w:val="single" w:sz="4" w:space="0" w:color="000000"/>
              <w:right w:val="single" w:sz="4" w:space="0" w:color="000000"/>
            </w:tcBorders>
            <w:shd w:val="clear" w:color="auto" w:fill="D2D2D2"/>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71"/>
              <w:ind w:left="23" w:right="161"/>
              <w:jc w:val="both"/>
              <w:rPr>
                <w:rFonts w:ascii="宋体" w:hAnsi="宋体" w:cs="宋体" w:eastAsia="宋体" w:hint="default"/>
                <w:sz w:val="18"/>
                <w:szCs w:val="18"/>
              </w:rPr>
            </w:pPr>
            <w:r>
              <w:rPr>
                <w:rFonts w:ascii="宋体" w:hAnsi="宋体" w:cs="宋体" w:eastAsia="宋体" w:hint="default"/>
                <w:sz w:val="18"/>
                <w:szCs w:val="18"/>
              </w:rPr>
              <w:t>公司发行股份 及支付现金购 买资产的交易</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其他承诺</w:t>
            </w:r>
          </w:p>
        </w:tc>
        <w:tc>
          <w:tcPr>
            <w:tcW w:w="5180"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71"/>
              <w:ind w:left="22" w:right="22"/>
              <w:jc w:val="left"/>
              <w:rPr>
                <w:rFonts w:ascii="宋体" w:hAnsi="宋体" w:cs="宋体" w:eastAsia="宋体" w:hint="default"/>
                <w:sz w:val="18"/>
                <w:szCs w:val="18"/>
              </w:rPr>
            </w:pPr>
            <w:r>
              <w:rPr>
                <w:rFonts w:ascii="宋体" w:hAnsi="宋体" w:cs="宋体" w:eastAsia="宋体" w:hint="default"/>
                <w:sz w:val="18"/>
                <w:szCs w:val="18"/>
              </w:rPr>
              <w:t>本次交易的交易对方承诺：</w:t>
            </w:r>
            <w:r>
              <w:rPr>
                <w:rFonts w:ascii="Times New Roman" w:hAnsi="Times New Roman" w:cs="Times New Roman" w:eastAsia="Times New Roman" w:hint="default"/>
                <w:sz w:val="18"/>
                <w:szCs w:val="18"/>
              </w:rPr>
              <w:t>1</w:t>
            </w:r>
            <w:r>
              <w:rPr>
                <w:rFonts w:ascii="宋体" w:hAnsi="宋体" w:cs="宋体" w:eastAsia="宋体" w:hint="default"/>
                <w:sz w:val="18"/>
                <w:szCs w:val="18"/>
              </w:rPr>
              <w:t>、迪科远望及其下属公司的生产经营 活动符合相关法律法规的要求，截至本承诺函出具日的经营期间 除已向新开普书面披露的情况外，不存在任何违反所适用的法律</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12" w:lineRule="exact"/>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150" w:lineRule="exact"/>
              <w:ind w:left="-124" w:right="0"/>
              <w:jc w:val="left"/>
              <w:rPr>
                <w:rFonts w:ascii="宋体" w:hAnsi="宋体" w:cs="宋体" w:eastAsia="宋体" w:hint="default"/>
                <w:sz w:val="18"/>
                <w:szCs w:val="18"/>
              </w:rPr>
            </w:pPr>
            <w:r>
              <w:rPr>
                <w:rFonts w:ascii="宋体" w:hAnsi="宋体" w:cs="宋体" w:eastAsia="宋体" w:hint="default"/>
                <w:sz w:val="18"/>
                <w:szCs w:val="18"/>
              </w:rPr>
              <w:t>，</w:t>
            </w:r>
          </w:p>
          <w:p>
            <w:pPr>
              <w:pStyle w:val="TableParagraph"/>
              <w:spacing w:line="163" w:lineRule="exact"/>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p>
            <w:pPr>
              <w:pStyle w:val="TableParagraph"/>
              <w:spacing w:line="198" w:lineRule="exact"/>
              <w:ind w:left="-124" w:right="0"/>
              <w:jc w:val="left"/>
              <w:rPr>
                <w:rFonts w:ascii="宋体" w:hAnsi="宋体" w:cs="宋体" w:eastAsia="宋体" w:hint="default"/>
                <w:sz w:val="18"/>
                <w:szCs w:val="18"/>
              </w:rPr>
            </w:pPr>
            <w:r>
              <w:rPr>
                <w:rFonts w:ascii="宋体" w:hAnsi="宋体" w:cs="宋体" w:eastAsia="宋体" w:hint="default"/>
                <w:sz w:val="18"/>
                <w:szCs w:val="18"/>
              </w:rPr>
              <w:t>、</w:t>
            </w:r>
          </w:p>
          <w:p>
            <w:pPr>
              <w:pStyle w:val="TableParagraph"/>
              <w:spacing w:line="240" w:lineRule="auto" w:before="1"/>
              <w:ind w:right="0"/>
              <w:jc w:val="left"/>
              <w:rPr>
                <w:rFonts w:ascii="宋体" w:hAnsi="宋体" w:cs="宋体" w:eastAsia="宋体" w:hint="default"/>
                <w:sz w:val="11"/>
                <w:szCs w:val="11"/>
              </w:rPr>
            </w:pPr>
          </w:p>
          <w:p>
            <w:pPr>
              <w:pStyle w:val="TableParagraph"/>
              <w:spacing w:line="871" w:lineRule="exact"/>
              <w:ind w:right="-38"/>
              <w:jc w:val="left"/>
              <w:rPr>
                <w:rFonts w:ascii="宋体" w:hAnsi="宋体" w:cs="宋体" w:eastAsia="宋体" w:hint="default"/>
                <w:sz w:val="20"/>
                <w:szCs w:val="20"/>
              </w:rPr>
            </w:pPr>
            <w:r>
              <w:rPr>
                <w:rFonts w:ascii="宋体" w:hAnsi="宋体" w:cs="宋体" w:eastAsia="宋体" w:hint="default"/>
                <w:position w:val="-16"/>
                <w:sz w:val="20"/>
                <w:szCs w:val="20"/>
              </w:rPr>
              <w:pict>
                <v:group style="width:56.25pt;height:43.6pt;mso-position-horizontal-relative:char;mso-position-vertical-relative:line" coordorigin="0,0" coordsize="1125,872">
                  <v:group style="position:absolute;left:11;top:11;width:2;height:705" coordorigin="11,11" coordsize="2,705">
                    <v:shape style="position:absolute;left:11;top:11;width:2;height:705" coordorigin="11,11" coordsize="0,705" path="m11,11l11,716e" filled="false" stroked="true" strokeweight="1.140pt" strokecolor="#ffffff">
                      <v:path arrowok="t"/>
                    </v:shape>
                  </v:group>
                  <v:group style="position:absolute;left:0;top:716;width:1125;height:156" coordorigin="0,716" coordsize="1125,156">
                    <v:shape style="position:absolute;left:0;top:716;width:1125;height:156" coordorigin="0,716" coordsize="1125,156" path="m0,872l1124,872,1124,716,0,716,0,872xe" filled="true" fillcolor="#ffffff" stroked="false">
                      <v:path arrowok="t"/>
                      <v:fill type="solid"/>
                    </v:shape>
                  </v:group>
                  <v:group style="position:absolute;left:23;top:11;width:1078;height:353" coordorigin="23,11" coordsize="1078,353">
                    <v:shape style="position:absolute;left:23;top:11;width:1078;height:353" coordorigin="23,11" coordsize="1078,353" path="m23,364l1100,364,1100,11,23,11,23,364xe" filled="true" fillcolor="#ffffff" stroked="false">
                      <v:path arrowok="t"/>
                      <v:fill type="solid"/>
                    </v:shape>
                  </v:group>
                  <v:group style="position:absolute;left:23;top:364;width:1078;height:352" coordorigin="23,364" coordsize="1078,352">
                    <v:shape style="position:absolute;left:23;top:364;width:1078;height:352" coordorigin="23,364" coordsize="1078,352" path="m23,716l1100,716,1100,364,23,364,23,716xe" filled="true" fillcolor="#ffffff" stroked="false">
                      <v:path arrowok="t"/>
                      <v:fill type="solid"/>
                    </v:shape>
                  </v:group>
                </v:group>
              </w:pict>
            </w:r>
            <w:r>
              <w:rPr>
                <w:rFonts w:ascii="宋体" w:hAnsi="宋体" w:cs="宋体" w:eastAsia="宋体" w:hint="default"/>
                <w:position w:val="-16"/>
                <w:sz w:val="20"/>
                <w:szCs w:val="20"/>
              </w:rPr>
            </w: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9"/>
              <w:ind w:right="0"/>
              <w:jc w:val="left"/>
              <w:rPr>
                <w:rFonts w:ascii="宋体" w:hAnsi="宋体" w:cs="宋体" w:eastAsia="宋体" w:hint="default"/>
                <w:sz w:val="17"/>
                <w:szCs w:val="17"/>
              </w:rPr>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302" w:lineRule="auto" w:before="63"/>
              <w:ind w:left="22" w:right="95"/>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r>
              <w:rPr>
                <w:rFonts w:ascii="Times New Roman" w:hAnsi="Times New Roman" w:cs="Times New Roman" w:eastAsia="Times New Roman" w:hint="default"/>
                <w:sz w:val="18"/>
                <w:szCs w:val="18"/>
              </w:rPr>
              <w:t>-</w:t>
            </w:r>
            <w:r>
              <w:rPr>
                <w:rFonts w:ascii="宋体" w:hAnsi="宋体" w:cs="宋体" w:eastAsia="宋体" w:hint="default"/>
                <w:sz w:val="18"/>
                <w:szCs w:val="18"/>
              </w:rPr>
              <w:t>长期有 效</w:t>
            </w:r>
          </w:p>
        </w:tc>
        <w:tc>
          <w:tcPr>
            <w:tcW w:w="35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22" w:right="89"/>
              <w:jc w:val="left"/>
              <w:rPr>
                <w:rFonts w:ascii="宋体" w:hAnsi="宋体" w:cs="宋体" w:eastAsia="宋体" w:hint="default"/>
                <w:sz w:val="18"/>
                <w:szCs w:val="18"/>
              </w:rPr>
            </w:pPr>
            <w:r>
              <w:rPr>
                <w:rFonts w:ascii="宋体" w:hAnsi="宋体" w:cs="宋体" w:eastAsia="宋体" w:hint="default"/>
                <w:sz w:val="18"/>
                <w:szCs w:val="18"/>
              </w:rPr>
              <w:t>截至报告期末，上述承诺人严格信守承诺， 未发生违反承诺的情况。</w:t>
            </w:r>
          </w:p>
        </w:tc>
      </w:tr>
    </w:tbl>
    <w:p>
      <w:pPr>
        <w:spacing w:after="0" w:line="319" w:lineRule="auto"/>
        <w:jc w:val="left"/>
        <w:rPr>
          <w:rFonts w:ascii="宋体" w:hAnsi="宋体" w:cs="宋体" w:eastAsia="宋体" w:hint="default"/>
          <w:sz w:val="18"/>
          <w:szCs w:val="18"/>
        </w:rPr>
        <w:sectPr>
          <w:headerReference w:type="default" r:id="rId35"/>
          <w:footerReference w:type="default" r:id="rId36"/>
          <w:pgSz w:w="16840" w:h="11910" w:orient="landscape"/>
          <w:pgMar w:header="867" w:footer="979" w:top="1060" w:bottom="1160" w:left="900" w:right="880"/>
          <w:pgNumType w:start="74"/>
        </w:sectPr>
      </w:pPr>
    </w:p>
    <w:p>
      <w:pPr>
        <w:spacing w:line="319" w:lineRule="auto" w:before="87"/>
        <w:ind w:left="1844" w:right="0" w:firstLine="0"/>
        <w:jc w:val="both"/>
        <w:rPr>
          <w:rFonts w:ascii="宋体" w:hAnsi="宋体" w:cs="宋体" w:eastAsia="宋体" w:hint="default"/>
          <w:sz w:val="18"/>
          <w:szCs w:val="18"/>
        </w:rPr>
      </w:pPr>
      <w:r>
        <w:rPr/>
        <w:pict>
          <v:shape style="position:absolute;margin-left:414.140015pt;margin-top:57.180008pt;width:143.450pt;height:468.1pt;mso-position-horizontal-relative:page;mso-position-vertical-relative:page;z-index:-1222696" type="#_x0000_t202" filled="false" stroked="false">
            <v:textbox inset="0,0,0,0">
              <w:txbxContent>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6"/>
                      <w:szCs w:val="16"/>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不存在重大偿债风险，</w:t>
                  </w:r>
                </w:p>
              </w:txbxContent>
            </v:textbox>
            <w10:wrap type="none"/>
          </v:shape>
        </w:pict>
      </w:r>
      <w:r>
        <w:rPr/>
        <w:pict>
          <v:group style="position:absolute;margin-left:50.459999pt;margin-top:55.260006pt;width:741.5pt;height:470.8pt;mso-position-horizontal-relative:page;mso-position-vertical-relative:page;z-index:-1222672" coordorigin="1009,1105" coordsize="14830,9416">
            <v:group style="position:absolute;left:1410;top:1112;width:14020;height:2" coordorigin="1410,1112" coordsize="14020,2">
              <v:shape style="position:absolute;left:1410;top:1112;width:14020;height:2" coordorigin="1410,1112" coordsize="14020,0" path="m1410,1112l15430,1112e" filled="false" stroked="true" strokeweight=".72pt" strokecolor="#000000">
                <v:path arrowok="t"/>
              </v:shape>
            </v:group>
            <v:group style="position:absolute;left:1019;top:1144;width:1692;height:9362" coordorigin="1019,1144" coordsize="1692,9362">
              <v:shape style="position:absolute;left:1019;top:1144;width:1692;height:9362" coordorigin="1019,1144" coordsize="1692,9362" path="m1019,10505l2711,10505,2711,1144,1019,1144,1019,10505xe" filled="true" fillcolor="#d2d2d2" stroked="false">
                <v:path arrowok="t"/>
                <v:fill type="solid"/>
              </v:shape>
            </v:group>
            <v:group style="position:absolute;left:10027;top:1144;width:1125;height:9362" coordorigin="10027,1144" coordsize="1125,9362">
              <v:shape style="position:absolute;left:10027;top:1144;width:1125;height:9362" coordorigin="10027,1144" coordsize="1125,9362" path="m10027,10505l11151,10505,11151,1144,10027,1144,10027,10505xe" filled="true" fillcolor="#ffffff" stroked="false">
                <v:path arrowok="t"/>
                <v:fill type="solid"/>
              </v:shape>
            </v:group>
            <v:group style="position:absolute;left:1019;top:1139;width:1692;height:2" coordorigin="1019,1139" coordsize="1692,2">
              <v:shape style="position:absolute;left:1019;top:1139;width:1692;height:2" coordorigin="1019,1139" coordsize="1692,0" path="m1019,1139l2711,1139e" filled="false" stroked="true" strokeweight=".48pt" strokecolor="#000000">
                <v:path arrowok="t"/>
              </v:shape>
            </v:group>
            <v:group style="position:absolute;left:2720;top:1139;width:1268;height:2" coordorigin="2720,1139" coordsize="1268,2">
              <v:shape style="position:absolute;left:2720;top:1139;width:1268;height:2" coordorigin="2720,1139" coordsize="1268,0" path="m2720,1139l3988,1139e" filled="false" stroked="true" strokeweight=".48pt" strokecolor="#000000">
                <v:path arrowok="t"/>
              </v:shape>
            </v:group>
            <v:group style="position:absolute;left:3998;top:1139;width:840;height:2" coordorigin="3998,1139" coordsize="840,2">
              <v:shape style="position:absolute;left:3998;top:1139;width:840;height:2" coordorigin="3998,1139" coordsize="840,0" path="m3998,1139l4838,1139e" filled="false" stroked="true" strokeweight=".48pt" strokecolor="#000000">
                <v:path arrowok="t"/>
              </v:shape>
            </v:group>
            <v:group style="position:absolute;left:4847;top:1139;width:5170;height:2" coordorigin="4847,1139" coordsize="5170,2">
              <v:shape style="position:absolute;left:4847;top:1139;width:5170;height:2" coordorigin="4847,1139" coordsize="5170,0" path="m4847,1139l10017,1139e" filled="false" stroked="true" strokeweight=".48pt" strokecolor="#000000">
                <v:path arrowok="t"/>
              </v:shape>
            </v:group>
            <v:group style="position:absolute;left:10027;top:1139;width:1125;height:2" coordorigin="10027,1139" coordsize="1125,2">
              <v:shape style="position:absolute;left:10027;top:1139;width:1125;height:2" coordorigin="10027,1139" coordsize="1125,0" path="m10027,1139l11151,1139e" filled="false" stroked="true" strokeweight=".48pt" strokecolor="#000000">
                <v:path arrowok="t"/>
              </v:shape>
            </v:group>
            <v:group style="position:absolute;left:11161;top:1139;width:1125;height:2" coordorigin="11161,1139" coordsize="1125,2">
              <v:shape style="position:absolute;left:11161;top:1139;width:1125;height:2" coordorigin="11161,1139" coordsize="1125,0" path="m11161,1139l12285,1139e" filled="false" stroked="true" strokeweight=".48pt" strokecolor="#000000">
                <v:path arrowok="t"/>
              </v:shape>
            </v:group>
            <v:group style="position:absolute;left:12295;top:1139;width:3535;height:2" coordorigin="12295,1139" coordsize="3535,2">
              <v:shape style="position:absolute;left:12295;top:1139;width:3535;height:2" coordorigin="12295,1139" coordsize="3535,0" path="m12295,1139l15829,1139e" filled="false" stroked="true" strokeweight=".48pt" strokecolor="#000000">
                <v:path arrowok="t"/>
              </v:shape>
            </v:group>
            <v:group style="position:absolute;left:1014;top:1134;width:2;height:9382" coordorigin="1014,1134" coordsize="2,9382">
              <v:shape style="position:absolute;left:1014;top:1134;width:2;height:9382" coordorigin="1014,1134" coordsize="0,9382" path="m1014,1134l1014,10516e" filled="false" stroked="true" strokeweight=".48pt" strokecolor="#000000">
                <v:path arrowok="t"/>
              </v:shape>
            </v:group>
            <v:group style="position:absolute;left:1019;top:10511;width:1692;height:2" coordorigin="1019,10511" coordsize="1692,2">
              <v:shape style="position:absolute;left:1019;top:10511;width:1692;height:2" coordorigin="1019,10511" coordsize="1692,0" path="m1019,10511l2711,10511e" filled="false" stroked="true" strokeweight=".47998pt" strokecolor="#000000">
                <v:path arrowok="t"/>
              </v:shape>
            </v:group>
            <v:group style="position:absolute;left:2716;top:1134;width:2;height:9382" coordorigin="2716,1134" coordsize="2,9382">
              <v:shape style="position:absolute;left:2716;top:1134;width:2;height:9382" coordorigin="2716,1134" coordsize="0,9382" path="m2716,1134l2716,10516e" filled="false" stroked="true" strokeweight=".48001pt" strokecolor="#000000">
                <v:path arrowok="t"/>
              </v:shape>
            </v:group>
            <v:group style="position:absolute;left:2720;top:10511;width:1268;height:2" coordorigin="2720,10511" coordsize="1268,2">
              <v:shape style="position:absolute;left:2720;top:10511;width:1268;height:2" coordorigin="2720,10511" coordsize="1268,0" path="m2720,10511l3988,10511e" filled="false" stroked="true" strokeweight=".47998pt" strokecolor="#000000">
                <v:path arrowok="t"/>
              </v:shape>
            </v:group>
            <v:group style="position:absolute;left:3993;top:1134;width:2;height:9382" coordorigin="3993,1134" coordsize="2,9382">
              <v:shape style="position:absolute;left:3993;top:1134;width:2;height:9382" coordorigin="3993,1134" coordsize="0,9382" path="m3993,1134l3993,10516e" filled="false" stroked="true" strokeweight=".48pt" strokecolor="#000000">
                <v:path arrowok="t"/>
              </v:shape>
            </v:group>
            <v:group style="position:absolute;left:3998;top:10511;width:840;height:2" coordorigin="3998,10511" coordsize="840,2">
              <v:shape style="position:absolute;left:3998;top:10511;width:840;height:2" coordorigin="3998,10511" coordsize="840,0" path="m3998,10511l4838,10511e" filled="false" stroked="true" strokeweight=".47998pt" strokecolor="#000000">
                <v:path arrowok="t"/>
              </v:shape>
            </v:group>
            <v:group style="position:absolute;left:4842;top:1134;width:2;height:9382" coordorigin="4842,1134" coordsize="2,9382">
              <v:shape style="position:absolute;left:4842;top:1134;width:2;height:9382" coordorigin="4842,1134" coordsize="0,9382" path="m4842,1134l4842,10516e" filled="false" stroked="true" strokeweight=".48001pt" strokecolor="#000000">
                <v:path arrowok="t"/>
              </v:shape>
            </v:group>
            <v:group style="position:absolute;left:4847;top:10511;width:5170;height:2" coordorigin="4847,10511" coordsize="5170,2">
              <v:shape style="position:absolute;left:4847;top:10511;width:5170;height:2" coordorigin="4847,10511" coordsize="5170,0" path="m4847,10511l10017,10511e" filled="false" stroked="true" strokeweight=".47998pt" strokecolor="#000000">
                <v:path arrowok="t"/>
              </v:shape>
            </v:group>
            <v:group style="position:absolute;left:10022;top:1134;width:2;height:9382" coordorigin="10022,1134" coordsize="2,9382">
              <v:shape style="position:absolute;left:10022;top:1134;width:2;height:9382" coordorigin="10022,1134" coordsize="0,9382" path="m10022,1134l10022,10516e" filled="false" stroked="true" strokeweight=".48001pt" strokecolor="#000000">
                <v:path arrowok="t"/>
              </v:shape>
            </v:group>
            <v:group style="position:absolute;left:10027;top:10511;width:1125;height:2" coordorigin="10027,10511" coordsize="1125,2">
              <v:shape style="position:absolute;left:10027;top:10511;width:1125;height:2" coordorigin="10027,10511" coordsize="1125,0" path="m10027,10511l11151,10511e" filled="false" stroked="true" strokeweight=".47998pt" strokecolor="#000000">
                <v:path arrowok="t"/>
              </v:shape>
            </v:group>
            <v:group style="position:absolute;left:11156;top:1134;width:2;height:9382" coordorigin="11156,1134" coordsize="2,9382">
              <v:shape style="position:absolute;left:11156;top:1134;width:2;height:9382" coordorigin="11156,1134" coordsize="0,9382" path="m11156,1134l11156,10516e" filled="false" stroked="true" strokeweight=".47998pt" strokecolor="#000000">
                <v:path arrowok="t"/>
              </v:shape>
            </v:group>
            <v:group style="position:absolute;left:11161;top:10511;width:1125;height:2" coordorigin="11161,10511" coordsize="1125,2">
              <v:shape style="position:absolute;left:11161;top:10511;width:1125;height:2" coordorigin="11161,10511" coordsize="1125,0" path="m11161,10511l12285,10511e" filled="false" stroked="true" strokeweight=".47998pt" strokecolor="#000000">
                <v:path arrowok="t"/>
              </v:shape>
            </v:group>
            <v:group style="position:absolute;left:12290;top:1134;width:2;height:9382" coordorigin="12290,1134" coordsize="2,9382">
              <v:shape style="position:absolute;left:12290;top:1134;width:2;height:9382" coordorigin="12290,1134" coordsize="0,9382" path="m12290,1134l12290,10516e" filled="false" stroked="true" strokeweight=".47998pt" strokecolor="#000000">
                <v:path arrowok="t"/>
              </v:shape>
            </v:group>
            <v:group style="position:absolute;left:12295;top:10511;width:3535;height:2" coordorigin="12295,10511" coordsize="3535,2">
              <v:shape style="position:absolute;left:12295;top:10511;width:3535;height:2" coordorigin="12295,10511" coordsize="3535,0" path="m12295,10511l15829,10511e" filled="false" stroked="true" strokeweight=".47998pt" strokecolor="#000000">
                <v:path arrowok="t"/>
              </v:shape>
            </v:group>
            <v:group style="position:absolute;left:15834;top:1134;width:2;height:9382" coordorigin="15834,1134" coordsize="2,9382">
              <v:shape style="position:absolute;left:15834;top:1134;width:2;height:9382" coordorigin="15834,1134" coordsize="0,9382" path="m15834,1134l15834,10516e" filled="false" stroked="true" strokeweight=".48004pt" strokecolor="#000000">
                <v:path arrowok="t"/>
              </v:shape>
            </v:group>
            <w10:wrap type="none"/>
          </v:group>
        </w:pict>
      </w:r>
      <w:r>
        <w:rPr>
          <w:rFonts w:ascii="宋体" w:hAnsi="宋体" w:cs="宋体" w:eastAsia="宋体" w:hint="default"/>
          <w:spacing w:val="-6"/>
          <w:sz w:val="18"/>
          <w:szCs w:val="18"/>
        </w:rPr>
        <w:t>对方刘永春、丛</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6"/>
          <w:sz w:val="18"/>
          <w:szCs w:val="18"/>
        </w:rPr>
        <w:t>伟滋、李洪、熊</w:t>
      </w:r>
      <w:r>
        <w:rPr>
          <w:rFonts w:ascii="宋体" w:hAnsi="宋体" w:cs="宋体" w:eastAsia="宋体" w:hint="default"/>
          <w:sz w:val="18"/>
          <w:szCs w:val="18"/>
        </w:rPr>
        <w:t> 小洪、白海清、 黄暂度</w:t>
      </w:r>
    </w:p>
    <w:p>
      <w:pPr>
        <w:spacing w:line="312" w:lineRule="auto" w:before="87"/>
        <w:ind w:left="825" w:right="5939" w:firstLine="0"/>
        <w:jc w:val="left"/>
        <w:rPr>
          <w:rFonts w:ascii="宋体" w:hAnsi="宋体" w:cs="宋体" w:eastAsia="宋体" w:hint="default"/>
          <w:sz w:val="18"/>
          <w:szCs w:val="18"/>
        </w:rPr>
      </w:pPr>
      <w:r>
        <w:rPr/>
        <w:br w:type="column"/>
      </w:r>
      <w:r>
        <w:rPr>
          <w:rFonts w:ascii="宋体" w:hAnsi="宋体" w:cs="宋体" w:eastAsia="宋体" w:hint="default"/>
          <w:sz w:val="18"/>
          <w:szCs w:val="18"/>
        </w:rPr>
        <w:t>法规的行为，不存在任何违反工商、税收、土地、环保、海关以 及其他法律、行政法规，受到行政处罚且情节严重的情形；迪科 远望及其下属公司不存在正在进行或可预见的重大诉讼、仲裁或 行政处罚案件、刑事调查及刑事诉讼案件或处于任何与此相关的 其他法律程序，不存在因环境保护、知识产权、产品质量、劳动 安全、人身权等原因产生的侵权之债。</w:t>
      </w:r>
      <w:r>
        <w:rPr>
          <w:rFonts w:ascii="Times New Roman" w:hAnsi="Times New Roman" w:cs="Times New Roman" w:eastAsia="Times New Roman" w:hint="default"/>
          <w:sz w:val="18"/>
          <w:szCs w:val="18"/>
        </w:rPr>
        <w:t>2</w:t>
      </w:r>
      <w:r>
        <w:rPr>
          <w:rFonts w:ascii="宋体" w:hAnsi="宋体" w:cs="宋体" w:eastAsia="宋体" w:hint="default"/>
          <w:sz w:val="18"/>
          <w:szCs w:val="18"/>
        </w:rPr>
        <w:t>、截至本承诺函出具日， 迪科远望及其下属公司资产权属清晰，迪科远望及其下属公司合 法所有和</w:t>
      </w:r>
      <w:r>
        <w:rPr>
          <w:rFonts w:ascii="Times New Roman" w:hAnsi="Times New Roman" w:cs="Times New Roman" w:eastAsia="Times New Roman" w:hint="default"/>
          <w:sz w:val="18"/>
          <w:szCs w:val="18"/>
        </w:rPr>
        <w:t>/</w:t>
      </w:r>
      <w:r>
        <w:rPr>
          <w:rFonts w:ascii="宋体" w:hAnsi="宋体" w:cs="宋体" w:eastAsia="宋体" w:hint="default"/>
          <w:sz w:val="18"/>
          <w:szCs w:val="18"/>
        </w:rPr>
        <w:t>或使用的财产（包括固定资产、无形资产等）不存在产 权纠纷或潜在纠纷，亦不存在被设定抵押、其他担保或第三方权 益或被司法查封、扣押、冻结或其他使该等所有权和</w:t>
      </w:r>
      <w:r>
        <w:rPr>
          <w:rFonts w:ascii="Times New Roman" w:hAnsi="Times New Roman" w:cs="Times New Roman" w:eastAsia="Times New Roman" w:hint="default"/>
          <w:sz w:val="18"/>
          <w:szCs w:val="18"/>
        </w:rPr>
        <w:t>/</w:t>
      </w:r>
      <w:r>
        <w:rPr>
          <w:rFonts w:ascii="宋体" w:hAnsi="宋体" w:cs="宋体" w:eastAsia="宋体" w:hint="default"/>
          <w:sz w:val="18"/>
          <w:szCs w:val="18"/>
        </w:rPr>
        <w:t>或使用权的 权利行使、转让受到限制的情形；迪科远望及其下属公司目前不 存在拟进行的资产置换、资产剥离、资产出售或收购等重大资产 </w:t>
      </w:r>
      <w:r>
        <w:rPr>
          <w:rFonts w:ascii="宋体" w:hAnsi="宋体" w:cs="宋体" w:eastAsia="宋体" w:hint="default"/>
          <w:spacing w:val="-1"/>
          <w:sz w:val="18"/>
          <w:szCs w:val="18"/>
        </w:rPr>
        <w:t>变化情况。</w:t>
      </w:r>
      <w:r>
        <w:rPr>
          <w:rFonts w:ascii="Times New Roman" w:hAnsi="Times New Roman" w:cs="Times New Roman" w:eastAsia="Times New Roman" w:hint="default"/>
          <w:spacing w:val="-1"/>
          <w:sz w:val="18"/>
          <w:szCs w:val="18"/>
        </w:rPr>
        <w:t>3</w:t>
      </w:r>
      <w:r>
        <w:rPr>
          <w:rFonts w:ascii="宋体" w:hAnsi="宋体" w:cs="宋体" w:eastAsia="宋体" w:hint="default"/>
          <w:spacing w:val="-1"/>
          <w:sz w:val="18"/>
          <w:szCs w:val="18"/>
        </w:rPr>
        <w:t>、迪科远望及其下属公司的董事、监事、高级管理人</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员在最近</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2"/>
          <w:sz w:val="18"/>
          <w:szCs w:val="18"/>
        </w:rPr>
        <w:t> </w:t>
      </w:r>
      <w:r>
        <w:rPr>
          <w:rFonts w:ascii="宋体" w:hAnsi="宋体" w:cs="宋体" w:eastAsia="宋体" w:hint="default"/>
          <w:spacing w:val="-4"/>
          <w:sz w:val="18"/>
          <w:szCs w:val="18"/>
        </w:rPr>
        <w:t>年内未受过行政处罚（与证券市场明显无关的除外）、</w:t>
      </w:r>
      <w:r>
        <w:rPr>
          <w:rFonts w:ascii="宋体" w:hAnsi="宋体" w:cs="宋体" w:eastAsia="宋体" w:hint="default"/>
          <w:sz w:val="18"/>
          <w:szCs w:val="18"/>
        </w:rPr>
        <w:t> 刑事处罚，未涉及与经济纠纷有关的重大民事诉讼或仲裁，不存 在尚未了结的或可预见的重大诉讼、仲裁或行政处罚案件，不存 在任何其他根据相关法律法规或公司章程不能担任公司董事、监 </w:t>
      </w:r>
      <w:r>
        <w:rPr>
          <w:rFonts w:ascii="宋体" w:hAnsi="宋体" w:cs="宋体" w:eastAsia="宋体" w:hint="default"/>
          <w:spacing w:val="-1"/>
          <w:sz w:val="18"/>
          <w:szCs w:val="18"/>
        </w:rPr>
        <w:t>事、高级管理人员的情形。</w:t>
      </w:r>
      <w:r>
        <w:rPr>
          <w:rFonts w:ascii="Times New Roman" w:hAnsi="Times New Roman" w:cs="Times New Roman" w:eastAsia="Times New Roman" w:hint="default"/>
          <w:spacing w:val="-1"/>
          <w:sz w:val="18"/>
          <w:szCs w:val="18"/>
        </w:rPr>
        <w:t>4</w:t>
      </w:r>
      <w:r>
        <w:rPr>
          <w:rFonts w:ascii="宋体" w:hAnsi="宋体" w:cs="宋体" w:eastAsia="宋体" w:hint="default"/>
          <w:spacing w:val="-1"/>
          <w:sz w:val="18"/>
          <w:szCs w:val="18"/>
        </w:rPr>
        <w:t>、截至本承诺函出具日，迪科远望及</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其下属公司不存在任何形式对外担保情形， 不存在影响持续经营的担保、诉讼以及仲裁等重大或有事项。</w:t>
      </w:r>
      <w:r>
        <w:rPr>
          <w:rFonts w:ascii="Times New Roman" w:hAnsi="Times New Roman" w:cs="Times New Roman" w:eastAsia="Times New Roman" w:hint="default"/>
          <w:sz w:val="18"/>
          <w:szCs w:val="18"/>
        </w:rPr>
        <w:t>5</w:t>
      </w:r>
      <w:r>
        <w:rPr>
          <w:rFonts w:ascii="宋体" w:hAnsi="宋体" w:cs="宋体" w:eastAsia="宋体" w:hint="default"/>
          <w:sz w:val="18"/>
          <w:szCs w:val="18"/>
        </w:rPr>
        <w:t>、 迪科远望及其下属公司的业务独立于控股股东、实际控制人及其 控制的其他企业，与控股股东、实际控制人及其控制的其他企业 间不存在同业竞争，以及严重影响迪科远望及下属公司独立性或 </w:t>
      </w:r>
      <w:r>
        <w:rPr>
          <w:rFonts w:ascii="宋体" w:hAnsi="宋体" w:cs="宋体" w:eastAsia="宋体" w:hint="default"/>
          <w:spacing w:val="-1"/>
          <w:sz w:val="18"/>
          <w:szCs w:val="18"/>
        </w:rPr>
        <w:t>显失公允的关联交易。</w:t>
      </w:r>
      <w:r>
        <w:rPr>
          <w:rFonts w:ascii="Times New Roman" w:hAnsi="Times New Roman" w:cs="Times New Roman" w:eastAsia="Times New Roman" w:hint="default"/>
          <w:spacing w:val="-1"/>
          <w:sz w:val="18"/>
          <w:szCs w:val="18"/>
        </w:rPr>
        <w:t>6</w:t>
      </w:r>
      <w:r>
        <w:rPr>
          <w:rFonts w:ascii="宋体" w:hAnsi="宋体" w:cs="宋体" w:eastAsia="宋体" w:hint="default"/>
          <w:spacing w:val="-1"/>
          <w:sz w:val="18"/>
          <w:szCs w:val="18"/>
        </w:rPr>
        <w:t>、截至本承诺函出具日，迪科远望及下属</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公司不存在为控股股东、实际控制人、其他股东、董事、监事、 高级管理人员及其控制的其他企业进行违规担保的情形，不存在 资金或资产被控股股东、实际控制人、其他股东、董事、监事、 高级管理人员及其控制的其他企业以借款、代偿债务、代垫款项 </w:t>
      </w:r>
      <w:r>
        <w:rPr>
          <w:rFonts w:ascii="宋体" w:hAnsi="宋体" w:cs="宋体" w:eastAsia="宋体" w:hint="default"/>
          <w:spacing w:val="-1"/>
          <w:sz w:val="18"/>
          <w:szCs w:val="18"/>
        </w:rPr>
        <w:t>或者其他方式占用的情形。</w:t>
      </w:r>
      <w:r>
        <w:rPr>
          <w:rFonts w:ascii="Times New Roman" w:hAnsi="Times New Roman" w:cs="Times New Roman" w:eastAsia="Times New Roman" w:hint="default"/>
          <w:spacing w:val="-1"/>
          <w:sz w:val="18"/>
          <w:szCs w:val="18"/>
        </w:rPr>
        <w:t>7</w:t>
      </w:r>
      <w:r>
        <w:rPr>
          <w:rFonts w:ascii="宋体" w:hAnsi="宋体" w:cs="宋体" w:eastAsia="宋体" w:hint="default"/>
          <w:spacing w:val="-1"/>
          <w:sz w:val="18"/>
          <w:szCs w:val="18"/>
        </w:rPr>
        <w:t>、承诺人做出的上述承诺以及承诺人</w:t>
      </w:r>
      <w:r>
        <w:rPr>
          <w:rFonts w:ascii="宋体" w:hAnsi="宋体" w:cs="宋体" w:eastAsia="宋体" w:hint="default"/>
          <w:spacing w:val="-69"/>
          <w:sz w:val="18"/>
          <w:szCs w:val="18"/>
        </w:rPr>
        <w:t> </w:t>
      </w:r>
      <w:r>
        <w:rPr>
          <w:rFonts w:ascii="宋体" w:hAnsi="宋体" w:cs="宋体" w:eastAsia="宋体" w:hint="default"/>
          <w:spacing w:val="-69"/>
          <w:sz w:val="18"/>
          <w:szCs w:val="18"/>
        </w:rPr>
      </w:r>
      <w:r>
        <w:rPr>
          <w:rFonts w:ascii="宋体" w:hAnsi="宋体" w:cs="宋体" w:eastAsia="宋体" w:hint="default"/>
          <w:sz w:val="18"/>
          <w:szCs w:val="18"/>
        </w:rPr>
        <w:t>在与迪科远望及其他股东、新开普共同签署的《新开普电子股份</w:t>
      </w:r>
    </w:p>
    <w:p>
      <w:pPr>
        <w:spacing w:after="0" w:line="312" w:lineRule="auto"/>
        <w:jc w:val="left"/>
        <w:rPr>
          <w:rFonts w:ascii="宋体" w:hAnsi="宋体" w:cs="宋体" w:eastAsia="宋体" w:hint="default"/>
          <w:sz w:val="18"/>
          <w:szCs w:val="18"/>
        </w:rPr>
        <w:sectPr>
          <w:pgSz w:w="16840" w:h="11910" w:orient="landscape"/>
          <w:pgMar w:header="867" w:footer="979" w:top="1060" w:bottom="1160" w:left="900" w:right="880"/>
          <w:cols w:num="2" w:equalWidth="0">
            <w:col w:w="3105" w:space="40"/>
            <w:col w:w="11915"/>
          </w:cols>
        </w:sectPr>
      </w:pPr>
    </w:p>
    <w:p>
      <w:pPr>
        <w:spacing w:line="240" w:lineRule="auto" w:before="4"/>
        <w:rPr>
          <w:rFonts w:ascii="Times New Roman" w:hAnsi="Times New Roman" w:cs="Times New Roman" w:eastAsia="Times New Roman" w:hint="default"/>
          <w:sz w:val="3"/>
          <w:szCs w:val="3"/>
        </w:rPr>
      </w:pPr>
      <w:r>
        <w:rPr/>
        <w:pict>
          <v:shape style="position:absolute;margin-left:450.140015pt;margin-top:57.180008pt;width:107.45pt;height:468.1pt;mso-position-horizontal-relative:page;mso-position-vertical-relative:page;z-index:-1222624" type="#_x0000_t202" filled="false" stroked="false">
            <v:textbox inset="0,0,0,0">
              <w:txbxContent>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before="144"/>
                    <w:ind w:left="0" w:right="0" w:firstLine="0"/>
                    <w:jc w:val="left"/>
                    <w:rPr>
                      <w:rFonts w:ascii="宋体" w:hAnsi="宋体" w:cs="宋体" w:eastAsia="宋体" w:hint="default"/>
                      <w:sz w:val="18"/>
                      <w:szCs w:val="18"/>
                    </w:rPr>
                  </w:pPr>
                  <w:r>
                    <w:rPr>
                      <w:rFonts w:ascii="宋体" w:hAnsi="宋体" w:cs="宋体" w:eastAsia="宋体" w:hint="default"/>
                      <w:sz w:val="18"/>
                      <w:szCs w:val="18"/>
                    </w:rPr>
                    <w:t>承诺人承诺，</w:t>
                  </w:r>
                </w:p>
              </w:txbxContent>
            </v:textbox>
            <w10:wrap type="none"/>
          </v:shape>
        </w:pict>
      </w:r>
    </w:p>
    <w:tbl>
      <w:tblPr>
        <w:tblW w:w="0" w:type="auto"/>
        <w:jc w:val="left"/>
        <w:tblInd w:w="109" w:type="dxa"/>
        <w:tblLayout w:type="fixed"/>
        <w:tblCellMar>
          <w:top w:w="0" w:type="dxa"/>
          <w:left w:w="0" w:type="dxa"/>
          <w:bottom w:w="0" w:type="dxa"/>
          <w:right w:w="0" w:type="dxa"/>
        </w:tblCellMar>
        <w:tblLook w:val="01E0"/>
      </w:tblPr>
      <w:tblGrid>
        <w:gridCol w:w="1702"/>
        <w:gridCol w:w="1277"/>
        <w:gridCol w:w="850"/>
        <w:gridCol w:w="5180"/>
        <w:gridCol w:w="1134"/>
        <w:gridCol w:w="1134"/>
        <w:gridCol w:w="3544"/>
      </w:tblGrid>
      <w:tr>
        <w:trPr>
          <w:trHeight w:val="332" w:hRule="exact"/>
        </w:trPr>
        <w:tc>
          <w:tcPr>
            <w:tcW w:w="1702" w:type="dxa"/>
            <w:vMerge w:val="restart"/>
            <w:tcBorders>
              <w:top w:val="single" w:sz="15" w:space="0" w:color="000000"/>
              <w:left w:val="single" w:sz="4" w:space="0" w:color="000000"/>
              <w:right w:val="single" w:sz="4" w:space="0" w:color="000000"/>
            </w:tcBorders>
            <w:shd w:val="clear" w:color="auto" w:fill="D2D2D2"/>
          </w:tcPr>
          <w:p>
            <w:pPr/>
          </w:p>
        </w:tc>
        <w:tc>
          <w:tcPr>
            <w:tcW w:w="1277" w:type="dxa"/>
            <w:vMerge w:val="restart"/>
            <w:tcBorders>
              <w:top w:val="single" w:sz="15" w:space="0" w:color="000000"/>
              <w:left w:val="single" w:sz="4" w:space="0" w:color="000000"/>
              <w:right w:val="single" w:sz="4" w:space="0" w:color="000000"/>
            </w:tcBorders>
          </w:tcPr>
          <w:p>
            <w:pPr/>
          </w:p>
        </w:tc>
        <w:tc>
          <w:tcPr>
            <w:tcW w:w="850" w:type="dxa"/>
            <w:vMerge w:val="restart"/>
            <w:tcBorders>
              <w:top w:val="single" w:sz="15" w:space="0" w:color="000000"/>
              <w:left w:val="single" w:sz="4" w:space="0" w:color="000000"/>
              <w:right w:val="single" w:sz="4" w:space="0" w:color="000000"/>
            </w:tcBorders>
          </w:tcPr>
          <w:p>
            <w:pPr/>
          </w:p>
        </w:tc>
        <w:tc>
          <w:tcPr>
            <w:tcW w:w="5180" w:type="dxa"/>
            <w:tcBorders>
              <w:top w:val="single" w:sz="15" w:space="0" w:color="000000"/>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有限公司发行股份及支付现金购买资产协议》中做出的关于迪科</w:t>
            </w:r>
          </w:p>
        </w:tc>
        <w:tc>
          <w:tcPr>
            <w:tcW w:w="1134" w:type="dxa"/>
            <w:vMerge w:val="restart"/>
            <w:tcBorders>
              <w:top w:val="single" w:sz="15" w:space="0" w:color="000000"/>
              <w:left w:val="single" w:sz="4" w:space="0" w:color="000000"/>
              <w:right w:val="single" w:sz="4" w:space="0" w:color="000000"/>
            </w:tcBorders>
          </w:tcPr>
          <w:p>
            <w:pPr>
              <w:pStyle w:val="TableParagraph"/>
              <w:spacing w:line="9361" w:lineRule="exact"/>
              <w:ind w:right="-51"/>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86"/>
                <w:sz w:val="20"/>
                <w:szCs w:val="20"/>
              </w:rPr>
              <w:pict>
                <v:group style="width:56.25pt;height:468.1pt;mso-position-horizontal-relative:char;mso-position-vertical-relative:line" coordorigin="0,0" coordsize="1125,9362">
                  <v:group style="position:absolute;left:0;top:0;width:1125;height:9362" coordorigin="0,0" coordsize="1125,9362">
                    <v:shape style="position:absolute;left:0;top:0;width:1125;height:9362" coordorigin="0,0" coordsize="1125,9362" path="m0,9361l1124,9361,1124,0,0,0,0,9361xe" filled="true" fillcolor="#ffffff" stroked="false">
                      <v:path arrowok="t"/>
                      <v:fill type="solid"/>
                    </v:shape>
                  </v:group>
                </v:group>
              </w:pict>
            </w:r>
            <w:r>
              <w:rPr>
                <w:rFonts w:ascii="Times New Roman" w:hAnsi="Times New Roman" w:cs="Times New Roman" w:eastAsia="Times New Roman" w:hint="default"/>
                <w:position w:val="-186"/>
                <w:sz w:val="20"/>
                <w:szCs w:val="20"/>
              </w:rPr>
            </w:r>
          </w:p>
        </w:tc>
        <w:tc>
          <w:tcPr>
            <w:tcW w:w="1134" w:type="dxa"/>
            <w:vMerge w:val="restart"/>
            <w:tcBorders>
              <w:top w:val="single" w:sz="15" w:space="0" w:color="000000"/>
              <w:left w:val="single" w:sz="4" w:space="0" w:color="000000"/>
              <w:right w:val="single" w:sz="4" w:space="0" w:color="000000"/>
            </w:tcBorders>
          </w:tcPr>
          <w:p>
            <w:pPr/>
          </w:p>
        </w:tc>
        <w:tc>
          <w:tcPr>
            <w:tcW w:w="3544" w:type="dxa"/>
            <w:vMerge w:val="restart"/>
            <w:tcBorders>
              <w:top w:val="single" w:sz="15" w:space="0" w:color="000000"/>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远望及其下属公司的相关声明、承诺和保证真实、准确、完整，</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不存在重大遗漏或误导性陈述；如前述承诺事项与实际情况不相</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符对新开普造成损失的，本人将以除持有的迪科远望股份以外的</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其他合法财产对新开普承担赔偿责任；如该等损失由迪科远望先</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行承担，承诺人应在迪科远望承担该等损失之日起</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日内以除迪</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0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科远望股份以外的其他合法财产，按照本承诺函签署日承诺人各</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自持有的迪科远望股份比例对迪科远望承担全部补偿责任。</w:t>
            </w:r>
            <w:r>
              <w:rPr>
                <w:rFonts w:ascii="Times New Roman" w:hAnsi="Times New Roman" w:cs="Times New Roman" w:eastAsia="Times New Roman" w:hint="default"/>
                <w:sz w:val="18"/>
                <w:szCs w:val="18"/>
              </w:rPr>
              <w:t>8</w:t>
            </w:r>
            <w:r>
              <w:rPr>
                <w:rFonts w:ascii="宋体" w:hAnsi="宋体" w:cs="宋体" w:eastAsia="宋体" w:hint="default"/>
                <w:sz w:val="18"/>
                <w:szCs w:val="18"/>
              </w:rPr>
              <w:t>、迪</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0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科远望在整体变更设立股份有限公司时，暂未代扣代缴相关所得</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税税款。如果今后国家有关税务主管部门就上述事项要求纳税义</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务人补缴税款及相关滞纳金或承担法律责任，承诺人愿意按照有</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关部门的要求以自有资金先行补缴并承担相应的法律责任；如有</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关部门要求迪科远望先行承担法律责任，承诺人应在迪科远望承</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担该等损失之日起</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日内以除迪科远望股份以外的其他合法财</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0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产，按照本承诺函签署日承诺人各自持有的迪科远望股份比例对</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迪科远望承担全部补偿责任。</w:t>
            </w:r>
            <w:r>
              <w:rPr>
                <w:rFonts w:ascii="Times New Roman" w:hAnsi="Times New Roman" w:cs="Times New Roman" w:eastAsia="Times New Roman" w:hint="default"/>
                <w:sz w:val="18"/>
                <w:szCs w:val="18"/>
              </w:rPr>
              <w:t>9</w:t>
            </w:r>
            <w:r>
              <w:rPr>
                <w:rFonts w:ascii="宋体" w:hAnsi="宋体" w:cs="宋体" w:eastAsia="宋体" w:hint="default"/>
                <w:sz w:val="18"/>
                <w:szCs w:val="18"/>
              </w:rPr>
              <w:t>、截至本承诺函出具日，迪科远望</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0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及其下属公司租赁的部分房屋存在瑕疵，包括所租赁房屋未取得</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所有权证，未向有关房地产管理部门办理房屋租赁登记备案手续</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等情形。根据相关法律规定，迪科远望及其下属公司的上述房屋</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租赁行为存在被相关政府主管部门予以处罚的风险。</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如因前述不规范租赁行为造成罚款、产生搬迁费用以及给迪科远</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望及其下属公司造成其他损失，承诺人应在迪科远望及其下属公</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司承担该等损失之日起</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日内以除迪科远望股份以外的其他合法</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0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财产，按照本承诺函签署日承诺人各自持有的迪科远望股份比例</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对迪科远望承担全部补偿责任。</w:t>
            </w:r>
            <w:r>
              <w:rPr>
                <w:rFonts w:ascii="Times New Roman" w:hAnsi="Times New Roman" w:cs="Times New Roman" w:eastAsia="Times New Roman" w:hint="default"/>
                <w:sz w:val="18"/>
                <w:szCs w:val="18"/>
              </w:rPr>
              <w:t>10</w:t>
            </w:r>
            <w:r>
              <w:rPr>
                <w:rFonts w:ascii="宋体" w:hAnsi="宋体" w:cs="宋体" w:eastAsia="宋体" w:hint="default"/>
                <w:sz w:val="18"/>
                <w:szCs w:val="18"/>
              </w:rPr>
              <w:t>、截至本承诺函出具日，迪科</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0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远望及其下属公司不存在未依法缴纳税款的情形。承诺人承诺，</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如因交割日（交割日为迪科远望的股东变更为新开普，且办理完</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毕各项股东变更登记手续之日，下同）前迪科远望及其下属公司</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未按规定缴纳任何税款而于交割日后被要求补缴和</w:t>
            </w:r>
            <w:r>
              <w:rPr>
                <w:rFonts w:ascii="Times New Roman" w:hAnsi="Times New Roman" w:cs="Times New Roman" w:eastAsia="Times New Roman" w:hint="default"/>
                <w:sz w:val="18"/>
                <w:szCs w:val="18"/>
              </w:rPr>
              <w:t>/</w:t>
            </w:r>
            <w:r>
              <w:rPr>
                <w:rFonts w:ascii="宋体" w:hAnsi="宋体" w:cs="宋体" w:eastAsia="宋体" w:hint="default"/>
                <w:sz w:val="18"/>
                <w:szCs w:val="18"/>
              </w:rPr>
              <w:t>或承担其他法</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3" w:hRule="exact"/>
        </w:trPr>
        <w:tc>
          <w:tcPr>
            <w:tcW w:w="1702" w:type="dxa"/>
            <w:vMerge/>
            <w:tcBorders>
              <w:left w:val="single" w:sz="4" w:space="0" w:color="000000"/>
              <w:bottom w:val="single" w:sz="4" w:space="0" w:color="000000"/>
              <w:right w:val="single" w:sz="4" w:space="0" w:color="000000"/>
            </w:tcBorders>
            <w:shd w:val="clear" w:color="auto" w:fill="D2D2D2"/>
          </w:tcPr>
          <w:p>
            <w:pPr/>
          </w:p>
        </w:tc>
        <w:tc>
          <w:tcPr>
            <w:tcW w:w="1277" w:type="dxa"/>
            <w:vMerge/>
            <w:tcBorders>
              <w:left w:val="single" w:sz="4" w:space="0" w:color="000000"/>
              <w:bottom w:val="single" w:sz="4" w:space="0" w:color="000000"/>
              <w:right w:val="single" w:sz="4" w:space="0" w:color="000000"/>
            </w:tcBorders>
          </w:tcPr>
          <w:p>
            <w:pPr/>
          </w:p>
        </w:tc>
        <w:tc>
          <w:tcPr>
            <w:tcW w:w="850" w:type="dxa"/>
            <w:vMerge/>
            <w:tcBorders>
              <w:left w:val="single" w:sz="4" w:space="0" w:color="000000"/>
              <w:bottom w:val="single" w:sz="4" w:space="0" w:color="000000"/>
              <w:right w:val="single" w:sz="4" w:space="0" w:color="000000"/>
            </w:tcBorders>
          </w:tcPr>
          <w:p>
            <w:pPr/>
          </w:p>
        </w:tc>
        <w:tc>
          <w:tcPr>
            <w:tcW w:w="518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律责任，承诺人应就迪科远望及其下属公司的该等损失承担赔偿</w:t>
            </w:r>
          </w:p>
        </w:tc>
        <w:tc>
          <w:tcPr>
            <w:tcW w:w="1134" w:type="dxa"/>
            <w:vMerge/>
            <w:tcBorders>
              <w:left w:val="single" w:sz="4" w:space="0" w:color="000000"/>
              <w:bottom w:val="single" w:sz="4" w:space="0" w:color="000000"/>
              <w:right w:val="single" w:sz="4" w:space="0" w:color="000000"/>
            </w:tcBorders>
          </w:tcPr>
          <w:p>
            <w:pPr/>
          </w:p>
        </w:tc>
        <w:tc>
          <w:tcPr>
            <w:tcW w:w="1134" w:type="dxa"/>
            <w:vMerge/>
            <w:tcBorders>
              <w:left w:val="single" w:sz="4" w:space="0" w:color="000000"/>
              <w:bottom w:val="single" w:sz="4" w:space="0" w:color="000000"/>
              <w:right w:val="single" w:sz="4" w:space="0" w:color="000000"/>
            </w:tcBorders>
          </w:tcPr>
          <w:p>
            <w:pPr/>
          </w:p>
        </w:tc>
        <w:tc>
          <w:tcPr>
            <w:tcW w:w="3544" w:type="dxa"/>
            <w:vMerge/>
            <w:tcBorders>
              <w:left w:val="single" w:sz="4" w:space="0" w:color="000000"/>
              <w:bottom w:val="single" w:sz="4" w:space="0" w:color="000000"/>
              <w:right w:val="single" w:sz="4" w:space="0" w:color="000000"/>
            </w:tcBorders>
          </w:tcPr>
          <w:p>
            <w:pPr/>
          </w:p>
        </w:tc>
      </w:tr>
    </w:tbl>
    <w:p>
      <w:pPr>
        <w:spacing w:after="0"/>
        <w:sectPr>
          <w:pgSz w:w="16840" w:h="11910" w:orient="landscape"/>
          <w:pgMar w:header="867" w:footer="979" w:top="1060" w:bottom="1160" w:left="900" w:right="880"/>
        </w:sectPr>
      </w:pPr>
    </w:p>
    <w:p>
      <w:pPr>
        <w:spacing w:line="240" w:lineRule="auto" w:before="4"/>
        <w:rPr>
          <w:rFonts w:ascii="Times New Roman" w:hAnsi="Times New Roman" w:cs="Times New Roman" w:eastAsia="Times New Roman" w:hint="default"/>
          <w:sz w:val="3"/>
          <w:szCs w:val="3"/>
        </w:rPr>
      </w:pPr>
    </w:p>
    <w:tbl>
      <w:tblPr>
        <w:tblW w:w="0" w:type="auto"/>
        <w:jc w:val="left"/>
        <w:tblInd w:w="109" w:type="dxa"/>
        <w:tblLayout w:type="fixed"/>
        <w:tblCellMar>
          <w:top w:w="0" w:type="dxa"/>
          <w:left w:w="0" w:type="dxa"/>
          <w:bottom w:w="0" w:type="dxa"/>
          <w:right w:w="0" w:type="dxa"/>
        </w:tblCellMar>
        <w:tblLook w:val="01E0"/>
      </w:tblPr>
      <w:tblGrid>
        <w:gridCol w:w="1702"/>
        <w:gridCol w:w="1277"/>
        <w:gridCol w:w="850"/>
        <w:gridCol w:w="5180"/>
        <w:gridCol w:w="1134"/>
        <w:gridCol w:w="1134"/>
        <w:gridCol w:w="3544"/>
      </w:tblGrid>
      <w:tr>
        <w:trPr>
          <w:trHeight w:val="332" w:hRule="exact"/>
        </w:trPr>
        <w:tc>
          <w:tcPr>
            <w:tcW w:w="1702" w:type="dxa"/>
            <w:vMerge w:val="restart"/>
            <w:tcBorders>
              <w:top w:val="single" w:sz="15" w:space="0" w:color="000000"/>
              <w:left w:val="single" w:sz="4" w:space="0" w:color="000000"/>
              <w:right w:val="single" w:sz="4" w:space="0" w:color="000000"/>
            </w:tcBorders>
            <w:shd w:val="clear" w:color="auto" w:fill="D2D2D2"/>
          </w:tcPr>
          <w:p>
            <w:pPr/>
          </w:p>
        </w:tc>
        <w:tc>
          <w:tcPr>
            <w:tcW w:w="1277" w:type="dxa"/>
            <w:vMerge w:val="restart"/>
            <w:tcBorders>
              <w:top w:val="single" w:sz="15" w:space="0" w:color="000000"/>
              <w:left w:val="single" w:sz="4" w:space="0" w:color="000000"/>
              <w:right w:val="single" w:sz="4" w:space="0" w:color="000000"/>
            </w:tcBorders>
          </w:tcPr>
          <w:p>
            <w:pPr/>
          </w:p>
        </w:tc>
        <w:tc>
          <w:tcPr>
            <w:tcW w:w="850" w:type="dxa"/>
            <w:vMerge w:val="restart"/>
            <w:tcBorders>
              <w:top w:val="single" w:sz="15" w:space="0" w:color="000000"/>
              <w:left w:val="single" w:sz="4" w:space="0" w:color="000000"/>
              <w:right w:val="single" w:sz="4" w:space="0" w:color="000000"/>
            </w:tcBorders>
          </w:tcPr>
          <w:p>
            <w:pPr/>
          </w:p>
        </w:tc>
        <w:tc>
          <w:tcPr>
            <w:tcW w:w="5180" w:type="dxa"/>
            <w:tcBorders>
              <w:top w:val="single" w:sz="15" w:space="0" w:color="000000"/>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责任；如该等损失由迪科远望及其下属公司先行承担，承诺人应</w:t>
            </w:r>
          </w:p>
        </w:tc>
        <w:tc>
          <w:tcPr>
            <w:tcW w:w="1134" w:type="dxa"/>
            <w:vMerge w:val="restart"/>
            <w:tcBorders>
              <w:top w:val="single" w:sz="15" w:space="0" w:color="000000"/>
              <w:left w:val="single" w:sz="4" w:space="0" w:color="000000"/>
              <w:right w:val="single" w:sz="4" w:space="0" w:color="000000"/>
            </w:tcBorders>
          </w:tcPr>
          <w:p>
            <w:pPr/>
          </w:p>
        </w:tc>
        <w:tc>
          <w:tcPr>
            <w:tcW w:w="1134" w:type="dxa"/>
            <w:vMerge w:val="restart"/>
            <w:tcBorders>
              <w:top w:val="single" w:sz="15" w:space="0" w:color="000000"/>
              <w:left w:val="single" w:sz="4" w:space="0" w:color="000000"/>
              <w:right w:val="single" w:sz="4" w:space="0" w:color="000000"/>
            </w:tcBorders>
          </w:tcPr>
          <w:p>
            <w:pPr/>
          </w:p>
        </w:tc>
        <w:tc>
          <w:tcPr>
            <w:tcW w:w="3544" w:type="dxa"/>
            <w:vMerge w:val="restart"/>
            <w:tcBorders>
              <w:top w:val="single" w:sz="15" w:space="0" w:color="000000"/>
              <w:left w:val="single" w:sz="4" w:space="0" w:color="000000"/>
              <w:right w:val="single" w:sz="4" w:space="0" w:color="000000"/>
            </w:tcBorders>
          </w:tcPr>
          <w:p>
            <w:pPr/>
          </w:p>
        </w:tc>
      </w:tr>
      <w:tr>
        <w:trPr>
          <w:trHeight w:val="31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在迪科远望及其下属公司承担该等损失之日起</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日内以除迪科远</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0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望股份以外的其他合法财产，按照本承诺函签署日承诺人各自持</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有的迪科远望股份比例对迪科远望承担全部补偿责任。</w:t>
            </w:r>
            <w:r>
              <w:rPr>
                <w:rFonts w:ascii="Times New Roman" w:hAnsi="Times New Roman" w:cs="Times New Roman" w:eastAsia="Times New Roman" w:hint="default"/>
                <w:sz w:val="18"/>
                <w:szCs w:val="18"/>
              </w:rPr>
              <w:t>11</w:t>
            </w:r>
            <w:r>
              <w:rPr>
                <w:rFonts w:ascii="宋体" w:hAnsi="宋体" w:cs="宋体" w:eastAsia="宋体" w:hint="default"/>
                <w:sz w:val="18"/>
                <w:szCs w:val="18"/>
              </w:rPr>
              <w:t>、截至</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0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本承诺函出具日，迪科远望及其下属公司不存在未依法缴纳的社</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会保险费，如迪科远望及其下属公司因在交割日前未依法为员工</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缴纳社会保险费而在交割日后受到任何处罚、追索、索赔或受到</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任何损失（包括但不限于依法需为员工补缴的社会保险费及任何</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滞纳金</w:t>
            </w:r>
            <w:r>
              <w:rPr>
                <w:rFonts w:ascii="宋体" w:hAnsi="宋体" w:cs="宋体" w:eastAsia="宋体" w:hint="default"/>
                <w:spacing w:val="-20"/>
                <w:sz w:val="18"/>
                <w:szCs w:val="18"/>
              </w:rPr>
              <w:t>、</w:t>
            </w:r>
            <w:r>
              <w:rPr>
                <w:rFonts w:ascii="宋体" w:hAnsi="宋体" w:cs="宋体" w:eastAsia="宋体" w:hint="default"/>
                <w:sz w:val="18"/>
                <w:szCs w:val="18"/>
              </w:rPr>
              <w:t>罚款</w:t>
            </w:r>
            <w:r>
              <w:rPr>
                <w:rFonts w:ascii="宋体" w:hAnsi="宋体" w:cs="宋体" w:eastAsia="宋体" w:hint="default"/>
                <w:spacing w:val="-20"/>
                <w:sz w:val="18"/>
                <w:szCs w:val="18"/>
              </w:rPr>
              <w:t>、</w:t>
            </w:r>
            <w:r>
              <w:rPr>
                <w:rFonts w:ascii="宋体" w:hAnsi="宋体" w:cs="宋体" w:eastAsia="宋体" w:hint="default"/>
                <w:sz w:val="18"/>
                <w:szCs w:val="18"/>
              </w:rPr>
              <w:t>损害赔偿金和</w:t>
            </w:r>
            <w:r>
              <w:rPr>
                <w:rFonts w:ascii="Times New Roman" w:hAnsi="Times New Roman" w:cs="Times New Roman" w:eastAsia="Times New Roman" w:hint="default"/>
                <w:sz w:val="18"/>
                <w:szCs w:val="18"/>
              </w:rPr>
              <w:t>/</w:t>
            </w:r>
            <w:r>
              <w:rPr>
                <w:rFonts w:ascii="宋体" w:hAnsi="宋体" w:cs="宋体" w:eastAsia="宋体" w:hint="default"/>
                <w:sz w:val="18"/>
                <w:szCs w:val="18"/>
              </w:rPr>
              <w:t>或承担其他法律责任等</w:t>
            </w:r>
            <w:r>
              <w:rPr>
                <w:rFonts w:ascii="宋体" w:hAnsi="宋体" w:cs="宋体" w:eastAsia="宋体" w:hint="default"/>
                <w:spacing w:val="-90"/>
                <w:sz w:val="18"/>
                <w:szCs w:val="18"/>
              </w:rPr>
              <w:t>）</w:t>
            </w:r>
            <w:r>
              <w:rPr>
                <w:rFonts w:ascii="宋体" w:hAnsi="宋体" w:cs="宋体" w:eastAsia="宋体" w:hint="default"/>
                <w:spacing w:val="-20"/>
                <w:sz w:val="18"/>
                <w:szCs w:val="18"/>
              </w:rPr>
              <w:t>，</w:t>
            </w:r>
            <w:r>
              <w:rPr>
                <w:rFonts w:ascii="宋体" w:hAnsi="宋体" w:cs="宋体" w:eastAsia="宋体" w:hint="default"/>
                <w:sz w:val="18"/>
                <w:szCs w:val="18"/>
              </w:rPr>
              <w:t>承诺人应</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0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就迪科远望及其下属公司的该等损失承担赔偿责任；如该等损失</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由迪科远望及其下属公司先行承担，承诺人应在迪科远望及其下</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属公司承担该等损失之日起</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日内以除迪科远望股份以外的其他</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0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合法财产，按照本承诺函签署日承诺人各自持有的迪科远望股份</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比例对迪科远望及其下属公司承担全部补偿责任。</w:t>
            </w:r>
            <w:r>
              <w:rPr>
                <w:rFonts w:ascii="Times New Roman" w:hAnsi="Times New Roman" w:cs="Times New Roman" w:eastAsia="Times New Roman" w:hint="default"/>
                <w:sz w:val="18"/>
                <w:szCs w:val="18"/>
              </w:rPr>
              <w:t>12</w:t>
            </w:r>
            <w:r>
              <w:rPr>
                <w:rFonts w:ascii="宋体" w:hAnsi="宋体" w:cs="宋体" w:eastAsia="宋体" w:hint="default"/>
                <w:sz w:val="18"/>
                <w:szCs w:val="18"/>
              </w:rPr>
              <w:t>、自迪科远</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望及其下属公司设立至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日，迪科远望及其下属公</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0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司存在未依法为员工缴纳住房公积金的情形，如迪科远望及其下</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属公司因在交割日前未依法为员工缴纳住房公积金而在交割日后</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受到任何处罚、追索、索赔或受到任何损失（包括但不限于依法</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需为员工补缴的住房公积金及任何滞纳金、罚款、损害赔偿金和</w:t>
            </w:r>
            <w:r>
              <w:rPr>
                <w:rFonts w:ascii="Times New Roman" w:hAnsi="Times New Roman" w:cs="Times New Roman" w:eastAsia="Times New Roman" w:hint="default"/>
                <w:sz w:val="18"/>
                <w:szCs w:val="18"/>
              </w:rPr>
              <w:t>/</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0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或承担其他法律责任等</w:t>
            </w:r>
            <w:r>
              <w:rPr>
                <w:rFonts w:ascii="宋体" w:hAnsi="宋体" w:cs="宋体" w:eastAsia="宋体" w:hint="default"/>
                <w:spacing w:val="-90"/>
                <w:sz w:val="18"/>
                <w:szCs w:val="18"/>
              </w:rPr>
              <w:t>）</w:t>
            </w:r>
            <w:r>
              <w:rPr>
                <w:rFonts w:ascii="宋体" w:hAnsi="宋体" w:cs="宋体" w:eastAsia="宋体" w:hint="default"/>
                <w:spacing w:val="-8"/>
                <w:sz w:val="18"/>
                <w:szCs w:val="18"/>
              </w:rPr>
              <w:t>，</w:t>
            </w:r>
            <w:r>
              <w:rPr>
                <w:rFonts w:ascii="宋体" w:hAnsi="宋体" w:cs="宋体" w:eastAsia="宋体" w:hint="default"/>
                <w:sz w:val="18"/>
                <w:szCs w:val="18"/>
              </w:rPr>
              <w:t>承诺人应就迪科远望及其下属公司的该</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等损失承担赔偿责任；如该等损失由迪科远望及其下属公司先行</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承担，承诺人应在迪科远望及其下属公司承担该等损失之日起</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0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日内以除迪科远望股份以外的其他合法财产，按照本承诺函签署</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日承诺人各自持有的迪科远望股份比例对迪科远望及其下属公司</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承担全部补偿责任。</w:t>
            </w:r>
            <w:r>
              <w:rPr>
                <w:rFonts w:ascii="Times New Roman" w:hAnsi="Times New Roman" w:cs="Times New Roman" w:eastAsia="Times New Roman" w:hint="default"/>
                <w:sz w:val="18"/>
                <w:szCs w:val="18"/>
              </w:rPr>
              <w:t>13</w:t>
            </w:r>
            <w:r>
              <w:rPr>
                <w:rFonts w:ascii="宋体" w:hAnsi="宋体" w:cs="宋体" w:eastAsia="宋体" w:hint="default"/>
                <w:sz w:val="18"/>
                <w:szCs w:val="18"/>
              </w:rPr>
              <w:t>、承诺人承诺，除迪科远望及承诺人在交</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0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割日前已经向新开普披露的处罚、索赔或受到的任何损失外，迪</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科远望及其下属公司因交割日前发生或存在的任何行为、状态或</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情形而在交割日后受到任何处罚、追索、索赔或受到任何损失，</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承诺人应就迪科远望及其下属公司的该等损失承担赔偿责任；如</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8" w:hRule="exact"/>
        </w:trPr>
        <w:tc>
          <w:tcPr>
            <w:tcW w:w="1702" w:type="dxa"/>
            <w:vMerge/>
            <w:tcBorders>
              <w:left w:val="single" w:sz="4" w:space="0" w:color="000000"/>
              <w:bottom w:val="single" w:sz="4" w:space="0" w:color="000000"/>
              <w:right w:val="single" w:sz="4" w:space="0" w:color="000000"/>
            </w:tcBorders>
            <w:shd w:val="clear" w:color="auto" w:fill="D2D2D2"/>
          </w:tcPr>
          <w:p>
            <w:pPr/>
          </w:p>
        </w:tc>
        <w:tc>
          <w:tcPr>
            <w:tcW w:w="1277" w:type="dxa"/>
            <w:vMerge/>
            <w:tcBorders>
              <w:left w:val="single" w:sz="4" w:space="0" w:color="000000"/>
              <w:bottom w:val="single" w:sz="4" w:space="0" w:color="000000"/>
              <w:right w:val="single" w:sz="4" w:space="0" w:color="000000"/>
            </w:tcBorders>
          </w:tcPr>
          <w:p>
            <w:pPr/>
          </w:p>
        </w:tc>
        <w:tc>
          <w:tcPr>
            <w:tcW w:w="850" w:type="dxa"/>
            <w:vMerge/>
            <w:tcBorders>
              <w:left w:val="single" w:sz="4" w:space="0" w:color="000000"/>
              <w:bottom w:val="single" w:sz="4" w:space="0" w:color="000000"/>
              <w:right w:val="single" w:sz="4" w:space="0" w:color="000000"/>
            </w:tcBorders>
          </w:tcPr>
          <w:p>
            <w:pPr/>
          </w:p>
        </w:tc>
        <w:tc>
          <w:tcPr>
            <w:tcW w:w="518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该等损失由迪科远望及其下属公司先行承担，承诺人应在迪科远</w:t>
            </w:r>
          </w:p>
        </w:tc>
        <w:tc>
          <w:tcPr>
            <w:tcW w:w="1134" w:type="dxa"/>
            <w:vMerge/>
            <w:tcBorders>
              <w:left w:val="single" w:sz="4" w:space="0" w:color="000000"/>
              <w:bottom w:val="single" w:sz="4" w:space="0" w:color="000000"/>
              <w:right w:val="single" w:sz="4" w:space="0" w:color="000000"/>
            </w:tcBorders>
          </w:tcPr>
          <w:p>
            <w:pPr/>
          </w:p>
        </w:tc>
        <w:tc>
          <w:tcPr>
            <w:tcW w:w="1134" w:type="dxa"/>
            <w:vMerge/>
            <w:tcBorders>
              <w:left w:val="single" w:sz="4" w:space="0" w:color="000000"/>
              <w:bottom w:val="single" w:sz="4" w:space="0" w:color="000000"/>
              <w:right w:val="single" w:sz="4" w:space="0" w:color="000000"/>
            </w:tcBorders>
          </w:tcPr>
          <w:p>
            <w:pPr/>
          </w:p>
        </w:tc>
        <w:tc>
          <w:tcPr>
            <w:tcW w:w="3544" w:type="dxa"/>
            <w:vMerge/>
            <w:tcBorders>
              <w:left w:val="single" w:sz="4" w:space="0" w:color="000000"/>
              <w:bottom w:val="single" w:sz="4" w:space="0" w:color="000000"/>
              <w:right w:val="single" w:sz="4" w:space="0" w:color="000000"/>
            </w:tcBorders>
          </w:tcPr>
          <w:p>
            <w:pPr/>
          </w:p>
        </w:tc>
      </w:tr>
    </w:tbl>
    <w:p>
      <w:pPr>
        <w:spacing w:after="0"/>
        <w:sectPr>
          <w:pgSz w:w="16840" w:h="11910" w:orient="landscape"/>
          <w:pgMar w:header="867" w:footer="979" w:top="1060" w:bottom="1160" w:left="900" w:right="880"/>
        </w:sectPr>
      </w:pPr>
    </w:p>
    <w:p>
      <w:pPr>
        <w:spacing w:line="240" w:lineRule="auto" w:before="4"/>
        <w:rPr>
          <w:rFonts w:ascii="Times New Roman" w:hAnsi="Times New Roman" w:cs="Times New Roman" w:eastAsia="Times New Roman" w:hint="default"/>
          <w:sz w:val="3"/>
          <w:szCs w:val="3"/>
        </w:rPr>
      </w:pPr>
      <w:r>
        <w:rPr/>
        <w:pict>
          <v:shape style="position:absolute;margin-left:459.131012pt;margin-top:472.860016pt;width:98.45pt;height:61.4pt;mso-position-horizontal-relative:page;mso-position-vertical-relative:page;z-index:-1222600" type="#_x0000_t202" filled="false" stroked="false">
            <v:textbox inset="0,0,0,0">
              <w:txbxContent>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5"/>
                    <w:rPr>
                      <w:rFonts w:ascii="Times New Roman" w:hAnsi="Times New Roman" w:cs="Times New Roman" w:eastAsia="Times New Roman" w:hint="default"/>
                      <w:sz w:val="17"/>
                      <w:szCs w:val="17"/>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委托管理、</w:t>
                  </w:r>
                </w:p>
              </w:txbxContent>
            </v:textbox>
            <w10:wrap type="none"/>
          </v:shape>
        </w:pict>
      </w:r>
      <w:r>
        <w:rPr/>
        <w:pict>
          <v:group style="position:absolute;margin-left:501.339996pt;margin-top:241.100006pt;width:56.25pt;height:134.7pt;mso-position-horizontal-relative:page;mso-position-vertical-relative:page;z-index:-1222576" coordorigin="10027,4822" coordsize="1125,2694">
            <v:group style="position:absolute;left:10027;top:5175;width:1125;height:2340" coordorigin="10027,5175" coordsize="1125,2340">
              <v:shape style="position:absolute;left:10027;top:5175;width:1125;height:2340" coordorigin="10027,5175" coordsize="1125,2340" path="m10027,7515l11151,7515,11151,5175,10027,5175,10027,7515xe" filled="true" fillcolor="#ffffff" stroked="false">
                <v:path arrowok="t"/>
                <v:fill type="solid"/>
              </v:shape>
            </v:group>
            <v:group style="position:absolute;left:10050;top:4822;width:1078;height:354" coordorigin="10050,4822" coordsize="1078,354">
              <v:shape style="position:absolute;left:10050;top:4822;width:1078;height:354" coordorigin="10050,4822" coordsize="1078,354" path="m10050,5175l11127,5175,11127,4822,10050,4822,10050,5175xe" filled="true" fillcolor="#ffffff" stroked="false">
                <v:path arrowok="t"/>
                <v:fill type="solid"/>
              </v:shape>
            </v:group>
            <w10:wrap type="none"/>
          </v:group>
        </w:pict>
      </w:r>
      <w:r>
        <w:rPr/>
        <w:pict>
          <v:group style="position:absolute;margin-left:501.339996pt;margin-top:472.860016pt;width:56.25pt;height:61.4pt;mso-position-horizontal-relative:page;mso-position-vertical-relative:page;z-index:-1222552" coordorigin="10027,9457" coordsize="1125,1228">
            <v:shape style="position:absolute;left:10027;top:9457;width:1125;height:1228" coordorigin="10027,9457" coordsize="1125,1228" path="m10027,10685l11151,10685,11151,9457,10027,9457,10027,10685xe" filled="true" fillcolor="#ffffff" stroked="false">
              <v:path arrowok="t"/>
              <v:fill type="solid"/>
            </v:shape>
            <w10:wrap type="none"/>
          </v:group>
        </w:pict>
      </w:r>
      <w:r>
        <w:rPr/>
        <w:pict>
          <v:group style="position:absolute;margin-left:502.480011pt;margin-top:437.640015pt;width:53.9pt;height:17.650pt;mso-position-horizontal-relative:page;mso-position-vertical-relative:page;z-index:-1222528" coordorigin="10050,8753" coordsize="1078,353">
            <v:shape style="position:absolute;left:10050;top:8753;width:1078;height:353" coordorigin="10050,8753" coordsize="1078,353" path="m10050,9106l11127,9106,11127,8753,10050,8753,10050,9106xe" filled="true" fillcolor="#ffffff" stroked="false">
              <v:path arrowok="t"/>
              <v:fill type="solid"/>
            </v:shape>
            <w10:wrap type="none"/>
          </v:group>
        </w:pict>
      </w:r>
    </w:p>
    <w:tbl>
      <w:tblPr>
        <w:tblW w:w="0" w:type="auto"/>
        <w:jc w:val="left"/>
        <w:tblInd w:w="109" w:type="dxa"/>
        <w:tblLayout w:type="fixed"/>
        <w:tblCellMar>
          <w:top w:w="0" w:type="dxa"/>
          <w:left w:w="0" w:type="dxa"/>
          <w:bottom w:w="0" w:type="dxa"/>
          <w:right w:w="0" w:type="dxa"/>
        </w:tblCellMar>
        <w:tblLook w:val="01E0"/>
      </w:tblPr>
      <w:tblGrid>
        <w:gridCol w:w="1702"/>
        <w:gridCol w:w="1277"/>
        <w:gridCol w:w="850"/>
        <w:gridCol w:w="5180"/>
        <w:gridCol w:w="1134"/>
        <w:gridCol w:w="1134"/>
        <w:gridCol w:w="3544"/>
      </w:tblGrid>
      <w:tr>
        <w:trPr>
          <w:trHeight w:val="336" w:hRule="exact"/>
        </w:trPr>
        <w:tc>
          <w:tcPr>
            <w:tcW w:w="1702" w:type="dxa"/>
            <w:vMerge w:val="restart"/>
            <w:tcBorders>
              <w:top w:val="single" w:sz="15" w:space="0" w:color="000000"/>
              <w:left w:val="single" w:sz="4" w:space="0" w:color="000000"/>
              <w:right w:val="single" w:sz="4" w:space="0" w:color="000000"/>
            </w:tcBorders>
            <w:shd w:val="clear" w:color="auto" w:fill="D2D2D2"/>
          </w:tcPr>
          <w:p>
            <w:pPr/>
          </w:p>
        </w:tc>
        <w:tc>
          <w:tcPr>
            <w:tcW w:w="1277" w:type="dxa"/>
            <w:vMerge w:val="restart"/>
            <w:tcBorders>
              <w:top w:val="single" w:sz="15" w:space="0" w:color="000000"/>
              <w:left w:val="single" w:sz="4" w:space="0" w:color="000000"/>
              <w:right w:val="single" w:sz="4" w:space="0" w:color="000000"/>
            </w:tcBorders>
          </w:tcPr>
          <w:p>
            <w:pPr/>
          </w:p>
        </w:tc>
        <w:tc>
          <w:tcPr>
            <w:tcW w:w="850" w:type="dxa"/>
            <w:vMerge w:val="restart"/>
            <w:tcBorders>
              <w:top w:val="single" w:sz="15" w:space="0" w:color="000000"/>
              <w:left w:val="single" w:sz="4" w:space="0" w:color="000000"/>
              <w:right w:val="single" w:sz="4" w:space="0" w:color="000000"/>
            </w:tcBorders>
          </w:tcPr>
          <w:p>
            <w:pPr/>
          </w:p>
        </w:tc>
        <w:tc>
          <w:tcPr>
            <w:tcW w:w="5180" w:type="dxa"/>
            <w:tcBorders>
              <w:top w:val="single" w:sz="15" w:space="0" w:color="000000"/>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望及其下属公司承担该等损失之日起</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日内以除迪科远望股份以</w:t>
            </w:r>
          </w:p>
        </w:tc>
        <w:tc>
          <w:tcPr>
            <w:tcW w:w="1134" w:type="dxa"/>
            <w:vMerge w:val="restart"/>
            <w:tcBorders>
              <w:top w:val="single" w:sz="15" w:space="0" w:color="000000"/>
              <w:left w:val="single" w:sz="4" w:space="0" w:color="000000"/>
              <w:right w:val="single" w:sz="4" w:space="0" w:color="000000"/>
            </w:tcBorders>
          </w:tcPr>
          <w:p>
            <w:pPr/>
          </w:p>
        </w:tc>
        <w:tc>
          <w:tcPr>
            <w:tcW w:w="1134" w:type="dxa"/>
            <w:vMerge w:val="restart"/>
            <w:tcBorders>
              <w:top w:val="single" w:sz="15" w:space="0" w:color="000000"/>
              <w:left w:val="single" w:sz="4" w:space="0" w:color="000000"/>
              <w:right w:val="single" w:sz="4" w:space="0" w:color="000000"/>
            </w:tcBorders>
          </w:tcPr>
          <w:p>
            <w:pPr/>
          </w:p>
        </w:tc>
        <w:tc>
          <w:tcPr>
            <w:tcW w:w="3544" w:type="dxa"/>
            <w:vMerge w:val="restart"/>
            <w:tcBorders>
              <w:top w:val="single" w:sz="15" w:space="0" w:color="000000"/>
              <w:left w:val="single" w:sz="4" w:space="0" w:color="000000"/>
              <w:right w:val="single" w:sz="4" w:space="0" w:color="000000"/>
            </w:tcBorders>
          </w:tcPr>
          <w:p>
            <w:pPr/>
          </w:p>
        </w:tc>
      </w:tr>
      <w:tr>
        <w:trPr>
          <w:trHeight w:val="308"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外的其他合法财产，按照本承诺函签署日承诺人各自持有的迪科</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5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bottom w:val="single" w:sz="4" w:space="0" w:color="000000"/>
              <w:right w:val="single" w:sz="4" w:space="0" w:color="000000"/>
            </w:tcBorders>
          </w:tcPr>
          <w:p>
            <w:pPr/>
          </w:p>
        </w:tc>
        <w:tc>
          <w:tcPr>
            <w:tcW w:w="850" w:type="dxa"/>
            <w:vMerge/>
            <w:tcBorders>
              <w:left w:val="single" w:sz="4" w:space="0" w:color="000000"/>
              <w:bottom w:val="single" w:sz="4" w:space="0" w:color="000000"/>
              <w:right w:val="single" w:sz="4" w:space="0" w:color="000000"/>
            </w:tcBorders>
          </w:tcPr>
          <w:p>
            <w:pPr/>
          </w:p>
        </w:tc>
        <w:tc>
          <w:tcPr>
            <w:tcW w:w="518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远望股份比例对迪科远望及其下属公司承担全部补偿责任。</w:t>
            </w:r>
          </w:p>
        </w:tc>
        <w:tc>
          <w:tcPr>
            <w:tcW w:w="1134" w:type="dxa"/>
            <w:vMerge/>
            <w:tcBorders>
              <w:left w:val="single" w:sz="4" w:space="0" w:color="000000"/>
              <w:bottom w:val="single" w:sz="4" w:space="0" w:color="000000"/>
              <w:right w:val="single" w:sz="4" w:space="0" w:color="000000"/>
            </w:tcBorders>
          </w:tcPr>
          <w:p>
            <w:pPr/>
          </w:p>
        </w:tc>
        <w:tc>
          <w:tcPr>
            <w:tcW w:w="1134" w:type="dxa"/>
            <w:vMerge/>
            <w:tcBorders>
              <w:left w:val="single" w:sz="4" w:space="0" w:color="000000"/>
              <w:bottom w:val="single" w:sz="4" w:space="0" w:color="000000"/>
              <w:right w:val="single" w:sz="4" w:space="0" w:color="000000"/>
            </w:tcBorders>
          </w:tcPr>
          <w:p>
            <w:pPr/>
          </w:p>
        </w:tc>
        <w:tc>
          <w:tcPr>
            <w:tcW w:w="3544" w:type="dxa"/>
            <w:vMerge/>
            <w:tcBorders>
              <w:left w:val="single" w:sz="4" w:space="0" w:color="000000"/>
              <w:bottom w:val="single" w:sz="4" w:space="0" w:color="000000"/>
              <w:right w:val="single" w:sz="4" w:space="0" w:color="000000"/>
            </w:tcBorders>
          </w:tcPr>
          <w:p>
            <w:pPr/>
          </w:p>
        </w:tc>
      </w:tr>
      <w:tr>
        <w:trPr>
          <w:trHeight w:val="362" w:hRule="exact"/>
        </w:trPr>
        <w:tc>
          <w:tcPr>
            <w:tcW w:w="1702" w:type="dxa"/>
            <w:vMerge/>
            <w:tcBorders>
              <w:left w:val="single" w:sz="4" w:space="0" w:color="000000"/>
              <w:right w:val="single" w:sz="4" w:space="0" w:color="000000"/>
            </w:tcBorders>
            <w:shd w:val="clear" w:color="auto" w:fill="D2D2D2"/>
          </w:tcPr>
          <w:p>
            <w:pPr/>
          </w:p>
        </w:tc>
        <w:tc>
          <w:tcPr>
            <w:tcW w:w="1277" w:type="dxa"/>
            <w:tcBorders>
              <w:top w:val="single" w:sz="4" w:space="0" w:color="000000"/>
              <w:left w:val="single" w:sz="4" w:space="0" w:color="000000"/>
              <w:bottom w:val="nil" w:sz="6" w:space="0" w:color="auto"/>
              <w:right w:val="single" w:sz="4" w:space="0" w:color="000000"/>
            </w:tcBorders>
          </w:tcPr>
          <w:p>
            <w:pPr/>
          </w:p>
        </w:tc>
        <w:tc>
          <w:tcPr>
            <w:tcW w:w="850" w:type="dxa"/>
            <w:tcBorders>
              <w:top w:val="single" w:sz="4" w:space="0" w:color="000000"/>
              <w:left w:val="single" w:sz="4" w:space="0" w:color="000000"/>
              <w:bottom w:val="nil" w:sz="6" w:space="0" w:color="auto"/>
              <w:right w:val="single" w:sz="4" w:space="0" w:color="000000"/>
            </w:tcBorders>
          </w:tcPr>
          <w:p>
            <w:pPr/>
          </w:p>
        </w:tc>
        <w:tc>
          <w:tcPr>
            <w:tcW w:w="518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本次交易的交易对方承诺：除</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月被江苏省连云港质量技</w:t>
            </w:r>
          </w:p>
        </w:tc>
        <w:tc>
          <w:tcPr>
            <w:tcW w:w="1134" w:type="dxa"/>
            <w:tcBorders>
              <w:top w:val="single" w:sz="4" w:space="0" w:color="000000"/>
              <w:left w:val="single" w:sz="4" w:space="0" w:color="000000"/>
              <w:bottom w:val="nil" w:sz="6" w:space="0" w:color="auto"/>
              <w:right w:val="single" w:sz="4" w:space="0" w:color="000000"/>
            </w:tcBorders>
          </w:tcPr>
          <w:p>
            <w:pPr/>
          </w:p>
        </w:tc>
        <w:tc>
          <w:tcPr>
            <w:tcW w:w="1134" w:type="dxa"/>
            <w:tcBorders>
              <w:top w:val="single" w:sz="4" w:space="0" w:color="000000"/>
              <w:left w:val="single" w:sz="4" w:space="0" w:color="000000"/>
              <w:bottom w:val="nil" w:sz="6" w:space="0" w:color="auto"/>
              <w:right w:val="single" w:sz="4" w:space="0" w:color="000000"/>
            </w:tcBorders>
          </w:tcPr>
          <w:p>
            <w:pPr/>
          </w:p>
        </w:tc>
        <w:tc>
          <w:tcPr>
            <w:tcW w:w="3544" w:type="dxa"/>
            <w:tcBorders>
              <w:top w:val="single" w:sz="4" w:space="0" w:color="000000"/>
              <w:left w:val="single" w:sz="4" w:space="0" w:color="000000"/>
              <w:bottom w:val="nil" w:sz="6" w:space="0" w:color="auto"/>
              <w:right w:val="single" w:sz="4" w:space="0" w:color="000000"/>
            </w:tcBorders>
          </w:tcPr>
          <w:p>
            <w:pPr/>
          </w:p>
        </w:tc>
      </w:tr>
      <w:tr>
        <w:trPr>
          <w:trHeight w:val="306" w:hRule="exact"/>
        </w:trPr>
        <w:tc>
          <w:tcPr>
            <w:tcW w:w="1702" w:type="dxa"/>
            <w:vMerge/>
            <w:tcBorders>
              <w:left w:val="single" w:sz="4" w:space="0" w:color="000000"/>
              <w:right w:val="single" w:sz="4" w:space="0" w:color="000000"/>
            </w:tcBorders>
            <w:shd w:val="clear" w:color="auto" w:fill="D2D2D2"/>
          </w:tcPr>
          <w:p>
            <w:pPr/>
          </w:p>
        </w:tc>
        <w:tc>
          <w:tcPr>
            <w:tcW w:w="1277"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术监督局行政处罚外，迪科远望已分别合法取得生产经营活动所</w:t>
            </w:r>
          </w:p>
        </w:tc>
        <w:tc>
          <w:tcPr>
            <w:tcW w:w="1134"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c>
          <w:tcPr>
            <w:tcW w:w="354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需的全部证照、批准、批复、同意、授权和许可，且现有业务所</w:t>
            </w:r>
          </w:p>
        </w:tc>
        <w:tc>
          <w:tcPr>
            <w:tcW w:w="1134"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c>
          <w:tcPr>
            <w:tcW w:w="354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需的全部证照、批准、批复、同意、授权和许可均有效存在；迪</w:t>
            </w:r>
          </w:p>
        </w:tc>
        <w:tc>
          <w:tcPr>
            <w:tcW w:w="1134"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c>
          <w:tcPr>
            <w:tcW w:w="354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科远望不存在任何违反或超出上述证照、批准、批复、同意、授</w:t>
            </w:r>
          </w:p>
        </w:tc>
        <w:tc>
          <w:tcPr>
            <w:tcW w:w="1134"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c>
          <w:tcPr>
            <w:tcW w:w="3544" w:type="dxa"/>
            <w:tcBorders>
              <w:top w:val="nil" w:sz="6" w:space="0" w:color="auto"/>
              <w:left w:val="single" w:sz="4" w:space="0" w:color="000000"/>
              <w:bottom w:val="nil" w:sz="6" w:space="0" w:color="auto"/>
              <w:right w:val="single" w:sz="4" w:space="0" w:color="000000"/>
            </w:tcBorders>
          </w:tcPr>
          <w:p>
            <w:pPr/>
          </w:p>
        </w:tc>
      </w:tr>
      <w:tr>
        <w:trPr>
          <w:trHeight w:val="313" w:hRule="exact"/>
        </w:trPr>
        <w:tc>
          <w:tcPr>
            <w:tcW w:w="1702" w:type="dxa"/>
            <w:vMerge/>
            <w:tcBorders>
              <w:left w:val="single" w:sz="4" w:space="0" w:color="000000"/>
              <w:right w:val="single" w:sz="4" w:space="0" w:color="000000"/>
            </w:tcBorders>
            <w:shd w:val="clear" w:color="auto" w:fill="D2D2D2"/>
          </w:tcPr>
          <w:p>
            <w:pP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公司发行股份</w:t>
            </w:r>
          </w:p>
        </w:tc>
        <w:tc>
          <w:tcPr>
            <w:tcW w:w="850" w:type="dxa"/>
            <w:tcBorders>
              <w:top w:val="nil" w:sz="6" w:space="0" w:color="auto"/>
              <w:left w:val="single" w:sz="4" w:space="0" w:color="000000"/>
              <w:bottom w:val="nil" w:sz="6" w:space="0" w:color="auto"/>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权和许可要求的行为或者情形；迪科远望不存在任何尚未取得相</w:t>
            </w:r>
          </w:p>
        </w:tc>
        <w:tc>
          <w:tcPr>
            <w:tcW w:w="1134"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c>
          <w:tcPr>
            <w:tcW w:w="3544" w:type="dxa"/>
            <w:tcBorders>
              <w:top w:val="nil" w:sz="6" w:space="0" w:color="auto"/>
              <w:left w:val="single" w:sz="4" w:space="0" w:color="000000"/>
              <w:bottom w:val="nil" w:sz="6" w:space="0" w:color="auto"/>
              <w:right w:val="single" w:sz="4" w:space="0" w:color="000000"/>
            </w:tcBorders>
          </w:tcPr>
          <w:p>
            <w:pPr/>
          </w:p>
        </w:tc>
      </w:tr>
      <w:tr>
        <w:trPr>
          <w:trHeight w:val="311" w:hRule="exact"/>
        </w:trPr>
        <w:tc>
          <w:tcPr>
            <w:tcW w:w="1702" w:type="dxa"/>
            <w:vMerge/>
            <w:tcBorders>
              <w:left w:val="single" w:sz="4" w:space="0" w:color="000000"/>
              <w:right w:val="single" w:sz="4" w:space="0" w:color="000000"/>
            </w:tcBorders>
            <w:shd w:val="clear" w:color="auto" w:fill="D2D2D2"/>
          </w:tcPr>
          <w:p>
            <w:pP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及支付现金购</w:t>
            </w:r>
          </w:p>
        </w:tc>
        <w:tc>
          <w:tcPr>
            <w:tcW w:w="850" w:type="dxa"/>
            <w:tcBorders>
              <w:top w:val="nil" w:sz="6" w:space="0" w:color="auto"/>
              <w:left w:val="single" w:sz="4" w:space="0" w:color="000000"/>
              <w:bottom w:val="nil" w:sz="6" w:space="0" w:color="auto"/>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关必备证照、批准、批复、同意、授权和许可而违规开展业务的</w:t>
            </w:r>
          </w:p>
        </w:tc>
        <w:tc>
          <w:tcPr>
            <w:tcW w:w="1134"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c>
          <w:tcPr>
            <w:tcW w:w="3544" w:type="dxa"/>
            <w:tcBorders>
              <w:top w:val="nil" w:sz="6" w:space="0" w:color="auto"/>
              <w:left w:val="single" w:sz="4" w:space="0" w:color="000000"/>
              <w:bottom w:val="nil" w:sz="6" w:space="0" w:color="auto"/>
              <w:right w:val="single" w:sz="4" w:space="0" w:color="000000"/>
            </w:tcBorders>
          </w:tcPr>
          <w:p>
            <w:pPr/>
          </w:p>
        </w:tc>
      </w:tr>
      <w:tr>
        <w:trPr>
          <w:trHeight w:val="937" w:hRule="exact"/>
        </w:trPr>
        <w:tc>
          <w:tcPr>
            <w:tcW w:w="1702" w:type="dxa"/>
            <w:vMerge/>
            <w:tcBorders>
              <w:left w:val="single" w:sz="4" w:space="0" w:color="000000"/>
              <w:right w:val="single" w:sz="4" w:space="0" w:color="000000"/>
            </w:tcBorders>
            <w:shd w:val="clear" w:color="auto" w:fill="D2D2D2"/>
          </w:tcPr>
          <w:p>
            <w:pP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319" w:lineRule="auto" w:before="10"/>
              <w:ind w:left="23" w:right="21"/>
              <w:jc w:val="left"/>
              <w:rPr>
                <w:rFonts w:ascii="宋体" w:hAnsi="宋体" w:cs="宋体" w:eastAsia="宋体" w:hint="default"/>
                <w:sz w:val="18"/>
                <w:szCs w:val="18"/>
              </w:rPr>
            </w:pPr>
            <w:r>
              <w:rPr>
                <w:rFonts w:ascii="宋体" w:hAnsi="宋体" w:cs="宋体" w:eastAsia="宋体" w:hint="default"/>
                <w:sz w:val="18"/>
                <w:szCs w:val="18"/>
              </w:rPr>
              <w:t>买资产的交易 </w:t>
            </w:r>
            <w:r>
              <w:rPr>
                <w:rFonts w:ascii="宋体" w:hAnsi="宋体" w:cs="宋体" w:eastAsia="宋体" w:hint="default"/>
                <w:spacing w:val="-6"/>
                <w:sz w:val="18"/>
                <w:szCs w:val="18"/>
              </w:rPr>
              <w:t>对方刘永春、丛</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6"/>
                <w:sz w:val="18"/>
                <w:szCs w:val="18"/>
              </w:rPr>
              <w:t>伟滋、李洪、熊</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7"/>
              <w:ind w:left="22" w:right="0"/>
              <w:jc w:val="left"/>
              <w:rPr>
                <w:rFonts w:ascii="宋体" w:hAnsi="宋体" w:cs="宋体" w:eastAsia="宋体" w:hint="default"/>
                <w:sz w:val="18"/>
                <w:szCs w:val="18"/>
              </w:rPr>
            </w:pPr>
            <w:r>
              <w:rPr>
                <w:rFonts w:ascii="宋体" w:hAnsi="宋体" w:cs="宋体" w:eastAsia="宋体" w:hint="default"/>
                <w:sz w:val="18"/>
                <w:szCs w:val="18"/>
              </w:rPr>
              <w:t>其他承诺</w:t>
            </w:r>
          </w:p>
        </w:tc>
        <w:tc>
          <w:tcPr>
            <w:tcW w:w="5180" w:type="dxa"/>
            <w:tcBorders>
              <w:top w:val="nil" w:sz="6" w:space="0" w:color="auto"/>
              <w:left w:val="single" w:sz="4" w:space="0" w:color="000000"/>
              <w:bottom w:val="nil" w:sz="6" w:space="0" w:color="auto"/>
              <w:right w:val="single" w:sz="9" w:space="0" w:color="FFFFFF"/>
            </w:tcBorders>
          </w:tcPr>
          <w:p>
            <w:pPr>
              <w:pStyle w:val="TableParagraph"/>
              <w:spacing w:line="319" w:lineRule="auto" w:before="10"/>
              <w:ind w:left="22" w:right="98"/>
              <w:jc w:val="both"/>
              <w:rPr>
                <w:rFonts w:ascii="宋体" w:hAnsi="宋体" w:cs="宋体" w:eastAsia="宋体" w:hint="default"/>
                <w:sz w:val="18"/>
                <w:szCs w:val="18"/>
              </w:rPr>
            </w:pPr>
            <w:r>
              <w:rPr>
                <w:rFonts w:ascii="宋体" w:hAnsi="宋体" w:cs="宋体" w:eastAsia="宋体" w:hint="default"/>
                <w:sz w:val="18"/>
                <w:szCs w:val="18"/>
              </w:rPr>
              <w:t>情况。如迪科远望及其下属公司因在交割日（交割日为迪科远望 的股东变更为新开普，且办理完毕各项股东变更登记手续之日） 前未取得生产许可证生产、销售列入目录的产品而受到任何处罚</w:t>
            </w:r>
          </w:p>
        </w:tc>
        <w:tc>
          <w:tcPr>
            <w:tcW w:w="1134" w:type="dxa"/>
            <w:tcBorders>
              <w:top w:val="nil" w:sz="6" w:space="0" w:color="auto"/>
              <w:left w:val="single" w:sz="9" w:space="0" w:color="FFFFFF"/>
              <w:bottom w:val="nil" w:sz="6" w:space="0" w:color="auto"/>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4"/>
                <w:szCs w:val="14"/>
              </w:rPr>
            </w:pPr>
          </w:p>
          <w:p>
            <w:pPr>
              <w:pStyle w:val="TableParagraph"/>
              <w:spacing w:line="240" w:lineRule="auto"/>
              <w:ind w:left="1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02" w:lineRule="exact" w:before="63"/>
              <w:ind w:left="1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p>
            <w:pPr>
              <w:pStyle w:val="TableParagraph"/>
              <w:spacing w:line="188" w:lineRule="exact"/>
              <w:ind w:left="-131" w:right="0"/>
              <w:jc w:val="left"/>
              <w:rPr>
                <w:rFonts w:ascii="宋体" w:hAnsi="宋体" w:cs="宋体" w:eastAsia="宋体" w:hint="default"/>
                <w:sz w:val="18"/>
                <w:szCs w:val="18"/>
              </w:rPr>
            </w:pPr>
            <w:r>
              <w:rPr>
                <w:rFonts w:ascii="宋体" w:hAnsi="宋体" w:cs="宋体" w:eastAsia="宋体" w:hint="default"/>
                <w:sz w:val="18"/>
                <w:szCs w:val="18"/>
              </w:rPr>
              <w:t>、</w:t>
            </w:r>
          </w:p>
        </w:tc>
        <w:tc>
          <w:tcPr>
            <w:tcW w:w="1134"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302" w:lineRule="auto" w:before="62"/>
              <w:ind w:left="22" w:right="95"/>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r>
              <w:rPr>
                <w:rFonts w:ascii="Times New Roman" w:hAnsi="Times New Roman" w:cs="Times New Roman" w:eastAsia="Times New Roman" w:hint="default"/>
                <w:sz w:val="18"/>
                <w:szCs w:val="18"/>
              </w:rPr>
              <w:t>-</w:t>
            </w:r>
            <w:r>
              <w:rPr>
                <w:rFonts w:ascii="宋体" w:hAnsi="宋体" w:cs="宋体" w:eastAsia="宋体" w:hint="default"/>
                <w:sz w:val="18"/>
                <w:szCs w:val="18"/>
              </w:rPr>
              <w:t>长期有 效</w:t>
            </w:r>
          </w:p>
        </w:tc>
        <w:tc>
          <w:tcPr>
            <w:tcW w:w="3544"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4"/>
                <w:szCs w:val="14"/>
              </w:rPr>
            </w:pPr>
          </w:p>
          <w:p>
            <w:pPr>
              <w:pStyle w:val="TableParagraph"/>
              <w:spacing w:line="319" w:lineRule="auto"/>
              <w:ind w:left="22" w:right="89"/>
              <w:jc w:val="left"/>
              <w:rPr>
                <w:rFonts w:ascii="宋体" w:hAnsi="宋体" w:cs="宋体" w:eastAsia="宋体" w:hint="default"/>
                <w:sz w:val="18"/>
                <w:szCs w:val="18"/>
              </w:rPr>
            </w:pPr>
            <w:r>
              <w:rPr>
                <w:rFonts w:ascii="宋体" w:hAnsi="宋体" w:cs="宋体" w:eastAsia="宋体" w:hint="default"/>
                <w:sz w:val="18"/>
                <w:szCs w:val="18"/>
              </w:rPr>
              <w:t>截至报告期末，上述承诺人严格信守承诺， 未发生违反承诺的情况。</w:t>
            </w:r>
          </w:p>
        </w:tc>
      </w:tr>
      <w:tr>
        <w:trPr>
          <w:trHeight w:val="311" w:hRule="exact"/>
        </w:trPr>
        <w:tc>
          <w:tcPr>
            <w:tcW w:w="1702" w:type="dxa"/>
            <w:vMerge/>
            <w:tcBorders>
              <w:left w:val="single" w:sz="4" w:space="0" w:color="000000"/>
              <w:right w:val="single" w:sz="4" w:space="0" w:color="000000"/>
            </w:tcBorders>
            <w:shd w:val="clear" w:color="auto" w:fill="D2D2D2"/>
          </w:tcPr>
          <w:p>
            <w:pP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17"/>
              <w:jc w:val="left"/>
              <w:rPr>
                <w:rFonts w:ascii="宋体" w:hAnsi="宋体" w:cs="宋体" w:eastAsia="宋体" w:hint="default"/>
                <w:sz w:val="18"/>
                <w:szCs w:val="18"/>
              </w:rPr>
            </w:pPr>
            <w:r>
              <w:rPr>
                <w:rFonts w:ascii="宋体" w:hAnsi="宋体" w:cs="宋体" w:eastAsia="宋体" w:hint="default"/>
                <w:sz w:val="18"/>
                <w:szCs w:val="18"/>
              </w:rPr>
              <w:t>小洪、白海清、</w:t>
            </w:r>
          </w:p>
        </w:tc>
        <w:tc>
          <w:tcPr>
            <w:tcW w:w="850" w:type="dxa"/>
            <w:tcBorders>
              <w:top w:val="nil" w:sz="6" w:space="0" w:color="auto"/>
              <w:left w:val="single" w:sz="4" w:space="0" w:color="000000"/>
              <w:bottom w:val="nil" w:sz="6" w:space="0" w:color="auto"/>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追索、索赔或受到任何损失（包括但不限于依法应缴纳的任何罚</w:t>
            </w:r>
          </w:p>
        </w:tc>
        <w:tc>
          <w:tcPr>
            <w:tcW w:w="1134"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c>
          <w:tcPr>
            <w:tcW w:w="3544" w:type="dxa"/>
            <w:tcBorders>
              <w:top w:val="nil" w:sz="6" w:space="0" w:color="auto"/>
              <w:left w:val="single" w:sz="4" w:space="0" w:color="000000"/>
              <w:bottom w:val="nil" w:sz="6" w:space="0" w:color="auto"/>
              <w:right w:val="single" w:sz="4" w:space="0" w:color="000000"/>
            </w:tcBorders>
          </w:tcPr>
          <w:p>
            <w:pPr/>
          </w:p>
        </w:tc>
      </w:tr>
      <w:tr>
        <w:trPr>
          <w:trHeight w:val="317" w:hRule="exact"/>
        </w:trPr>
        <w:tc>
          <w:tcPr>
            <w:tcW w:w="1702" w:type="dxa"/>
            <w:vMerge/>
            <w:tcBorders>
              <w:left w:val="single" w:sz="4" w:space="0" w:color="000000"/>
              <w:right w:val="single" w:sz="4" w:space="0" w:color="000000"/>
            </w:tcBorders>
            <w:shd w:val="clear" w:color="auto" w:fill="D2D2D2"/>
          </w:tcPr>
          <w:p>
            <w:pP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黄暂度</w:t>
            </w:r>
          </w:p>
        </w:tc>
        <w:tc>
          <w:tcPr>
            <w:tcW w:w="850" w:type="dxa"/>
            <w:tcBorders>
              <w:top w:val="nil" w:sz="6" w:space="0" w:color="auto"/>
              <w:left w:val="single" w:sz="4" w:space="0" w:color="000000"/>
              <w:bottom w:val="nil" w:sz="6" w:space="0" w:color="auto"/>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款</w:t>
            </w:r>
            <w:r>
              <w:rPr>
                <w:rFonts w:ascii="宋体" w:hAnsi="宋体" w:cs="宋体" w:eastAsia="宋体" w:hint="default"/>
                <w:spacing w:val="-15"/>
                <w:sz w:val="18"/>
                <w:szCs w:val="18"/>
              </w:rPr>
              <w:t>、</w:t>
            </w:r>
            <w:r>
              <w:rPr>
                <w:rFonts w:ascii="宋体" w:hAnsi="宋体" w:cs="宋体" w:eastAsia="宋体" w:hint="default"/>
                <w:sz w:val="18"/>
                <w:szCs w:val="18"/>
              </w:rPr>
              <w:t>滞纳金</w:t>
            </w:r>
            <w:r>
              <w:rPr>
                <w:rFonts w:ascii="宋体" w:hAnsi="宋体" w:cs="宋体" w:eastAsia="宋体" w:hint="default"/>
                <w:spacing w:val="-15"/>
                <w:sz w:val="18"/>
                <w:szCs w:val="18"/>
              </w:rPr>
              <w:t>、</w:t>
            </w:r>
            <w:r>
              <w:rPr>
                <w:rFonts w:ascii="宋体" w:hAnsi="宋体" w:cs="宋体" w:eastAsia="宋体" w:hint="default"/>
                <w:sz w:val="18"/>
                <w:szCs w:val="18"/>
              </w:rPr>
              <w:t>违约金</w:t>
            </w:r>
            <w:r>
              <w:rPr>
                <w:rFonts w:ascii="宋体" w:hAnsi="宋体" w:cs="宋体" w:eastAsia="宋体" w:hint="default"/>
                <w:spacing w:val="-15"/>
                <w:sz w:val="18"/>
                <w:szCs w:val="18"/>
              </w:rPr>
              <w:t>、</w:t>
            </w:r>
            <w:r>
              <w:rPr>
                <w:rFonts w:ascii="宋体" w:hAnsi="宋体" w:cs="宋体" w:eastAsia="宋体" w:hint="default"/>
                <w:sz w:val="18"/>
                <w:szCs w:val="18"/>
              </w:rPr>
              <w:t>损害赔偿金和</w:t>
            </w:r>
            <w:r>
              <w:rPr>
                <w:rFonts w:ascii="Times New Roman" w:hAnsi="Times New Roman" w:cs="Times New Roman" w:eastAsia="Times New Roman" w:hint="default"/>
                <w:sz w:val="18"/>
                <w:szCs w:val="18"/>
              </w:rPr>
              <w:t>/</w:t>
            </w:r>
            <w:r>
              <w:rPr>
                <w:rFonts w:ascii="宋体" w:hAnsi="宋体" w:cs="宋体" w:eastAsia="宋体" w:hint="default"/>
                <w:sz w:val="18"/>
                <w:szCs w:val="18"/>
              </w:rPr>
              <w:t>或承担其他法律责任等</w:t>
            </w:r>
            <w:r>
              <w:rPr>
                <w:rFonts w:ascii="宋体" w:hAnsi="宋体" w:cs="宋体" w:eastAsia="宋体" w:hint="default"/>
                <w:spacing w:val="-90"/>
                <w:sz w:val="18"/>
                <w:szCs w:val="18"/>
              </w:rPr>
              <w:t>）</w:t>
            </w:r>
            <w:r>
              <w:rPr>
                <w:rFonts w:ascii="宋体" w:hAnsi="宋体" w:cs="宋体" w:eastAsia="宋体" w:hint="default"/>
                <w:spacing w:val="-15"/>
                <w:sz w:val="18"/>
                <w:szCs w:val="18"/>
              </w:rPr>
              <w:t>，</w:t>
            </w:r>
            <w:r>
              <w:rPr>
                <w:rFonts w:ascii="宋体" w:hAnsi="宋体" w:cs="宋体" w:eastAsia="宋体" w:hint="default"/>
                <w:sz w:val="18"/>
                <w:szCs w:val="18"/>
              </w:rPr>
              <w:t>承</w:t>
            </w:r>
          </w:p>
        </w:tc>
        <w:tc>
          <w:tcPr>
            <w:tcW w:w="1134"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c>
          <w:tcPr>
            <w:tcW w:w="3544"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1702" w:type="dxa"/>
            <w:vMerge/>
            <w:tcBorders>
              <w:left w:val="single" w:sz="4" w:space="0" w:color="000000"/>
              <w:right w:val="single" w:sz="4" w:space="0" w:color="000000"/>
            </w:tcBorders>
            <w:shd w:val="clear" w:color="auto" w:fill="D2D2D2"/>
          </w:tcPr>
          <w:p>
            <w:pPr/>
          </w:p>
        </w:tc>
        <w:tc>
          <w:tcPr>
            <w:tcW w:w="1277"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诺人应就迪科远望及其下属公司的该等损失承担赔偿责任；如该</w:t>
            </w:r>
          </w:p>
        </w:tc>
        <w:tc>
          <w:tcPr>
            <w:tcW w:w="1134"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c>
          <w:tcPr>
            <w:tcW w:w="354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等损失由迪科远望及其下属公司先行承担，承诺人应在迪科远望</w:t>
            </w:r>
          </w:p>
        </w:tc>
        <w:tc>
          <w:tcPr>
            <w:tcW w:w="1134"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c>
          <w:tcPr>
            <w:tcW w:w="3544" w:type="dxa"/>
            <w:tcBorders>
              <w:top w:val="nil" w:sz="6" w:space="0" w:color="auto"/>
              <w:left w:val="single" w:sz="4" w:space="0" w:color="000000"/>
              <w:bottom w:val="nil" w:sz="6" w:space="0" w:color="auto"/>
              <w:right w:val="single" w:sz="4" w:space="0" w:color="000000"/>
            </w:tcBorders>
          </w:tcPr>
          <w:p>
            <w:pPr/>
          </w:p>
        </w:tc>
      </w:tr>
      <w:tr>
        <w:trPr>
          <w:trHeight w:val="317" w:hRule="exact"/>
        </w:trPr>
        <w:tc>
          <w:tcPr>
            <w:tcW w:w="1702" w:type="dxa"/>
            <w:vMerge/>
            <w:tcBorders>
              <w:left w:val="single" w:sz="4" w:space="0" w:color="000000"/>
              <w:right w:val="single" w:sz="4" w:space="0" w:color="000000"/>
            </w:tcBorders>
            <w:shd w:val="clear" w:color="auto" w:fill="D2D2D2"/>
          </w:tcPr>
          <w:p>
            <w:pPr/>
          </w:p>
        </w:tc>
        <w:tc>
          <w:tcPr>
            <w:tcW w:w="1277"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及其下属公司承担该等损失之日起</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日内以除迪科远望股份以外</w:t>
            </w:r>
          </w:p>
        </w:tc>
        <w:tc>
          <w:tcPr>
            <w:tcW w:w="1134"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c>
          <w:tcPr>
            <w:tcW w:w="3544" w:type="dxa"/>
            <w:tcBorders>
              <w:top w:val="nil" w:sz="6" w:space="0" w:color="auto"/>
              <w:left w:val="single" w:sz="4" w:space="0" w:color="000000"/>
              <w:bottom w:val="nil" w:sz="6" w:space="0" w:color="auto"/>
              <w:right w:val="single" w:sz="4" w:space="0" w:color="000000"/>
            </w:tcBorders>
          </w:tcPr>
          <w:p>
            <w:pPr/>
          </w:p>
        </w:tc>
      </w:tr>
      <w:tr>
        <w:trPr>
          <w:trHeight w:val="308" w:hRule="exact"/>
        </w:trPr>
        <w:tc>
          <w:tcPr>
            <w:tcW w:w="1702" w:type="dxa"/>
            <w:vMerge/>
            <w:tcBorders>
              <w:left w:val="single" w:sz="4" w:space="0" w:color="000000"/>
              <w:right w:val="single" w:sz="4" w:space="0" w:color="000000"/>
            </w:tcBorders>
            <w:shd w:val="clear" w:color="auto" w:fill="D2D2D2"/>
          </w:tcPr>
          <w:p>
            <w:pPr/>
          </w:p>
        </w:tc>
        <w:tc>
          <w:tcPr>
            <w:tcW w:w="1277"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的其他合法财产，按照本承诺函签署日承诺人各自持有的迪科远</w:t>
            </w:r>
          </w:p>
        </w:tc>
        <w:tc>
          <w:tcPr>
            <w:tcW w:w="1134"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c>
          <w:tcPr>
            <w:tcW w:w="3544" w:type="dxa"/>
            <w:tcBorders>
              <w:top w:val="nil" w:sz="6" w:space="0" w:color="auto"/>
              <w:left w:val="single" w:sz="4" w:space="0" w:color="000000"/>
              <w:bottom w:val="nil" w:sz="6" w:space="0" w:color="auto"/>
              <w:right w:val="single" w:sz="4" w:space="0" w:color="000000"/>
            </w:tcBorders>
          </w:tcPr>
          <w:p>
            <w:pPr/>
          </w:p>
        </w:tc>
      </w:tr>
      <w:tr>
        <w:trPr>
          <w:trHeight w:val="357" w:hRule="exact"/>
        </w:trPr>
        <w:tc>
          <w:tcPr>
            <w:tcW w:w="1702" w:type="dxa"/>
            <w:vMerge/>
            <w:tcBorders>
              <w:left w:val="single" w:sz="4" w:space="0" w:color="000000"/>
              <w:right w:val="single" w:sz="4" w:space="0" w:color="000000"/>
            </w:tcBorders>
            <w:shd w:val="clear" w:color="auto" w:fill="D2D2D2"/>
          </w:tcPr>
          <w:p>
            <w:pPr/>
          </w:p>
        </w:tc>
        <w:tc>
          <w:tcPr>
            <w:tcW w:w="1277" w:type="dxa"/>
            <w:tcBorders>
              <w:top w:val="nil" w:sz="6" w:space="0" w:color="auto"/>
              <w:left w:val="single" w:sz="4" w:space="0" w:color="000000"/>
              <w:bottom w:val="single" w:sz="4" w:space="0" w:color="000000"/>
              <w:right w:val="single" w:sz="4" w:space="0" w:color="000000"/>
            </w:tcBorders>
          </w:tcPr>
          <w:p>
            <w:pPr/>
          </w:p>
        </w:tc>
        <w:tc>
          <w:tcPr>
            <w:tcW w:w="850" w:type="dxa"/>
            <w:tcBorders>
              <w:top w:val="nil" w:sz="6" w:space="0" w:color="auto"/>
              <w:left w:val="single" w:sz="4" w:space="0" w:color="000000"/>
              <w:bottom w:val="single" w:sz="4" w:space="0" w:color="000000"/>
              <w:right w:val="single" w:sz="4" w:space="0" w:color="000000"/>
            </w:tcBorders>
          </w:tcPr>
          <w:p>
            <w:pPr/>
          </w:p>
        </w:tc>
        <w:tc>
          <w:tcPr>
            <w:tcW w:w="518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望股份比例对迪科远望承担全部补偿责任。</w:t>
            </w:r>
          </w:p>
        </w:tc>
        <w:tc>
          <w:tcPr>
            <w:tcW w:w="1134" w:type="dxa"/>
            <w:tcBorders>
              <w:top w:val="nil" w:sz="6" w:space="0" w:color="auto"/>
              <w:left w:val="single" w:sz="4" w:space="0" w:color="000000"/>
              <w:bottom w:val="single" w:sz="4" w:space="0" w:color="000000"/>
              <w:right w:val="single" w:sz="4" w:space="0" w:color="000000"/>
            </w:tcBorders>
          </w:tcPr>
          <w:p>
            <w:pPr/>
          </w:p>
        </w:tc>
        <w:tc>
          <w:tcPr>
            <w:tcW w:w="1134" w:type="dxa"/>
            <w:tcBorders>
              <w:top w:val="nil" w:sz="6" w:space="0" w:color="auto"/>
              <w:left w:val="single" w:sz="4" w:space="0" w:color="000000"/>
              <w:bottom w:val="single" w:sz="4" w:space="0" w:color="000000"/>
              <w:right w:val="single" w:sz="4" w:space="0" w:color="000000"/>
            </w:tcBorders>
          </w:tcPr>
          <w:p>
            <w:pPr/>
          </w:p>
        </w:tc>
        <w:tc>
          <w:tcPr>
            <w:tcW w:w="3544" w:type="dxa"/>
            <w:tcBorders>
              <w:top w:val="nil" w:sz="6" w:space="0" w:color="auto"/>
              <w:left w:val="single" w:sz="4" w:space="0" w:color="000000"/>
              <w:bottom w:val="single" w:sz="4" w:space="0" w:color="000000"/>
              <w:right w:val="single" w:sz="4" w:space="0" w:color="000000"/>
            </w:tcBorders>
          </w:tcPr>
          <w:p>
            <w:pPr/>
          </w:p>
        </w:tc>
      </w:tr>
      <w:tr>
        <w:trPr>
          <w:trHeight w:val="362" w:hRule="exact"/>
        </w:trPr>
        <w:tc>
          <w:tcPr>
            <w:tcW w:w="1702" w:type="dxa"/>
            <w:vMerge/>
            <w:tcBorders>
              <w:left w:val="single" w:sz="4" w:space="0" w:color="000000"/>
              <w:right w:val="single" w:sz="4" w:space="0" w:color="000000"/>
            </w:tcBorders>
            <w:shd w:val="clear" w:color="auto" w:fill="D2D2D2"/>
          </w:tcPr>
          <w:p>
            <w:pPr/>
          </w:p>
        </w:tc>
        <w:tc>
          <w:tcPr>
            <w:tcW w:w="1277" w:type="dxa"/>
            <w:tcBorders>
              <w:top w:val="single" w:sz="4" w:space="0" w:color="000000"/>
              <w:left w:val="single" w:sz="4" w:space="0" w:color="000000"/>
              <w:bottom w:val="nil" w:sz="6" w:space="0" w:color="auto"/>
              <w:right w:val="single" w:sz="4" w:space="0" w:color="000000"/>
            </w:tcBorders>
          </w:tcPr>
          <w:p>
            <w:pPr/>
          </w:p>
        </w:tc>
        <w:tc>
          <w:tcPr>
            <w:tcW w:w="850" w:type="dxa"/>
            <w:tcBorders>
              <w:top w:val="single" w:sz="4" w:space="0" w:color="000000"/>
              <w:left w:val="single" w:sz="4" w:space="0" w:color="000000"/>
              <w:bottom w:val="nil" w:sz="6" w:space="0" w:color="auto"/>
              <w:right w:val="single" w:sz="4" w:space="0" w:color="000000"/>
            </w:tcBorders>
          </w:tcPr>
          <w:p>
            <w:pPr/>
          </w:p>
        </w:tc>
        <w:tc>
          <w:tcPr>
            <w:tcW w:w="518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本次交易的交易对方承诺：</w:t>
            </w:r>
            <w:r>
              <w:rPr>
                <w:rFonts w:ascii="Times New Roman" w:hAnsi="Times New Roman" w:cs="Times New Roman" w:eastAsia="Times New Roman" w:hint="default"/>
                <w:sz w:val="18"/>
                <w:szCs w:val="18"/>
              </w:rPr>
              <w:t>1</w:t>
            </w:r>
            <w:r>
              <w:rPr>
                <w:rFonts w:ascii="宋体" w:hAnsi="宋体" w:cs="宋体" w:eastAsia="宋体" w:hint="default"/>
                <w:sz w:val="18"/>
                <w:szCs w:val="18"/>
              </w:rPr>
              <w:t>、截至本承诺函出具日，除在迪科远</w:t>
            </w:r>
          </w:p>
        </w:tc>
        <w:tc>
          <w:tcPr>
            <w:tcW w:w="1134" w:type="dxa"/>
            <w:tcBorders>
              <w:top w:val="single" w:sz="4" w:space="0" w:color="000000"/>
              <w:left w:val="single" w:sz="4" w:space="0" w:color="000000"/>
              <w:bottom w:val="nil" w:sz="6" w:space="0" w:color="auto"/>
              <w:right w:val="single" w:sz="4" w:space="0" w:color="000000"/>
            </w:tcBorders>
          </w:tcPr>
          <w:p>
            <w:pPr/>
          </w:p>
        </w:tc>
        <w:tc>
          <w:tcPr>
            <w:tcW w:w="1134" w:type="dxa"/>
            <w:tcBorders>
              <w:top w:val="single" w:sz="4" w:space="0" w:color="000000"/>
              <w:left w:val="single" w:sz="4" w:space="0" w:color="000000"/>
              <w:bottom w:val="nil" w:sz="6" w:space="0" w:color="auto"/>
              <w:right w:val="single" w:sz="4" w:space="0" w:color="000000"/>
            </w:tcBorders>
          </w:tcPr>
          <w:p>
            <w:pPr/>
          </w:p>
        </w:tc>
        <w:tc>
          <w:tcPr>
            <w:tcW w:w="3544" w:type="dxa"/>
            <w:tcBorders>
              <w:top w:val="single" w:sz="4" w:space="0" w:color="000000"/>
              <w:left w:val="single" w:sz="4" w:space="0" w:color="000000"/>
              <w:bottom w:val="nil" w:sz="6" w:space="0" w:color="auto"/>
              <w:right w:val="single" w:sz="4" w:space="0" w:color="000000"/>
            </w:tcBorders>
          </w:tcPr>
          <w:p>
            <w:pPr/>
          </w:p>
        </w:tc>
      </w:tr>
      <w:tr>
        <w:trPr>
          <w:trHeight w:val="2491" w:hRule="exact"/>
        </w:trPr>
        <w:tc>
          <w:tcPr>
            <w:tcW w:w="1702" w:type="dxa"/>
            <w:vMerge/>
            <w:tcBorders>
              <w:left w:val="single" w:sz="4" w:space="0" w:color="000000"/>
              <w:right w:val="single" w:sz="4" w:space="0" w:color="000000"/>
            </w:tcBorders>
            <w:shd w:val="clear" w:color="auto" w:fill="D2D2D2"/>
          </w:tcPr>
          <w:p>
            <w:pPr/>
          </w:p>
        </w:tc>
        <w:tc>
          <w:tcPr>
            <w:tcW w:w="1277" w:type="dxa"/>
            <w:tcBorders>
              <w:top w:val="nil" w:sz="6" w:space="0" w:color="auto"/>
              <w:left w:val="single" w:sz="4" w:space="0" w:color="000000"/>
              <w:bottom w:val="nil" w:sz="6" w:space="0" w:color="auto"/>
              <w:right w:val="single" w:sz="13" w:space="0" w:color="FFFFFF"/>
            </w:tcBorders>
          </w:tcPr>
          <w:p>
            <w:pPr>
              <w:pStyle w:val="TableParagraph"/>
              <w:spacing w:line="319" w:lineRule="auto" w:before="142"/>
              <w:ind w:left="23" w:right="-28"/>
              <w:jc w:val="left"/>
              <w:rPr>
                <w:rFonts w:ascii="宋体" w:hAnsi="宋体" w:cs="宋体" w:eastAsia="宋体" w:hint="default"/>
                <w:sz w:val="18"/>
                <w:szCs w:val="18"/>
              </w:rPr>
            </w:pPr>
            <w:r>
              <w:rPr>
                <w:rFonts w:ascii="宋体" w:hAnsi="宋体" w:cs="宋体" w:eastAsia="宋体" w:hint="default"/>
                <w:sz w:val="18"/>
                <w:szCs w:val="18"/>
              </w:rPr>
              <w:t>公司发行股份 及支付现金购 买资产的交易 </w:t>
            </w:r>
            <w:r>
              <w:rPr>
                <w:rFonts w:ascii="宋体" w:hAnsi="宋体" w:cs="宋体" w:eastAsia="宋体" w:hint="default"/>
                <w:spacing w:val="-6"/>
                <w:sz w:val="18"/>
                <w:szCs w:val="18"/>
              </w:rPr>
              <w:t>对方刘永春、丛</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6"/>
                <w:sz w:val="18"/>
                <w:szCs w:val="18"/>
              </w:rPr>
              <w:t>伟滋、李洪、熊</w:t>
            </w:r>
            <w:r>
              <w:rPr>
                <w:rFonts w:ascii="宋体" w:hAnsi="宋体" w:cs="宋体" w:eastAsia="宋体" w:hint="default"/>
                <w:sz w:val="18"/>
                <w:szCs w:val="18"/>
              </w:rPr>
              <w:t> 小洪、白海清、 黄暂度</w:t>
            </w:r>
          </w:p>
        </w:tc>
        <w:tc>
          <w:tcPr>
            <w:tcW w:w="850" w:type="dxa"/>
            <w:tcBorders>
              <w:top w:val="nil" w:sz="6" w:space="0" w:color="auto"/>
              <w:left w:val="single" w:sz="13" w:space="0" w:color="FFFFFF"/>
              <w:bottom w:val="nil" w:sz="6" w:space="0" w:color="auto"/>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25"/>
                <w:szCs w:val="25"/>
              </w:rPr>
            </w:pPr>
          </w:p>
          <w:p>
            <w:pPr>
              <w:pStyle w:val="TableParagraph"/>
              <w:spacing w:line="319" w:lineRule="auto"/>
              <w:ind w:left="11" w:right="95"/>
              <w:jc w:val="both"/>
              <w:rPr>
                <w:rFonts w:ascii="宋体" w:hAnsi="宋体" w:cs="宋体" w:eastAsia="宋体" w:hint="default"/>
                <w:sz w:val="18"/>
                <w:szCs w:val="18"/>
              </w:rPr>
            </w:pPr>
            <w:r>
              <w:rPr>
                <w:rFonts w:ascii="宋体" w:hAnsi="宋体" w:cs="宋体" w:eastAsia="宋体" w:hint="default"/>
                <w:sz w:val="18"/>
                <w:szCs w:val="18"/>
              </w:rPr>
              <w:t>关于同业 竞争、关 联交易、 资金占用 方面的承 诺</w:t>
            </w:r>
          </w:p>
        </w:tc>
        <w:tc>
          <w:tcPr>
            <w:tcW w:w="5180" w:type="dxa"/>
            <w:tcBorders>
              <w:top w:val="nil" w:sz="6" w:space="0" w:color="auto"/>
              <w:left w:val="single" w:sz="4" w:space="0" w:color="000000"/>
              <w:bottom w:val="nil" w:sz="6" w:space="0" w:color="auto"/>
              <w:right w:val="single" w:sz="9" w:space="0" w:color="FFFFFF"/>
            </w:tcBorders>
          </w:tcPr>
          <w:p>
            <w:pPr>
              <w:pStyle w:val="TableParagraph"/>
              <w:spacing w:line="312" w:lineRule="auto" w:before="5"/>
              <w:ind w:left="22" w:right="-39"/>
              <w:jc w:val="left"/>
              <w:rPr>
                <w:rFonts w:ascii="宋体" w:hAnsi="宋体" w:cs="宋体" w:eastAsia="宋体" w:hint="default"/>
                <w:sz w:val="18"/>
                <w:szCs w:val="18"/>
              </w:rPr>
            </w:pPr>
            <w:r>
              <w:rPr>
                <w:rFonts w:ascii="宋体" w:hAnsi="宋体" w:cs="宋体" w:eastAsia="宋体" w:hint="default"/>
                <w:sz w:val="18"/>
                <w:szCs w:val="18"/>
              </w:rPr>
              <w:t>望及其下属企业任职并以迪科远望及其下属企业的名义开展业务 外，本人（包括本人直系亲属和配偶，下同）及本人控制的其他 公司、企业或其他经营实体（包括本人全资、控股公司及本人具 </w:t>
            </w:r>
            <w:r>
              <w:rPr>
                <w:rFonts w:ascii="宋体" w:hAnsi="宋体" w:cs="宋体" w:eastAsia="宋体" w:hint="default"/>
                <w:spacing w:val="-2"/>
                <w:sz w:val="18"/>
                <w:szCs w:val="18"/>
              </w:rPr>
              <w:t>有实际控制权的公司、企业或其他经营实体，下同）现有的业务、</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产品</w:t>
            </w:r>
            <w:r>
              <w:rPr>
                <w:rFonts w:ascii="Times New Roman" w:hAnsi="Times New Roman" w:cs="Times New Roman" w:eastAsia="Times New Roman" w:hint="default"/>
                <w:sz w:val="18"/>
                <w:szCs w:val="18"/>
              </w:rPr>
              <w:t>/</w:t>
            </w:r>
            <w:r>
              <w:rPr>
                <w:rFonts w:ascii="宋体" w:hAnsi="宋体" w:cs="宋体" w:eastAsia="宋体" w:hint="default"/>
                <w:sz w:val="18"/>
                <w:szCs w:val="18"/>
              </w:rPr>
              <w:t>服务与新开普、迪科远望及其下属企业正在或将要开展的业 务、产品</w:t>
            </w:r>
            <w:r>
              <w:rPr>
                <w:rFonts w:ascii="Times New Roman" w:hAnsi="Times New Roman" w:cs="Times New Roman" w:eastAsia="Times New Roman" w:hint="default"/>
                <w:sz w:val="18"/>
                <w:szCs w:val="18"/>
              </w:rPr>
              <w:t>/</w:t>
            </w:r>
            <w:r>
              <w:rPr>
                <w:rFonts w:ascii="宋体" w:hAnsi="宋体" w:cs="宋体" w:eastAsia="宋体" w:hint="default"/>
                <w:sz w:val="18"/>
                <w:szCs w:val="18"/>
              </w:rPr>
              <w:t>服务不存在竞争或潜在竞争；本人及本人控制的其他公 司、企业或其他经营实体不存在直接或通过其他任何方式（包括 但不限于独资、合资、合作经营或者承包、租赁经营、</w:t>
            </w:r>
          </w:p>
        </w:tc>
        <w:tc>
          <w:tcPr>
            <w:tcW w:w="1134" w:type="dxa"/>
            <w:tcBorders>
              <w:top w:val="nil" w:sz="6" w:space="0" w:color="auto"/>
              <w:left w:val="single" w:sz="9" w:space="0" w:color="FFFFFF"/>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left="1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4"/>
              <w:ind w:left="1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3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302" w:lineRule="auto" w:before="63"/>
              <w:ind w:left="22" w:right="95"/>
              <w:jc w:val="left"/>
              <w:rPr>
                <w:rFonts w:ascii="宋体" w:hAnsi="宋体" w:cs="宋体" w:eastAsia="宋体" w:hint="default"/>
                <w:sz w:val="18"/>
                <w:szCs w:val="18"/>
              </w:rPr>
            </w:pP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r>
              <w:rPr>
                <w:rFonts w:ascii="Times New Roman" w:hAnsi="Times New Roman" w:cs="Times New Roman" w:eastAsia="Times New Roman" w:hint="default"/>
                <w:sz w:val="18"/>
                <w:szCs w:val="18"/>
              </w:rPr>
              <w:t>-</w:t>
            </w:r>
            <w:r>
              <w:rPr>
                <w:rFonts w:ascii="宋体" w:hAnsi="宋体" w:cs="宋体" w:eastAsia="宋体" w:hint="default"/>
                <w:sz w:val="18"/>
                <w:szCs w:val="18"/>
              </w:rPr>
              <w:t>长期有 效</w:t>
            </w:r>
          </w:p>
        </w:tc>
        <w:tc>
          <w:tcPr>
            <w:tcW w:w="354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319" w:lineRule="auto"/>
              <w:ind w:left="22" w:right="89"/>
              <w:jc w:val="left"/>
              <w:rPr>
                <w:rFonts w:ascii="宋体" w:hAnsi="宋体" w:cs="宋体" w:eastAsia="宋体" w:hint="default"/>
                <w:sz w:val="18"/>
                <w:szCs w:val="18"/>
              </w:rPr>
            </w:pPr>
            <w:r>
              <w:rPr>
                <w:rFonts w:ascii="宋体" w:hAnsi="宋体" w:cs="宋体" w:eastAsia="宋体" w:hint="default"/>
                <w:sz w:val="18"/>
                <w:szCs w:val="18"/>
              </w:rPr>
              <w:t>截至报告期末，上述承诺人严格信守承诺， 未发生违反承诺的情况。</w:t>
            </w:r>
          </w:p>
        </w:tc>
      </w:tr>
      <w:tr>
        <w:trPr>
          <w:trHeight w:val="318" w:hRule="exact"/>
        </w:trPr>
        <w:tc>
          <w:tcPr>
            <w:tcW w:w="1702" w:type="dxa"/>
            <w:vMerge/>
            <w:tcBorders>
              <w:left w:val="single" w:sz="4" w:space="0" w:color="000000"/>
              <w:bottom w:val="single" w:sz="4" w:space="0" w:color="000000"/>
              <w:right w:val="single" w:sz="4" w:space="0" w:color="000000"/>
            </w:tcBorders>
            <w:shd w:val="clear" w:color="auto" w:fill="D2D2D2"/>
          </w:tcPr>
          <w:p>
            <w:pPr/>
          </w:p>
        </w:tc>
        <w:tc>
          <w:tcPr>
            <w:tcW w:w="1277" w:type="dxa"/>
            <w:tcBorders>
              <w:top w:val="nil" w:sz="6" w:space="0" w:color="auto"/>
              <w:left w:val="single" w:sz="4" w:space="0" w:color="000000"/>
              <w:bottom w:val="single" w:sz="4" w:space="0" w:color="000000"/>
              <w:right w:val="single" w:sz="4" w:space="0" w:color="000000"/>
            </w:tcBorders>
          </w:tcPr>
          <w:p>
            <w:pPr/>
          </w:p>
        </w:tc>
        <w:tc>
          <w:tcPr>
            <w:tcW w:w="850" w:type="dxa"/>
            <w:tcBorders>
              <w:top w:val="nil" w:sz="6" w:space="0" w:color="auto"/>
              <w:left w:val="single" w:sz="4" w:space="0" w:color="000000"/>
              <w:bottom w:val="single" w:sz="4" w:space="0" w:color="000000"/>
              <w:right w:val="single" w:sz="4" w:space="0" w:color="000000"/>
            </w:tcBorders>
          </w:tcPr>
          <w:p>
            <w:pPr/>
          </w:p>
        </w:tc>
        <w:tc>
          <w:tcPr>
            <w:tcW w:w="518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通过第三方经营、担任顾问等）间接从事与新开普、迪科远望及</w:t>
            </w:r>
          </w:p>
        </w:tc>
        <w:tc>
          <w:tcPr>
            <w:tcW w:w="1134" w:type="dxa"/>
            <w:tcBorders>
              <w:top w:val="nil" w:sz="6" w:space="0" w:color="auto"/>
              <w:left w:val="single" w:sz="4" w:space="0" w:color="000000"/>
              <w:bottom w:val="single" w:sz="4" w:space="0" w:color="000000"/>
              <w:right w:val="single" w:sz="4" w:space="0" w:color="000000"/>
            </w:tcBorders>
          </w:tcPr>
          <w:p>
            <w:pPr/>
          </w:p>
        </w:tc>
        <w:tc>
          <w:tcPr>
            <w:tcW w:w="1134" w:type="dxa"/>
            <w:tcBorders>
              <w:top w:val="nil" w:sz="6" w:space="0" w:color="auto"/>
              <w:left w:val="single" w:sz="4" w:space="0" w:color="000000"/>
              <w:bottom w:val="single" w:sz="4" w:space="0" w:color="000000"/>
              <w:right w:val="single" w:sz="4" w:space="0" w:color="000000"/>
            </w:tcBorders>
          </w:tcPr>
          <w:p>
            <w:pPr/>
          </w:p>
        </w:tc>
        <w:tc>
          <w:tcPr>
            <w:tcW w:w="3544" w:type="dxa"/>
            <w:tcBorders>
              <w:top w:val="nil" w:sz="6" w:space="0" w:color="auto"/>
              <w:left w:val="single" w:sz="4" w:space="0" w:color="000000"/>
              <w:bottom w:val="single" w:sz="4" w:space="0" w:color="000000"/>
              <w:right w:val="single" w:sz="4" w:space="0" w:color="000000"/>
            </w:tcBorders>
          </w:tcPr>
          <w:p>
            <w:pPr/>
          </w:p>
        </w:tc>
      </w:tr>
    </w:tbl>
    <w:p>
      <w:pPr>
        <w:spacing w:after="0"/>
        <w:sectPr>
          <w:pgSz w:w="16840" w:h="11910" w:orient="landscape"/>
          <w:pgMar w:header="867" w:footer="979" w:top="1060" w:bottom="1200" w:left="900" w:right="880"/>
        </w:sectPr>
      </w:pPr>
    </w:p>
    <w:p>
      <w:pPr>
        <w:spacing w:line="240" w:lineRule="auto" w:before="4"/>
        <w:rPr>
          <w:rFonts w:ascii="Times New Roman" w:hAnsi="Times New Roman" w:cs="Times New Roman" w:eastAsia="Times New Roman" w:hint="default"/>
          <w:sz w:val="3"/>
          <w:szCs w:val="3"/>
        </w:rPr>
      </w:pPr>
      <w:r>
        <w:rPr/>
        <w:pict>
          <v:shape style="position:absolute;margin-left:351.140015pt;margin-top:57.180008pt;width:206.45pt;height:468.1pt;mso-position-horizontal-relative:page;mso-position-vertical-relative:page;z-index:-1222480" type="#_x0000_t202" filled="false" stroked="false">
            <v:textbox inset="0,0,0,0">
              <w:txbxContent>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5"/>
                    <w:rPr>
                      <w:rFonts w:ascii="Times New Roman" w:hAnsi="Times New Roman" w:cs="Times New Roman" w:eastAsia="Times New Roman" w:hint="default"/>
                      <w:sz w:val="22"/>
                      <w:szCs w:val="22"/>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迪科远望及其下属企业存在同业竞争，</w:t>
                  </w:r>
                </w:p>
              </w:txbxContent>
            </v:textbox>
            <w10:wrap type="none"/>
          </v:shape>
        </w:pict>
      </w:r>
    </w:p>
    <w:tbl>
      <w:tblPr>
        <w:tblW w:w="0" w:type="auto"/>
        <w:jc w:val="left"/>
        <w:tblInd w:w="109" w:type="dxa"/>
        <w:tblLayout w:type="fixed"/>
        <w:tblCellMar>
          <w:top w:w="0" w:type="dxa"/>
          <w:left w:w="0" w:type="dxa"/>
          <w:bottom w:w="0" w:type="dxa"/>
          <w:right w:w="0" w:type="dxa"/>
        </w:tblCellMar>
        <w:tblLook w:val="01E0"/>
      </w:tblPr>
      <w:tblGrid>
        <w:gridCol w:w="1702"/>
        <w:gridCol w:w="1277"/>
        <w:gridCol w:w="850"/>
        <w:gridCol w:w="5180"/>
        <w:gridCol w:w="1134"/>
        <w:gridCol w:w="1134"/>
        <w:gridCol w:w="3544"/>
      </w:tblGrid>
      <w:tr>
        <w:trPr>
          <w:trHeight w:val="332" w:hRule="exact"/>
        </w:trPr>
        <w:tc>
          <w:tcPr>
            <w:tcW w:w="1702" w:type="dxa"/>
            <w:vMerge w:val="restart"/>
            <w:tcBorders>
              <w:top w:val="single" w:sz="15" w:space="0" w:color="000000"/>
              <w:left w:val="single" w:sz="4" w:space="0" w:color="000000"/>
              <w:right w:val="single" w:sz="4" w:space="0" w:color="000000"/>
            </w:tcBorders>
            <w:shd w:val="clear" w:color="auto" w:fill="D2D2D2"/>
          </w:tcPr>
          <w:p>
            <w:pPr/>
          </w:p>
        </w:tc>
        <w:tc>
          <w:tcPr>
            <w:tcW w:w="1277" w:type="dxa"/>
            <w:vMerge w:val="restart"/>
            <w:tcBorders>
              <w:top w:val="single" w:sz="15" w:space="0" w:color="000000"/>
              <w:left w:val="single" w:sz="4" w:space="0" w:color="000000"/>
              <w:right w:val="single" w:sz="4" w:space="0" w:color="000000"/>
            </w:tcBorders>
          </w:tcPr>
          <w:p>
            <w:pPr/>
          </w:p>
        </w:tc>
        <w:tc>
          <w:tcPr>
            <w:tcW w:w="850" w:type="dxa"/>
            <w:vMerge w:val="restart"/>
            <w:tcBorders>
              <w:top w:val="single" w:sz="15" w:space="0" w:color="000000"/>
              <w:left w:val="single" w:sz="4" w:space="0" w:color="000000"/>
              <w:right w:val="single" w:sz="4" w:space="0" w:color="000000"/>
            </w:tcBorders>
          </w:tcPr>
          <w:p>
            <w:pPr/>
          </w:p>
        </w:tc>
        <w:tc>
          <w:tcPr>
            <w:tcW w:w="5180" w:type="dxa"/>
            <w:tcBorders>
              <w:top w:val="single" w:sz="15" w:space="0" w:color="000000"/>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其下属企业相同或类似业务的情形，不存在其他任何与新开普、</w:t>
            </w:r>
          </w:p>
        </w:tc>
        <w:tc>
          <w:tcPr>
            <w:tcW w:w="1134" w:type="dxa"/>
            <w:vMerge w:val="restart"/>
            <w:tcBorders>
              <w:top w:val="single" w:sz="15" w:space="0" w:color="000000"/>
              <w:left w:val="single" w:sz="4" w:space="0" w:color="000000"/>
              <w:right w:val="single" w:sz="4" w:space="0" w:color="000000"/>
            </w:tcBorders>
          </w:tcPr>
          <w:p>
            <w:pPr>
              <w:pStyle w:val="TableParagraph"/>
              <w:spacing w:line="9361" w:lineRule="exact"/>
              <w:ind w:right="-51"/>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86"/>
                <w:sz w:val="20"/>
                <w:szCs w:val="20"/>
              </w:rPr>
              <w:pict>
                <v:group style="width:56.25pt;height:468.1pt;mso-position-horizontal-relative:char;mso-position-vertical-relative:line" coordorigin="0,0" coordsize="1125,9362">
                  <v:group style="position:absolute;left:0;top:0;width:1125;height:9362" coordorigin="0,0" coordsize="1125,9362">
                    <v:shape style="position:absolute;left:0;top:0;width:1125;height:9362" coordorigin="0,0" coordsize="1125,9362" path="m0,9361l1124,9361,1124,0,0,0,0,9361xe" filled="true" fillcolor="#ffffff" stroked="false">
                      <v:path arrowok="t"/>
                      <v:fill type="solid"/>
                    </v:shape>
                  </v:group>
                </v:group>
              </w:pict>
            </w:r>
            <w:r>
              <w:rPr>
                <w:rFonts w:ascii="Times New Roman" w:hAnsi="Times New Roman" w:cs="Times New Roman" w:eastAsia="Times New Roman" w:hint="default"/>
                <w:position w:val="-186"/>
                <w:sz w:val="20"/>
                <w:szCs w:val="20"/>
              </w:rPr>
            </w:r>
          </w:p>
        </w:tc>
        <w:tc>
          <w:tcPr>
            <w:tcW w:w="1134" w:type="dxa"/>
            <w:vMerge w:val="restart"/>
            <w:tcBorders>
              <w:top w:val="single" w:sz="15" w:space="0" w:color="000000"/>
              <w:left w:val="single" w:sz="4" w:space="0" w:color="000000"/>
              <w:right w:val="single" w:sz="4" w:space="0" w:color="000000"/>
            </w:tcBorders>
          </w:tcPr>
          <w:p>
            <w:pPr/>
          </w:p>
        </w:tc>
        <w:tc>
          <w:tcPr>
            <w:tcW w:w="3544" w:type="dxa"/>
            <w:vMerge w:val="restart"/>
            <w:tcBorders>
              <w:top w:val="single" w:sz="15" w:space="0" w:color="000000"/>
              <w:left w:val="single" w:sz="4" w:space="0" w:color="000000"/>
              <w:right w:val="single" w:sz="4" w:space="0" w:color="000000"/>
            </w:tcBorders>
          </w:tcPr>
          <w:p>
            <w:pPr/>
          </w:p>
        </w:tc>
      </w:tr>
      <w:tr>
        <w:trPr>
          <w:trHeight w:val="31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迪科远望及其下属企业存在同业竞争的情形。</w:t>
            </w:r>
            <w:r>
              <w:rPr>
                <w:rFonts w:ascii="Times New Roman" w:hAnsi="Times New Roman" w:cs="Times New Roman" w:eastAsia="Times New Roman" w:hint="default"/>
                <w:sz w:val="18"/>
                <w:szCs w:val="18"/>
              </w:rPr>
              <w:t>2</w:t>
            </w:r>
            <w:r>
              <w:rPr>
                <w:rFonts w:ascii="宋体" w:hAnsi="宋体" w:cs="宋体" w:eastAsia="宋体" w:hint="default"/>
                <w:sz w:val="18"/>
                <w:szCs w:val="18"/>
              </w:rPr>
              <w:t>、本人承诺，在今</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0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后的业务中，本人不与新开普、迪科远望及其下属企业进行同业</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竞争，即</w:t>
            </w:r>
            <w:r>
              <w:rPr>
                <w:rFonts w:ascii="宋体" w:hAnsi="宋体" w:cs="宋体" w:eastAsia="宋体" w:hint="default"/>
                <w:spacing w:val="-90"/>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）本人及本人控制的其他企业不会直接或通过其他</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0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任何方式（包括但不限于独资、合资、合作经营或者承包、租赁</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经营、委托管理、通过第三方经营、担任顾问等）间接从事与新</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开普、迪科远望及其下属企业业务相同或相近似的经营活动，以</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避免对新开普、迪科远望及其下属企业的生产经营构成直接或间</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接的业务竞争</w:t>
            </w:r>
            <w:r>
              <w:rPr>
                <w:rFonts w:ascii="宋体" w:hAnsi="宋体" w:cs="宋体" w:eastAsia="宋体" w:hint="default"/>
                <w:spacing w:val="-90"/>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）如新开普、迪科远望及其下属企业进一步拓</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0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展其业务范围，本人及本人控制的其他公司、企业或其他经营实</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体将不与新开普、迪科远望及其下属企业拓展后的业务相竞争；</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若与新开普、迪科远望及其下属企业拓展后的业务产生竞争，本</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人及本人控制的其他公司、企业或其他经营实体将停止生产经营</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或者将相竞争的业务转让给无关联关系第三方，但新开普、迪科</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远望及其下属企业可以按照合理的价格及条件采取优先收购或委</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托经营的方式将相关公司、企业或其他经营实体的竞争业务集中</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到新开普或迪科远望经营，以避免同业竞争</w:t>
            </w:r>
            <w:r>
              <w:rPr>
                <w:rFonts w:ascii="宋体" w:hAnsi="宋体" w:cs="宋体" w:eastAsia="宋体" w:hint="default"/>
                <w:spacing w:val="-90"/>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）若有第三方向</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0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本人及本人控制的其他公司、企业或其他经营实体提供任何业务</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机会或本人及本人控制的其他公司、企业或其他经营实体有任何</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机会需提供给第三方，且该业务直接或间接与新开普、迪科远望</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及其下属企业业务有竞争或者新开普、迪科远望有能力、有意向</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承揽该业务的，本人及本人控制的其他公司、企业或其他经营实</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体应当立即通知新开普、迪科远望及其下属企业该业务机会，并</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尽力促使该业务以合理的条款和条件由新开普、迪科远望及其下</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属企业承接。</w:t>
            </w:r>
            <w:r>
              <w:rPr>
                <w:rFonts w:ascii="Times New Roman" w:hAnsi="Times New Roman" w:cs="Times New Roman" w:eastAsia="Times New Roman" w:hint="default"/>
                <w:sz w:val="18"/>
                <w:szCs w:val="18"/>
              </w:rPr>
              <w:t>3</w:t>
            </w:r>
            <w:r>
              <w:rPr>
                <w:rFonts w:ascii="宋体" w:hAnsi="宋体" w:cs="宋体" w:eastAsia="宋体" w:hint="default"/>
                <w:sz w:val="18"/>
                <w:szCs w:val="18"/>
              </w:rPr>
              <w:t>、如新开普、迪科远望及其下属企业或相关监管部</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0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门认定本人及本人控制的其他公司、企业或其他经营实体正在或</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将要从事的业务与新开普、</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本人及本人控制的其他公司将在新开普、迪科远望及其下属企业</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提出异议后及时转让或终止该项业务。如新开普、迪科远望及其</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8" w:hRule="exact"/>
        </w:trPr>
        <w:tc>
          <w:tcPr>
            <w:tcW w:w="1702" w:type="dxa"/>
            <w:vMerge/>
            <w:tcBorders>
              <w:left w:val="single" w:sz="4" w:space="0" w:color="000000"/>
              <w:bottom w:val="single" w:sz="4" w:space="0" w:color="000000"/>
              <w:right w:val="single" w:sz="4" w:space="0" w:color="000000"/>
            </w:tcBorders>
            <w:shd w:val="clear" w:color="auto" w:fill="D2D2D2"/>
          </w:tcPr>
          <w:p>
            <w:pPr/>
          </w:p>
        </w:tc>
        <w:tc>
          <w:tcPr>
            <w:tcW w:w="1277" w:type="dxa"/>
            <w:vMerge/>
            <w:tcBorders>
              <w:left w:val="single" w:sz="4" w:space="0" w:color="000000"/>
              <w:bottom w:val="single" w:sz="4" w:space="0" w:color="000000"/>
              <w:right w:val="single" w:sz="4" w:space="0" w:color="000000"/>
            </w:tcBorders>
          </w:tcPr>
          <w:p>
            <w:pPr/>
          </w:p>
        </w:tc>
        <w:tc>
          <w:tcPr>
            <w:tcW w:w="850" w:type="dxa"/>
            <w:vMerge/>
            <w:tcBorders>
              <w:left w:val="single" w:sz="4" w:space="0" w:color="000000"/>
              <w:bottom w:val="single" w:sz="4" w:space="0" w:color="000000"/>
              <w:right w:val="single" w:sz="4" w:space="0" w:color="000000"/>
            </w:tcBorders>
          </w:tcPr>
          <w:p>
            <w:pPr/>
          </w:p>
        </w:tc>
        <w:tc>
          <w:tcPr>
            <w:tcW w:w="518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下属企业进一步提出受让请求，本人及本人控制的其他公司将无</w:t>
            </w:r>
          </w:p>
        </w:tc>
        <w:tc>
          <w:tcPr>
            <w:tcW w:w="1134" w:type="dxa"/>
            <w:vMerge/>
            <w:tcBorders>
              <w:left w:val="single" w:sz="4" w:space="0" w:color="000000"/>
              <w:bottom w:val="single" w:sz="4" w:space="0" w:color="000000"/>
              <w:right w:val="single" w:sz="4" w:space="0" w:color="000000"/>
            </w:tcBorders>
          </w:tcPr>
          <w:p>
            <w:pPr/>
          </w:p>
        </w:tc>
        <w:tc>
          <w:tcPr>
            <w:tcW w:w="1134" w:type="dxa"/>
            <w:vMerge/>
            <w:tcBorders>
              <w:left w:val="single" w:sz="4" w:space="0" w:color="000000"/>
              <w:bottom w:val="single" w:sz="4" w:space="0" w:color="000000"/>
              <w:right w:val="single" w:sz="4" w:space="0" w:color="000000"/>
            </w:tcBorders>
          </w:tcPr>
          <w:p>
            <w:pPr/>
          </w:p>
        </w:tc>
        <w:tc>
          <w:tcPr>
            <w:tcW w:w="3544" w:type="dxa"/>
            <w:vMerge/>
            <w:tcBorders>
              <w:left w:val="single" w:sz="4" w:space="0" w:color="000000"/>
              <w:bottom w:val="single" w:sz="4" w:space="0" w:color="000000"/>
              <w:right w:val="single" w:sz="4" w:space="0" w:color="000000"/>
            </w:tcBorders>
          </w:tcPr>
          <w:p>
            <w:pPr/>
          </w:p>
        </w:tc>
      </w:tr>
    </w:tbl>
    <w:p>
      <w:pPr>
        <w:spacing w:after="0"/>
        <w:sectPr>
          <w:pgSz w:w="16840" w:h="11910" w:orient="landscape"/>
          <w:pgMar w:header="867" w:footer="979" w:top="1060" w:bottom="1160" w:left="900" w:right="880"/>
        </w:sectPr>
      </w:pPr>
    </w:p>
    <w:p>
      <w:pPr>
        <w:spacing w:line="240" w:lineRule="auto" w:before="4"/>
        <w:rPr>
          <w:rFonts w:ascii="Times New Roman" w:hAnsi="Times New Roman" w:cs="Times New Roman" w:eastAsia="Times New Roman" w:hint="default"/>
          <w:sz w:val="3"/>
          <w:szCs w:val="3"/>
        </w:rPr>
      </w:pPr>
      <w:r>
        <w:rPr/>
        <w:pict>
          <v:shape style="position:absolute;margin-left:324.140015pt;margin-top:398.140015pt;width:233.45pt;height:131.6pt;mso-position-horizontal-relative:page;mso-position-vertical-relative:page;z-index:-1222456" type="#_x0000_t202" filled="false" stroked="false">
            <v:textbox inset="0,0,0,0">
              <w:txbxContent>
                <w:p>
                  <w:pPr>
                    <w:spacing w:before="146"/>
                    <w:ind w:left="0" w:right="0" w:firstLine="0"/>
                    <w:jc w:val="left"/>
                    <w:rPr>
                      <w:rFonts w:ascii="宋体" w:hAnsi="宋体" w:cs="宋体" w:eastAsia="宋体" w:hint="default"/>
                      <w:sz w:val="18"/>
                      <w:szCs w:val="18"/>
                    </w:rPr>
                  </w:pPr>
                  <w:r>
                    <w:rPr>
                      <w:rFonts w:ascii="宋体" w:hAnsi="宋体" w:cs="宋体" w:eastAsia="宋体" w:hint="default"/>
                      <w:sz w:val="18"/>
                      <w:szCs w:val="18"/>
                    </w:rPr>
                    <w:t>保证不利用关联交易非法转移新开普的资金、</w:t>
                  </w:r>
                </w:p>
              </w:txbxContent>
            </v:textbox>
            <w10:wrap type="none"/>
          </v:shape>
        </w:pict>
      </w:r>
      <w:r>
        <w:rPr/>
        <w:pict>
          <v:group style="position:absolute;margin-left:501.339996pt;margin-top:398.140015pt;width:56.25pt;height:131.6pt;mso-position-horizontal-relative:page;mso-position-vertical-relative:page;z-index:-1222432" coordorigin="10027,7963" coordsize="1125,2632">
            <v:shape style="position:absolute;left:10027;top:7963;width:1125;height:2632" coordorigin="10027,7963" coordsize="1125,2632" path="m10027,10595l11151,10595,11151,7963,10027,7963,10027,10595xe" filled="true" fillcolor="#ffffff" stroked="false">
              <v:path arrowok="t"/>
              <v:fill type="solid"/>
            </v:shape>
            <w10:wrap type="none"/>
          </v:group>
        </w:pict>
      </w:r>
    </w:p>
    <w:tbl>
      <w:tblPr>
        <w:tblW w:w="0" w:type="auto"/>
        <w:jc w:val="left"/>
        <w:tblInd w:w="109" w:type="dxa"/>
        <w:tblLayout w:type="fixed"/>
        <w:tblCellMar>
          <w:top w:w="0" w:type="dxa"/>
          <w:left w:w="0" w:type="dxa"/>
          <w:bottom w:w="0" w:type="dxa"/>
          <w:right w:w="0" w:type="dxa"/>
        </w:tblCellMar>
        <w:tblLook w:val="01E0"/>
      </w:tblPr>
      <w:tblGrid>
        <w:gridCol w:w="1702"/>
        <w:gridCol w:w="1277"/>
        <w:gridCol w:w="850"/>
        <w:gridCol w:w="5180"/>
        <w:gridCol w:w="1134"/>
        <w:gridCol w:w="1134"/>
        <w:gridCol w:w="3544"/>
      </w:tblGrid>
      <w:tr>
        <w:trPr>
          <w:trHeight w:val="332" w:hRule="exact"/>
        </w:trPr>
        <w:tc>
          <w:tcPr>
            <w:tcW w:w="1702" w:type="dxa"/>
            <w:vMerge w:val="restart"/>
            <w:tcBorders>
              <w:top w:val="single" w:sz="15" w:space="0" w:color="000000"/>
              <w:left w:val="single" w:sz="4" w:space="0" w:color="000000"/>
              <w:right w:val="single" w:sz="4" w:space="0" w:color="000000"/>
            </w:tcBorders>
            <w:shd w:val="clear" w:color="auto" w:fill="D2D2D2"/>
          </w:tcPr>
          <w:p>
            <w:pPr/>
          </w:p>
        </w:tc>
        <w:tc>
          <w:tcPr>
            <w:tcW w:w="1277" w:type="dxa"/>
            <w:vMerge w:val="restart"/>
            <w:tcBorders>
              <w:top w:val="single" w:sz="15" w:space="0" w:color="000000"/>
              <w:left w:val="single" w:sz="4" w:space="0" w:color="000000"/>
              <w:right w:val="single" w:sz="4" w:space="0" w:color="000000"/>
            </w:tcBorders>
          </w:tcPr>
          <w:p>
            <w:pPr/>
          </w:p>
        </w:tc>
        <w:tc>
          <w:tcPr>
            <w:tcW w:w="850" w:type="dxa"/>
            <w:vMerge w:val="restart"/>
            <w:tcBorders>
              <w:top w:val="single" w:sz="15" w:space="0" w:color="000000"/>
              <w:left w:val="single" w:sz="4" w:space="0" w:color="000000"/>
              <w:right w:val="single" w:sz="4" w:space="0" w:color="000000"/>
            </w:tcBorders>
          </w:tcPr>
          <w:p>
            <w:pPr/>
          </w:p>
        </w:tc>
        <w:tc>
          <w:tcPr>
            <w:tcW w:w="5180" w:type="dxa"/>
            <w:tcBorders>
              <w:top w:val="single" w:sz="15" w:space="0" w:color="000000"/>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条件按有证券从业资格的中介机构审计或评估的公允价格将上述</w:t>
            </w:r>
          </w:p>
        </w:tc>
        <w:tc>
          <w:tcPr>
            <w:tcW w:w="1134" w:type="dxa"/>
            <w:vMerge w:val="restart"/>
            <w:tcBorders>
              <w:top w:val="single" w:sz="15" w:space="0" w:color="000000"/>
              <w:left w:val="single" w:sz="4" w:space="0" w:color="000000"/>
              <w:right w:val="single" w:sz="4" w:space="0" w:color="000000"/>
            </w:tcBorders>
          </w:tcPr>
          <w:p>
            <w:pPr/>
          </w:p>
        </w:tc>
        <w:tc>
          <w:tcPr>
            <w:tcW w:w="1134" w:type="dxa"/>
            <w:vMerge w:val="restart"/>
            <w:tcBorders>
              <w:top w:val="single" w:sz="15" w:space="0" w:color="000000"/>
              <w:left w:val="single" w:sz="4" w:space="0" w:color="000000"/>
              <w:right w:val="single" w:sz="4" w:space="0" w:color="000000"/>
            </w:tcBorders>
          </w:tcPr>
          <w:p>
            <w:pPr/>
          </w:p>
        </w:tc>
        <w:tc>
          <w:tcPr>
            <w:tcW w:w="3544" w:type="dxa"/>
            <w:vMerge w:val="restart"/>
            <w:tcBorders>
              <w:top w:val="single" w:sz="15" w:space="0" w:color="000000"/>
              <w:left w:val="single" w:sz="4" w:space="0" w:color="000000"/>
              <w:right w:val="single" w:sz="4" w:space="0" w:color="000000"/>
            </w:tcBorders>
          </w:tcPr>
          <w:p>
            <w:pPr/>
          </w:p>
        </w:tc>
      </w:tr>
      <w:tr>
        <w:trPr>
          <w:trHeight w:val="31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业务和资产优先转让给新开普、迪科远望及其下属企业。</w:t>
            </w:r>
            <w:r>
              <w:rPr>
                <w:rFonts w:ascii="Times New Roman" w:hAnsi="Times New Roman" w:cs="Times New Roman" w:eastAsia="Times New Roman" w:hint="default"/>
                <w:sz w:val="18"/>
                <w:szCs w:val="18"/>
              </w:rPr>
              <w:t>4</w:t>
            </w:r>
            <w:r>
              <w:rPr>
                <w:rFonts w:ascii="宋体" w:hAnsi="宋体" w:cs="宋体" w:eastAsia="宋体" w:hint="default"/>
                <w:sz w:val="18"/>
                <w:szCs w:val="18"/>
              </w:rPr>
              <w:t>、本人</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0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确认本承诺函所载的每一项承诺均为可独立执行之承诺，任何一</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项承诺若被视为无效或终止将不影响其他各项承诺的有效性。以</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上承诺自中国证券监督管理委员会核准新开普本次非公开发行股</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份并支付现金购买资产之日起正式生效，并将在本人在新开普、</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迪科远望及其下属企业任职期间以及本人自新开普、迪科远望及</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其下属企业离职之日起</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36</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个月内有效。如本人或本人控制的其他</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0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公司、企业或其他经营实体违反上述声明与承诺，本人承诺将违</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3"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反该承诺所得的收入全部归新开普、迪科远望所有，并向新开普</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5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bottom w:val="single" w:sz="4" w:space="0" w:color="000000"/>
              <w:right w:val="single" w:sz="4" w:space="0" w:color="000000"/>
            </w:tcBorders>
          </w:tcPr>
          <w:p>
            <w:pPr/>
          </w:p>
        </w:tc>
        <w:tc>
          <w:tcPr>
            <w:tcW w:w="850" w:type="dxa"/>
            <w:vMerge/>
            <w:tcBorders>
              <w:left w:val="single" w:sz="4" w:space="0" w:color="000000"/>
              <w:bottom w:val="single" w:sz="4" w:space="0" w:color="000000"/>
              <w:right w:val="single" w:sz="4" w:space="0" w:color="000000"/>
            </w:tcBorders>
          </w:tcPr>
          <w:p>
            <w:pPr/>
          </w:p>
        </w:tc>
        <w:tc>
          <w:tcPr>
            <w:tcW w:w="518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及迪科远望承担相应的损害赔偿责任。</w:t>
            </w:r>
          </w:p>
        </w:tc>
        <w:tc>
          <w:tcPr>
            <w:tcW w:w="1134" w:type="dxa"/>
            <w:vMerge/>
            <w:tcBorders>
              <w:left w:val="single" w:sz="4" w:space="0" w:color="000000"/>
              <w:bottom w:val="single" w:sz="4" w:space="0" w:color="000000"/>
              <w:right w:val="single" w:sz="4" w:space="0" w:color="000000"/>
            </w:tcBorders>
          </w:tcPr>
          <w:p>
            <w:pPr/>
          </w:p>
        </w:tc>
        <w:tc>
          <w:tcPr>
            <w:tcW w:w="1134" w:type="dxa"/>
            <w:vMerge/>
            <w:tcBorders>
              <w:left w:val="single" w:sz="4" w:space="0" w:color="000000"/>
              <w:bottom w:val="single" w:sz="4" w:space="0" w:color="000000"/>
              <w:right w:val="single" w:sz="4" w:space="0" w:color="000000"/>
            </w:tcBorders>
          </w:tcPr>
          <w:p>
            <w:pPr/>
          </w:p>
        </w:tc>
        <w:tc>
          <w:tcPr>
            <w:tcW w:w="3544" w:type="dxa"/>
            <w:vMerge/>
            <w:tcBorders>
              <w:left w:val="single" w:sz="4" w:space="0" w:color="000000"/>
              <w:bottom w:val="single" w:sz="4" w:space="0" w:color="000000"/>
              <w:right w:val="single" w:sz="4" w:space="0" w:color="000000"/>
            </w:tcBorders>
          </w:tcPr>
          <w:p>
            <w:pPr/>
          </w:p>
        </w:tc>
      </w:tr>
      <w:tr>
        <w:trPr>
          <w:trHeight w:val="362" w:hRule="exact"/>
        </w:trPr>
        <w:tc>
          <w:tcPr>
            <w:tcW w:w="1702" w:type="dxa"/>
            <w:vMerge/>
            <w:tcBorders>
              <w:left w:val="single" w:sz="4" w:space="0" w:color="000000"/>
              <w:right w:val="single" w:sz="4" w:space="0" w:color="000000"/>
            </w:tcBorders>
            <w:shd w:val="clear" w:color="auto" w:fill="D2D2D2"/>
          </w:tcPr>
          <w:p>
            <w:pPr/>
          </w:p>
        </w:tc>
        <w:tc>
          <w:tcPr>
            <w:tcW w:w="1277" w:type="dxa"/>
            <w:tcBorders>
              <w:top w:val="single" w:sz="4" w:space="0" w:color="000000"/>
              <w:left w:val="single" w:sz="4" w:space="0" w:color="000000"/>
              <w:bottom w:val="nil" w:sz="6" w:space="0" w:color="auto"/>
              <w:right w:val="single" w:sz="4" w:space="0" w:color="000000"/>
            </w:tcBorders>
          </w:tcPr>
          <w:p>
            <w:pPr/>
          </w:p>
        </w:tc>
        <w:tc>
          <w:tcPr>
            <w:tcW w:w="850" w:type="dxa"/>
            <w:tcBorders>
              <w:top w:val="single" w:sz="4" w:space="0" w:color="000000"/>
              <w:left w:val="single" w:sz="4" w:space="0" w:color="000000"/>
              <w:bottom w:val="nil" w:sz="6" w:space="0" w:color="auto"/>
              <w:right w:val="single" w:sz="4" w:space="0" w:color="000000"/>
            </w:tcBorders>
          </w:tcPr>
          <w:p>
            <w:pPr/>
          </w:p>
        </w:tc>
        <w:tc>
          <w:tcPr>
            <w:tcW w:w="518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本次交易的交易对方承诺：</w:t>
            </w:r>
            <w:r>
              <w:rPr>
                <w:rFonts w:ascii="Times New Roman" w:hAnsi="Times New Roman" w:cs="Times New Roman" w:eastAsia="Times New Roman" w:hint="default"/>
                <w:sz w:val="18"/>
                <w:szCs w:val="18"/>
              </w:rPr>
              <w:t>1</w:t>
            </w:r>
            <w:r>
              <w:rPr>
                <w:rFonts w:ascii="宋体" w:hAnsi="宋体" w:cs="宋体" w:eastAsia="宋体" w:hint="default"/>
                <w:sz w:val="18"/>
                <w:szCs w:val="18"/>
              </w:rPr>
              <w:t>、本人将诚信和善意履行作为新开普</w:t>
            </w:r>
          </w:p>
        </w:tc>
        <w:tc>
          <w:tcPr>
            <w:tcW w:w="1134" w:type="dxa"/>
            <w:tcBorders>
              <w:top w:val="single" w:sz="4" w:space="0" w:color="000000"/>
              <w:left w:val="single" w:sz="4" w:space="0" w:color="000000"/>
              <w:bottom w:val="nil" w:sz="6" w:space="0" w:color="auto"/>
              <w:right w:val="single" w:sz="4" w:space="0" w:color="000000"/>
            </w:tcBorders>
          </w:tcPr>
          <w:p>
            <w:pPr/>
          </w:p>
        </w:tc>
        <w:tc>
          <w:tcPr>
            <w:tcW w:w="1134" w:type="dxa"/>
            <w:tcBorders>
              <w:top w:val="single" w:sz="4" w:space="0" w:color="000000"/>
              <w:left w:val="single" w:sz="4" w:space="0" w:color="000000"/>
              <w:bottom w:val="nil" w:sz="6" w:space="0" w:color="auto"/>
              <w:right w:val="single" w:sz="4" w:space="0" w:color="000000"/>
            </w:tcBorders>
          </w:tcPr>
          <w:p>
            <w:pPr/>
          </w:p>
        </w:tc>
        <w:tc>
          <w:tcPr>
            <w:tcW w:w="3544" w:type="dxa"/>
            <w:tcBorders>
              <w:top w:val="single" w:sz="4" w:space="0" w:color="000000"/>
              <w:left w:val="single" w:sz="4" w:space="0" w:color="000000"/>
              <w:bottom w:val="nil" w:sz="6" w:space="0" w:color="auto"/>
              <w:right w:val="single" w:sz="4" w:space="0" w:color="000000"/>
            </w:tcBorders>
          </w:tcPr>
          <w:p>
            <w:pPr/>
          </w:p>
        </w:tc>
      </w:tr>
      <w:tr>
        <w:trPr>
          <w:trHeight w:val="306" w:hRule="exact"/>
        </w:trPr>
        <w:tc>
          <w:tcPr>
            <w:tcW w:w="1702" w:type="dxa"/>
            <w:vMerge/>
            <w:tcBorders>
              <w:left w:val="single" w:sz="4" w:space="0" w:color="000000"/>
              <w:right w:val="single" w:sz="4" w:space="0" w:color="000000"/>
            </w:tcBorders>
            <w:shd w:val="clear" w:color="auto" w:fill="D2D2D2"/>
          </w:tcPr>
          <w:p>
            <w:pPr/>
          </w:p>
        </w:tc>
        <w:tc>
          <w:tcPr>
            <w:tcW w:w="1277"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股东的义务，尽量避免和减少与新开普（包括其控制的企业，下</w:t>
            </w:r>
          </w:p>
        </w:tc>
        <w:tc>
          <w:tcPr>
            <w:tcW w:w="1134"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c>
          <w:tcPr>
            <w:tcW w:w="354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同）之间的关联交易；对于无法避免或有合理原因而发生的关联</w:t>
            </w:r>
          </w:p>
        </w:tc>
        <w:tc>
          <w:tcPr>
            <w:tcW w:w="1134"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c>
          <w:tcPr>
            <w:tcW w:w="354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交易，本人及本人控制的公司、企业或其他经营实体（包括本人</w:t>
            </w:r>
          </w:p>
        </w:tc>
        <w:tc>
          <w:tcPr>
            <w:tcW w:w="1134"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c>
          <w:tcPr>
            <w:tcW w:w="354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全资、控股公司及本人具有实际控制权的公司、企业或其他经营</w:t>
            </w:r>
          </w:p>
        </w:tc>
        <w:tc>
          <w:tcPr>
            <w:tcW w:w="1134"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c>
          <w:tcPr>
            <w:tcW w:w="3544" w:type="dxa"/>
            <w:tcBorders>
              <w:top w:val="nil" w:sz="6" w:space="0" w:color="auto"/>
              <w:left w:val="single" w:sz="4" w:space="0" w:color="000000"/>
              <w:bottom w:val="nil" w:sz="6" w:space="0" w:color="auto"/>
              <w:right w:val="single" w:sz="4" w:space="0" w:color="000000"/>
            </w:tcBorders>
          </w:tcPr>
          <w:p>
            <w:pPr/>
          </w:p>
        </w:tc>
      </w:tr>
      <w:tr>
        <w:trPr>
          <w:trHeight w:val="302" w:hRule="exact"/>
        </w:trPr>
        <w:tc>
          <w:tcPr>
            <w:tcW w:w="1702" w:type="dxa"/>
            <w:vMerge/>
            <w:tcBorders>
              <w:left w:val="single" w:sz="4" w:space="0" w:color="000000"/>
              <w:right w:val="single" w:sz="4" w:space="0" w:color="000000"/>
            </w:tcBorders>
            <w:shd w:val="clear" w:color="auto" w:fill="D2D2D2"/>
          </w:tcPr>
          <w:p>
            <w:pPr/>
          </w:p>
        </w:tc>
        <w:tc>
          <w:tcPr>
            <w:tcW w:w="1277"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实体，下同）将与新开普按照公平、公允、等价有偿等原则依法</w:t>
            </w:r>
          </w:p>
        </w:tc>
        <w:tc>
          <w:tcPr>
            <w:tcW w:w="1134"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c>
          <w:tcPr>
            <w:tcW w:w="354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left="23" w:right="0"/>
              <w:jc w:val="left"/>
              <w:rPr>
                <w:rFonts w:ascii="宋体" w:hAnsi="宋体" w:cs="宋体" w:eastAsia="宋体" w:hint="default"/>
                <w:sz w:val="18"/>
                <w:szCs w:val="18"/>
              </w:rPr>
            </w:pPr>
            <w:r>
              <w:rPr>
                <w:rFonts w:ascii="宋体" w:hAnsi="宋体" w:cs="宋体" w:eastAsia="宋体" w:hint="default"/>
                <w:sz w:val="18"/>
                <w:szCs w:val="18"/>
              </w:rPr>
              <w:t>公司发行股份</w:t>
            </w:r>
          </w:p>
        </w:tc>
        <w:tc>
          <w:tcPr>
            <w:tcW w:w="850" w:type="dxa"/>
            <w:tcBorders>
              <w:top w:val="nil" w:sz="6" w:space="0" w:color="auto"/>
              <w:left w:val="single" w:sz="4" w:space="0" w:color="000000"/>
              <w:bottom w:val="nil" w:sz="6" w:space="0" w:color="auto"/>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20"/>
              <w:ind w:left="22" w:right="0"/>
              <w:jc w:val="left"/>
              <w:rPr>
                <w:rFonts w:ascii="宋体" w:hAnsi="宋体" w:cs="宋体" w:eastAsia="宋体" w:hint="default"/>
                <w:sz w:val="18"/>
                <w:szCs w:val="18"/>
              </w:rPr>
            </w:pPr>
            <w:r>
              <w:rPr>
                <w:rFonts w:ascii="宋体" w:hAnsi="宋体" w:cs="宋体" w:eastAsia="宋体" w:hint="default"/>
                <w:sz w:val="18"/>
                <w:szCs w:val="18"/>
              </w:rPr>
              <w:t>签订规范的关联交易协议，并按照有关法律、法规、规章、其他</w:t>
            </w:r>
          </w:p>
        </w:tc>
        <w:tc>
          <w:tcPr>
            <w:tcW w:w="1134"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c>
          <w:tcPr>
            <w:tcW w:w="354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left="23" w:right="0"/>
              <w:jc w:val="left"/>
              <w:rPr>
                <w:rFonts w:ascii="宋体" w:hAnsi="宋体" w:cs="宋体" w:eastAsia="宋体" w:hint="default"/>
                <w:sz w:val="18"/>
                <w:szCs w:val="18"/>
              </w:rPr>
            </w:pPr>
            <w:r>
              <w:rPr>
                <w:rFonts w:ascii="宋体" w:hAnsi="宋体" w:cs="宋体" w:eastAsia="宋体" w:hint="default"/>
                <w:sz w:val="18"/>
                <w:szCs w:val="18"/>
              </w:rPr>
              <w:t>及支付现金购</w:t>
            </w:r>
          </w:p>
        </w:tc>
        <w:tc>
          <w:tcPr>
            <w:tcW w:w="850" w:type="dxa"/>
            <w:tcBorders>
              <w:top w:val="nil" w:sz="6" w:space="0" w:color="auto"/>
              <w:left w:val="single" w:sz="4" w:space="0" w:color="000000"/>
              <w:bottom w:val="nil" w:sz="6" w:space="0" w:color="auto"/>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20"/>
              <w:ind w:left="22" w:right="0"/>
              <w:jc w:val="left"/>
              <w:rPr>
                <w:rFonts w:ascii="宋体" w:hAnsi="宋体" w:cs="宋体" w:eastAsia="宋体" w:hint="default"/>
                <w:sz w:val="18"/>
                <w:szCs w:val="18"/>
              </w:rPr>
            </w:pPr>
            <w:r>
              <w:rPr>
                <w:rFonts w:ascii="宋体" w:hAnsi="宋体" w:cs="宋体" w:eastAsia="宋体" w:hint="default"/>
                <w:sz w:val="18"/>
                <w:szCs w:val="18"/>
              </w:rPr>
              <w:t>规范性文件、证券交易所规则和新开普公司章程的规定履行相关</w:t>
            </w:r>
          </w:p>
        </w:tc>
        <w:tc>
          <w:tcPr>
            <w:tcW w:w="1134"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c>
          <w:tcPr>
            <w:tcW w:w="3544" w:type="dxa"/>
            <w:tcBorders>
              <w:top w:val="nil" w:sz="6" w:space="0" w:color="auto"/>
              <w:left w:val="single" w:sz="4" w:space="0" w:color="000000"/>
              <w:bottom w:val="nil" w:sz="6" w:space="0" w:color="auto"/>
              <w:right w:val="single" w:sz="4" w:space="0" w:color="000000"/>
            </w:tcBorders>
          </w:tcPr>
          <w:p>
            <w:pPr/>
          </w:p>
        </w:tc>
      </w:tr>
      <w:tr>
        <w:trPr>
          <w:trHeight w:val="936" w:hRule="exact"/>
        </w:trPr>
        <w:tc>
          <w:tcPr>
            <w:tcW w:w="1702" w:type="dxa"/>
            <w:vMerge/>
            <w:tcBorders>
              <w:left w:val="single" w:sz="4" w:space="0" w:color="000000"/>
              <w:right w:val="single" w:sz="4" w:space="0" w:color="000000"/>
            </w:tcBorders>
            <w:shd w:val="clear" w:color="auto" w:fill="D2D2D2"/>
          </w:tcPr>
          <w:p>
            <w:pP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316" w:lineRule="auto" w:before="1"/>
              <w:ind w:left="23" w:right="21"/>
              <w:jc w:val="left"/>
              <w:rPr>
                <w:rFonts w:ascii="宋体" w:hAnsi="宋体" w:cs="宋体" w:eastAsia="宋体" w:hint="default"/>
                <w:sz w:val="18"/>
                <w:szCs w:val="18"/>
              </w:rPr>
            </w:pPr>
            <w:r>
              <w:rPr>
                <w:rFonts w:ascii="宋体" w:hAnsi="宋体" w:cs="宋体" w:eastAsia="宋体" w:hint="default"/>
                <w:sz w:val="18"/>
                <w:szCs w:val="18"/>
              </w:rPr>
              <w:t>买资产的交易 </w:t>
            </w:r>
            <w:r>
              <w:rPr>
                <w:rFonts w:ascii="宋体" w:hAnsi="宋体" w:cs="宋体" w:eastAsia="宋体" w:hint="default"/>
                <w:spacing w:val="-6"/>
                <w:sz w:val="18"/>
                <w:szCs w:val="18"/>
              </w:rPr>
              <w:t>对方刘永春、丛</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6"/>
                <w:sz w:val="18"/>
                <w:szCs w:val="18"/>
              </w:rPr>
              <w:t>伟滋、李洪、熊</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6"/>
              <w:ind w:left="22" w:right="0"/>
              <w:jc w:val="left"/>
              <w:rPr>
                <w:rFonts w:ascii="宋体" w:hAnsi="宋体" w:cs="宋体" w:eastAsia="宋体" w:hint="default"/>
                <w:sz w:val="18"/>
                <w:szCs w:val="18"/>
              </w:rPr>
            </w:pPr>
            <w:r>
              <w:rPr>
                <w:rFonts w:ascii="宋体" w:hAnsi="宋体" w:cs="宋体" w:eastAsia="宋体" w:hint="default"/>
                <w:sz w:val="18"/>
                <w:szCs w:val="18"/>
              </w:rPr>
              <w:t>其他承诺</w:t>
            </w: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316" w:lineRule="auto" w:before="20"/>
              <w:ind w:left="22" w:right="105"/>
              <w:jc w:val="both"/>
              <w:rPr>
                <w:rFonts w:ascii="宋体" w:hAnsi="宋体" w:cs="宋体" w:eastAsia="宋体" w:hint="default"/>
                <w:sz w:val="18"/>
                <w:szCs w:val="18"/>
              </w:rPr>
            </w:pPr>
            <w:r>
              <w:rPr>
                <w:rFonts w:ascii="宋体" w:hAnsi="宋体" w:cs="宋体" w:eastAsia="宋体" w:hint="default"/>
                <w:sz w:val="18"/>
                <w:szCs w:val="18"/>
              </w:rPr>
              <w:t>审批程序，在公平合理和正常商业交易的情况下进行交易，保证 关联交易价格具有公允性，并保证按照有关法律、法规、规章、 其他规范性文件、证券交易所规则和新开普公司章程的规定履行</w:t>
            </w:r>
          </w:p>
        </w:tc>
        <w:tc>
          <w:tcPr>
            <w:tcW w:w="1134" w:type="dxa"/>
            <w:tcBorders>
              <w:top w:val="nil" w:sz="6" w:space="0" w:color="auto"/>
              <w:left w:val="single" w:sz="4" w:space="0" w:color="000000"/>
              <w:bottom w:val="nil" w:sz="6" w:space="0" w:color="auto"/>
              <w:right w:val="single" w:sz="4" w:space="0" w:color="000000"/>
            </w:tcBorders>
          </w:tcPr>
          <w:p>
            <w:pPr>
              <w:pStyle w:val="TableParagraph"/>
              <w:spacing w:line="240" w:lineRule="auto" w:before="157"/>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4"/>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34"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302" w:lineRule="auto" w:before="63"/>
              <w:ind w:left="22" w:right="95"/>
              <w:jc w:val="left"/>
              <w:rPr>
                <w:rFonts w:ascii="宋体" w:hAnsi="宋体" w:cs="宋体" w:eastAsia="宋体" w:hint="default"/>
                <w:sz w:val="18"/>
                <w:szCs w:val="18"/>
              </w:rPr>
            </w:pP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r>
              <w:rPr>
                <w:rFonts w:ascii="Times New Roman" w:hAnsi="Times New Roman" w:cs="Times New Roman" w:eastAsia="Times New Roman" w:hint="default"/>
                <w:sz w:val="18"/>
                <w:szCs w:val="18"/>
              </w:rPr>
              <w:t>-</w:t>
            </w:r>
            <w:r>
              <w:rPr>
                <w:rFonts w:ascii="宋体" w:hAnsi="宋体" w:cs="宋体" w:eastAsia="宋体" w:hint="default"/>
                <w:sz w:val="18"/>
                <w:szCs w:val="18"/>
              </w:rPr>
              <w:t>长期有 效</w:t>
            </w:r>
          </w:p>
        </w:tc>
        <w:tc>
          <w:tcPr>
            <w:tcW w:w="3544" w:type="dxa"/>
            <w:tcBorders>
              <w:top w:val="nil" w:sz="6" w:space="0" w:color="auto"/>
              <w:left w:val="single" w:sz="4" w:space="0" w:color="000000"/>
              <w:bottom w:val="nil" w:sz="6" w:space="0" w:color="auto"/>
              <w:right w:val="single" w:sz="4" w:space="0" w:color="000000"/>
            </w:tcBorders>
          </w:tcPr>
          <w:p>
            <w:pPr>
              <w:pStyle w:val="TableParagraph"/>
              <w:spacing w:line="319" w:lineRule="auto" w:before="157"/>
              <w:ind w:left="22" w:right="89"/>
              <w:jc w:val="left"/>
              <w:rPr>
                <w:rFonts w:ascii="宋体" w:hAnsi="宋体" w:cs="宋体" w:eastAsia="宋体" w:hint="default"/>
                <w:sz w:val="18"/>
                <w:szCs w:val="18"/>
              </w:rPr>
            </w:pPr>
            <w:r>
              <w:rPr>
                <w:rFonts w:ascii="宋体" w:hAnsi="宋体" w:cs="宋体" w:eastAsia="宋体" w:hint="default"/>
                <w:sz w:val="18"/>
                <w:szCs w:val="18"/>
              </w:rPr>
              <w:t>截至报告期末，上述承诺人严格信守承诺， 未发生违反承诺的情况。</w:t>
            </w:r>
          </w:p>
        </w:tc>
      </w:tr>
      <w:tr>
        <w:trPr>
          <w:trHeight w:val="313" w:hRule="exact"/>
        </w:trPr>
        <w:tc>
          <w:tcPr>
            <w:tcW w:w="1702" w:type="dxa"/>
            <w:vMerge/>
            <w:tcBorders>
              <w:left w:val="single" w:sz="4" w:space="0" w:color="000000"/>
              <w:right w:val="single" w:sz="4" w:space="0" w:color="000000"/>
            </w:tcBorders>
            <w:shd w:val="clear" w:color="auto" w:fill="D2D2D2"/>
          </w:tcPr>
          <w:p>
            <w:pP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left="23" w:right="-17"/>
              <w:jc w:val="left"/>
              <w:rPr>
                <w:rFonts w:ascii="宋体" w:hAnsi="宋体" w:cs="宋体" w:eastAsia="宋体" w:hint="default"/>
                <w:sz w:val="18"/>
                <w:szCs w:val="18"/>
              </w:rPr>
            </w:pPr>
            <w:r>
              <w:rPr>
                <w:rFonts w:ascii="宋体" w:hAnsi="宋体" w:cs="宋体" w:eastAsia="宋体" w:hint="default"/>
                <w:sz w:val="18"/>
                <w:szCs w:val="18"/>
              </w:rPr>
              <w:t>小洪、白海清、</w:t>
            </w:r>
          </w:p>
        </w:tc>
        <w:tc>
          <w:tcPr>
            <w:tcW w:w="850" w:type="dxa"/>
            <w:tcBorders>
              <w:top w:val="nil" w:sz="6" w:space="0" w:color="auto"/>
              <w:left w:val="single" w:sz="4" w:space="0" w:color="000000"/>
              <w:bottom w:val="nil" w:sz="6" w:space="0" w:color="auto"/>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20"/>
              <w:ind w:left="22" w:right="0"/>
              <w:jc w:val="left"/>
              <w:rPr>
                <w:rFonts w:ascii="宋体" w:hAnsi="宋体" w:cs="宋体" w:eastAsia="宋体" w:hint="default"/>
                <w:sz w:val="18"/>
                <w:szCs w:val="18"/>
              </w:rPr>
            </w:pPr>
            <w:r>
              <w:rPr>
                <w:rFonts w:ascii="宋体" w:hAnsi="宋体" w:cs="宋体" w:eastAsia="宋体" w:hint="default"/>
                <w:sz w:val="18"/>
                <w:szCs w:val="18"/>
              </w:rPr>
              <w:t>相关信息披露义务；</w:t>
            </w:r>
          </w:p>
        </w:tc>
        <w:tc>
          <w:tcPr>
            <w:tcW w:w="1134"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c>
          <w:tcPr>
            <w:tcW w:w="3544" w:type="dxa"/>
            <w:tcBorders>
              <w:top w:val="nil" w:sz="6" w:space="0" w:color="auto"/>
              <w:left w:val="single" w:sz="4" w:space="0" w:color="000000"/>
              <w:bottom w:val="nil" w:sz="6" w:space="0" w:color="auto"/>
              <w:right w:val="single" w:sz="4" w:space="0" w:color="000000"/>
            </w:tcBorders>
          </w:tcPr>
          <w:p>
            <w:pPr/>
          </w:p>
        </w:tc>
      </w:tr>
      <w:tr>
        <w:trPr>
          <w:trHeight w:val="321" w:hRule="exact"/>
        </w:trPr>
        <w:tc>
          <w:tcPr>
            <w:tcW w:w="1702" w:type="dxa"/>
            <w:vMerge/>
            <w:tcBorders>
              <w:left w:val="single" w:sz="4" w:space="0" w:color="000000"/>
              <w:right w:val="single" w:sz="4" w:space="0" w:color="000000"/>
            </w:tcBorders>
            <w:shd w:val="clear" w:color="auto" w:fill="D2D2D2"/>
          </w:tcPr>
          <w:p>
            <w:pP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left="23" w:right="0"/>
              <w:jc w:val="left"/>
              <w:rPr>
                <w:rFonts w:ascii="宋体" w:hAnsi="宋体" w:cs="宋体" w:eastAsia="宋体" w:hint="default"/>
                <w:sz w:val="18"/>
                <w:szCs w:val="18"/>
              </w:rPr>
            </w:pPr>
            <w:r>
              <w:rPr>
                <w:rFonts w:ascii="宋体" w:hAnsi="宋体" w:cs="宋体" w:eastAsia="宋体" w:hint="default"/>
                <w:sz w:val="18"/>
                <w:szCs w:val="18"/>
              </w:rPr>
              <w:t>黄暂度</w:t>
            </w:r>
          </w:p>
        </w:tc>
        <w:tc>
          <w:tcPr>
            <w:tcW w:w="850" w:type="dxa"/>
            <w:tcBorders>
              <w:top w:val="nil" w:sz="6" w:space="0" w:color="auto"/>
              <w:left w:val="single" w:sz="4" w:space="0" w:color="000000"/>
              <w:bottom w:val="nil" w:sz="6" w:space="0" w:color="auto"/>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9"/>
              <w:ind w:left="22" w:right="0"/>
              <w:jc w:val="left"/>
              <w:rPr>
                <w:rFonts w:ascii="宋体" w:hAnsi="宋体" w:cs="宋体" w:eastAsia="宋体" w:hint="default"/>
                <w:sz w:val="18"/>
                <w:szCs w:val="18"/>
              </w:rPr>
            </w:pPr>
            <w:r>
              <w:rPr>
                <w:rFonts w:ascii="宋体" w:hAnsi="宋体" w:cs="宋体" w:eastAsia="宋体" w:hint="default"/>
                <w:sz w:val="18"/>
                <w:szCs w:val="18"/>
              </w:rPr>
              <w:t>利润，不利用关联交易损害新开普及非关联股东的利益；保证不</w:t>
            </w:r>
          </w:p>
        </w:tc>
        <w:tc>
          <w:tcPr>
            <w:tcW w:w="1134"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c>
          <w:tcPr>
            <w:tcW w:w="354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利用股东地位谋取不当利益或谋求与新开普达成交易的优先权</w:t>
            </w:r>
          </w:p>
        </w:tc>
        <w:tc>
          <w:tcPr>
            <w:tcW w:w="1134"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c>
          <w:tcPr>
            <w:tcW w:w="3544" w:type="dxa"/>
            <w:tcBorders>
              <w:top w:val="nil" w:sz="6" w:space="0" w:color="auto"/>
              <w:left w:val="single" w:sz="4" w:space="0" w:color="000000"/>
              <w:bottom w:val="nil" w:sz="6" w:space="0" w:color="auto"/>
              <w:right w:val="single" w:sz="4" w:space="0" w:color="000000"/>
            </w:tcBorders>
          </w:tcPr>
          <w:p>
            <w:pPr/>
          </w:p>
        </w:tc>
      </w:tr>
      <w:tr>
        <w:trPr>
          <w:trHeight w:val="317" w:hRule="exact"/>
        </w:trPr>
        <w:tc>
          <w:tcPr>
            <w:tcW w:w="1702" w:type="dxa"/>
            <w:vMerge/>
            <w:tcBorders>
              <w:left w:val="single" w:sz="4" w:space="0" w:color="000000"/>
              <w:right w:val="single" w:sz="4" w:space="0" w:color="000000"/>
            </w:tcBorders>
            <w:shd w:val="clear" w:color="auto" w:fill="D2D2D2"/>
          </w:tcPr>
          <w:p>
            <w:pPr/>
          </w:p>
        </w:tc>
        <w:tc>
          <w:tcPr>
            <w:tcW w:w="1277"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利，不以任何形式损害新开普及其其他股东的合法权益。</w:t>
            </w:r>
            <w:r>
              <w:rPr>
                <w:rFonts w:ascii="Times New Roman" w:hAnsi="Times New Roman" w:cs="Times New Roman" w:eastAsia="Times New Roman" w:hint="default"/>
                <w:sz w:val="18"/>
                <w:szCs w:val="18"/>
              </w:rPr>
              <w:t>2</w:t>
            </w:r>
            <w:r>
              <w:rPr>
                <w:rFonts w:ascii="宋体" w:hAnsi="宋体" w:cs="宋体" w:eastAsia="宋体" w:hint="default"/>
                <w:sz w:val="18"/>
                <w:szCs w:val="18"/>
              </w:rPr>
              <w:t>、本人</w:t>
            </w:r>
          </w:p>
        </w:tc>
        <w:tc>
          <w:tcPr>
            <w:tcW w:w="1134"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c>
          <w:tcPr>
            <w:tcW w:w="3544"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1702" w:type="dxa"/>
            <w:vMerge/>
            <w:tcBorders>
              <w:left w:val="single" w:sz="4" w:space="0" w:color="000000"/>
              <w:right w:val="single" w:sz="4" w:space="0" w:color="000000"/>
            </w:tcBorders>
            <w:shd w:val="clear" w:color="auto" w:fill="D2D2D2"/>
          </w:tcPr>
          <w:p>
            <w:pPr/>
          </w:p>
        </w:tc>
        <w:tc>
          <w:tcPr>
            <w:tcW w:w="1277"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承诺在新开普的股东大会对涉及本人及本人控制的公司、企业或</w:t>
            </w:r>
          </w:p>
        </w:tc>
        <w:tc>
          <w:tcPr>
            <w:tcW w:w="1134"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c>
          <w:tcPr>
            <w:tcW w:w="354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其他经营实体的有关关联交易事项进行表决时，履行回避表决的</w:t>
            </w:r>
          </w:p>
        </w:tc>
        <w:tc>
          <w:tcPr>
            <w:tcW w:w="1134"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c>
          <w:tcPr>
            <w:tcW w:w="3544" w:type="dxa"/>
            <w:tcBorders>
              <w:top w:val="nil" w:sz="6" w:space="0" w:color="auto"/>
              <w:left w:val="single" w:sz="4" w:space="0" w:color="000000"/>
              <w:bottom w:val="nil" w:sz="6" w:space="0" w:color="auto"/>
              <w:right w:val="single" w:sz="4" w:space="0" w:color="000000"/>
            </w:tcBorders>
          </w:tcPr>
          <w:p>
            <w:pPr/>
          </w:p>
        </w:tc>
      </w:tr>
      <w:tr>
        <w:trPr>
          <w:trHeight w:val="317" w:hRule="exact"/>
        </w:trPr>
        <w:tc>
          <w:tcPr>
            <w:tcW w:w="1702" w:type="dxa"/>
            <w:vMerge/>
            <w:tcBorders>
              <w:left w:val="single" w:sz="4" w:space="0" w:color="000000"/>
              <w:right w:val="single" w:sz="4" w:space="0" w:color="000000"/>
            </w:tcBorders>
            <w:shd w:val="clear" w:color="auto" w:fill="D2D2D2"/>
          </w:tcPr>
          <w:p>
            <w:pPr/>
          </w:p>
        </w:tc>
        <w:tc>
          <w:tcPr>
            <w:tcW w:w="1277"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义务。</w:t>
            </w:r>
            <w:r>
              <w:rPr>
                <w:rFonts w:ascii="Times New Roman" w:hAnsi="Times New Roman" w:cs="Times New Roman" w:eastAsia="Times New Roman" w:hint="default"/>
                <w:sz w:val="18"/>
                <w:szCs w:val="18"/>
              </w:rPr>
              <w:t>3</w:t>
            </w:r>
            <w:r>
              <w:rPr>
                <w:rFonts w:ascii="宋体" w:hAnsi="宋体" w:cs="宋体" w:eastAsia="宋体" w:hint="default"/>
                <w:sz w:val="18"/>
                <w:szCs w:val="18"/>
              </w:rPr>
              <w:t>、本人承诺将不会要求和接受新开普给予的与其在任何一</w:t>
            </w:r>
          </w:p>
        </w:tc>
        <w:tc>
          <w:tcPr>
            <w:tcW w:w="1134"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c>
          <w:tcPr>
            <w:tcW w:w="3544" w:type="dxa"/>
            <w:tcBorders>
              <w:top w:val="nil" w:sz="6" w:space="0" w:color="auto"/>
              <w:left w:val="single" w:sz="4" w:space="0" w:color="000000"/>
              <w:bottom w:val="nil" w:sz="6" w:space="0" w:color="auto"/>
              <w:right w:val="single" w:sz="4" w:space="0" w:color="000000"/>
            </w:tcBorders>
          </w:tcPr>
          <w:p>
            <w:pPr/>
          </w:p>
        </w:tc>
      </w:tr>
      <w:tr>
        <w:trPr>
          <w:trHeight w:val="313" w:hRule="exact"/>
        </w:trPr>
        <w:tc>
          <w:tcPr>
            <w:tcW w:w="1702" w:type="dxa"/>
            <w:vMerge/>
            <w:tcBorders>
              <w:left w:val="single" w:sz="4" w:space="0" w:color="000000"/>
              <w:bottom w:val="single" w:sz="4" w:space="0" w:color="000000"/>
              <w:right w:val="single" w:sz="4" w:space="0" w:color="000000"/>
            </w:tcBorders>
            <w:shd w:val="clear" w:color="auto" w:fill="D2D2D2"/>
          </w:tcPr>
          <w:p>
            <w:pPr/>
          </w:p>
        </w:tc>
        <w:tc>
          <w:tcPr>
            <w:tcW w:w="1277" w:type="dxa"/>
            <w:tcBorders>
              <w:top w:val="nil" w:sz="6" w:space="0" w:color="auto"/>
              <w:left w:val="single" w:sz="4" w:space="0" w:color="000000"/>
              <w:bottom w:val="single" w:sz="4" w:space="0" w:color="000000"/>
              <w:right w:val="single" w:sz="4" w:space="0" w:color="000000"/>
            </w:tcBorders>
          </w:tcPr>
          <w:p>
            <w:pPr/>
          </w:p>
        </w:tc>
        <w:tc>
          <w:tcPr>
            <w:tcW w:w="850" w:type="dxa"/>
            <w:tcBorders>
              <w:top w:val="nil" w:sz="6" w:space="0" w:color="auto"/>
              <w:left w:val="single" w:sz="4" w:space="0" w:color="000000"/>
              <w:bottom w:val="single" w:sz="4" w:space="0" w:color="000000"/>
              <w:right w:val="single" w:sz="4" w:space="0" w:color="000000"/>
            </w:tcBorders>
          </w:tcPr>
          <w:p>
            <w:pPr/>
          </w:p>
        </w:tc>
        <w:tc>
          <w:tcPr>
            <w:tcW w:w="518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项市场公平交易中给予独立第三方的条件相比更为优惠的条件。</w:t>
            </w:r>
          </w:p>
        </w:tc>
        <w:tc>
          <w:tcPr>
            <w:tcW w:w="1134" w:type="dxa"/>
            <w:tcBorders>
              <w:top w:val="nil" w:sz="6" w:space="0" w:color="auto"/>
              <w:left w:val="single" w:sz="4" w:space="0" w:color="000000"/>
              <w:bottom w:val="single" w:sz="4" w:space="0" w:color="000000"/>
              <w:right w:val="single" w:sz="4" w:space="0" w:color="000000"/>
            </w:tcBorders>
          </w:tcPr>
          <w:p>
            <w:pPr/>
          </w:p>
        </w:tc>
        <w:tc>
          <w:tcPr>
            <w:tcW w:w="1134" w:type="dxa"/>
            <w:tcBorders>
              <w:top w:val="nil" w:sz="6" w:space="0" w:color="auto"/>
              <w:left w:val="single" w:sz="4" w:space="0" w:color="000000"/>
              <w:bottom w:val="single" w:sz="4" w:space="0" w:color="000000"/>
              <w:right w:val="single" w:sz="4" w:space="0" w:color="000000"/>
            </w:tcBorders>
          </w:tcPr>
          <w:p>
            <w:pPr/>
          </w:p>
        </w:tc>
        <w:tc>
          <w:tcPr>
            <w:tcW w:w="3544" w:type="dxa"/>
            <w:tcBorders>
              <w:top w:val="nil" w:sz="6" w:space="0" w:color="auto"/>
              <w:left w:val="single" w:sz="4" w:space="0" w:color="000000"/>
              <w:bottom w:val="single" w:sz="4" w:space="0" w:color="000000"/>
              <w:right w:val="single" w:sz="4" w:space="0" w:color="000000"/>
            </w:tcBorders>
          </w:tcPr>
          <w:p>
            <w:pPr/>
          </w:p>
        </w:tc>
      </w:tr>
    </w:tbl>
    <w:p>
      <w:pPr>
        <w:spacing w:after="0"/>
        <w:sectPr>
          <w:pgSz w:w="16840" w:h="11910" w:orient="landscape"/>
          <w:pgMar w:header="867" w:footer="979" w:top="1060" w:bottom="1160" w:left="900" w:right="880"/>
        </w:sectPr>
      </w:pPr>
    </w:p>
    <w:p>
      <w:pPr>
        <w:spacing w:line="240" w:lineRule="auto" w:before="7"/>
        <w:rPr>
          <w:rFonts w:ascii="Times New Roman" w:hAnsi="Times New Roman" w:cs="Times New Roman" w:eastAsia="Times New Roman" w:hint="default"/>
          <w:sz w:val="6"/>
          <w:szCs w:val="6"/>
        </w:rPr>
      </w:pPr>
      <w:r>
        <w:rPr/>
        <w:pict>
          <v:shape style="position:absolute;margin-left:50.459999pt;margin-top:55.260006pt;width:741.75pt;height:475.05pt;mso-position-horizontal-relative:page;mso-position-vertical-relative:page;z-index:184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702"/>
                    <w:gridCol w:w="1277"/>
                    <w:gridCol w:w="850"/>
                    <w:gridCol w:w="5180"/>
                    <w:gridCol w:w="1134"/>
                    <w:gridCol w:w="1134"/>
                    <w:gridCol w:w="3544"/>
                  </w:tblGrid>
                  <w:tr>
                    <w:trPr>
                      <w:trHeight w:val="336" w:hRule="exact"/>
                    </w:trPr>
                    <w:tc>
                      <w:tcPr>
                        <w:tcW w:w="1702" w:type="dxa"/>
                        <w:vMerge w:val="restart"/>
                        <w:tcBorders>
                          <w:top w:val="single" w:sz="15" w:space="0" w:color="000000"/>
                          <w:left w:val="single" w:sz="4" w:space="0" w:color="000000"/>
                          <w:right w:val="single" w:sz="4" w:space="0" w:color="000000"/>
                        </w:tcBorders>
                        <w:shd w:val="clear" w:color="auto" w:fill="D2D2D2"/>
                      </w:tcPr>
                      <w:p>
                        <w:pPr/>
                      </w:p>
                    </w:tc>
                    <w:tc>
                      <w:tcPr>
                        <w:tcW w:w="1277" w:type="dxa"/>
                        <w:vMerge w:val="restart"/>
                        <w:tcBorders>
                          <w:top w:val="single" w:sz="15" w:space="0" w:color="000000"/>
                          <w:left w:val="single" w:sz="4" w:space="0" w:color="000000"/>
                          <w:right w:val="single" w:sz="4" w:space="0" w:color="000000"/>
                        </w:tcBorders>
                      </w:tcPr>
                      <w:p>
                        <w:pPr/>
                      </w:p>
                    </w:tc>
                    <w:tc>
                      <w:tcPr>
                        <w:tcW w:w="850" w:type="dxa"/>
                        <w:vMerge w:val="restart"/>
                        <w:tcBorders>
                          <w:top w:val="single" w:sz="15" w:space="0" w:color="000000"/>
                          <w:left w:val="single" w:sz="4" w:space="0" w:color="000000"/>
                          <w:right w:val="single" w:sz="4" w:space="0" w:color="000000"/>
                        </w:tcBorders>
                      </w:tcPr>
                      <w:p>
                        <w:pPr/>
                      </w:p>
                    </w:tc>
                    <w:tc>
                      <w:tcPr>
                        <w:tcW w:w="5180" w:type="dxa"/>
                        <w:tcBorders>
                          <w:top w:val="single" w:sz="15" w:space="0" w:color="000000"/>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、杜绝本人及本人控制的公司、企业或其他经营实体以借款、代</w:t>
                        </w:r>
                      </w:p>
                    </w:tc>
                    <w:tc>
                      <w:tcPr>
                        <w:tcW w:w="1134" w:type="dxa"/>
                        <w:vMerge w:val="restart"/>
                        <w:tcBorders>
                          <w:top w:val="single" w:sz="15"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tc>
                    <w:tc>
                      <w:tcPr>
                        <w:tcW w:w="1134" w:type="dxa"/>
                        <w:vMerge w:val="restart"/>
                        <w:tcBorders>
                          <w:top w:val="single" w:sz="15" w:space="0" w:color="000000"/>
                          <w:left w:val="single" w:sz="4" w:space="0" w:color="000000"/>
                          <w:right w:val="single" w:sz="4" w:space="0" w:color="000000"/>
                        </w:tcBorders>
                      </w:tcPr>
                      <w:p>
                        <w:pPr/>
                      </w:p>
                    </w:tc>
                    <w:tc>
                      <w:tcPr>
                        <w:tcW w:w="3544" w:type="dxa"/>
                        <w:vMerge w:val="restart"/>
                        <w:tcBorders>
                          <w:top w:val="single" w:sz="15" w:space="0" w:color="000000"/>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Times New Roman" w:hAnsi="Times New Roman" w:cs="Times New Roman" w:eastAsia="Times New Roman" w:hint="default"/>
                            <w:sz w:val="18"/>
                            <w:szCs w:val="18"/>
                          </w:rPr>
                        </w:pPr>
                        <w:r>
                          <w:rPr>
                            <w:rFonts w:ascii="宋体" w:hAnsi="宋体" w:cs="宋体" w:eastAsia="宋体" w:hint="default"/>
                            <w:spacing w:val="-5"/>
                            <w:sz w:val="18"/>
                            <w:szCs w:val="18"/>
                          </w:rPr>
                          <w:t>偿债务、代垫款项或其他方式占用新开普的资金、资产的行为。</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5</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0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任何情况下，不要求新开普向本人及本人的其他关联方提供任何</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形式的担保。</w:t>
                        </w:r>
                        <w:r>
                          <w:rPr>
                            <w:rFonts w:ascii="Times New Roman" w:hAnsi="Times New Roman" w:cs="Times New Roman" w:eastAsia="Times New Roman" w:hint="default"/>
                            <w:sz w:val="18"/>
                            <w:szCs w:val="18"/>
                          </w:rPr>
                          <w:t>6</w:t>
                        </w:r>
                        <w:r>
                          <w:rPr>
                            <w:rFonts w:ascii="宋体" w:hAnsi="宋体" w:cs="宋体" w:eastAsia="宋体" w:hint="default"/>
                            <w:sz w:val="18"/>
                            <w:szCs w:val="18"/>
                          </w:rPr>
                          <w:t>、本人保证将依照新开普公司章程的规定参加股东</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0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大会，平等地行使股东权利并承担股东义务，</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不损害新开普及其他股东的合法权益。</w:t>
                        </w:r>
                        <w:r>
                          <w:rPr>
                            <w:rFonts w:ascii="Times New Roman" w:hAnsi="Times New Roman" w:cs="Times New Roman" w:eastAsia="Times New Roman" w:hint="default"/>
                            <w:sz w:val="18"/>
                            <w:szCs w:val="18"/>
                          </w:rPr>
                          <w:t>7</w:t>
                        </w:r>
                        <w:r>
                          <w:rPr>
                            <w:rFonts w:ascii="宋体" w:hAnsi="宋体" w:cs="宋体" w:eastAsia="宋体" w:hint="default"/>
                            <w:sz w:val="18"/>
                            <w:szCs w:val="18"/>
                          </w:rPr>
                          <w:t>、本人确认本承诺函所载</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0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的每一项承诺均为可独立执行之承诺，任何一项承诺若被视为无</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效或终止将不影响其他各项承诺的有效性。以上承诺与保证自中</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国证券监督管理委员会核准新开普本次非公开发行股份及支付现</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金购买资产之日起正式生效，并将在本人持有新开普股票期间长</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期有效。如因本人或本人控制的公司、企业或其他经营实体违反</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3"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上述承诺与保证而导致新开普及其他股东的权益受到损害的，则</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5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bottom w:val="single" w:sz="4" w:space="0" w:color="000000"/>
                          <w:right w:val="single" w:sz="4" w:space="0" w:color="000000"/>
                        </w:tcBorders>
                      </w:tcPr>
                      <w:p>
                        <w:pPr/>
                      </w:p>
                    </w:tc>
                    <w:tc>
                      <w:tcPr>
                        <w:tcW w:w="850" w:type="dxa"/>
                        <w:vMerge/>
                        <w:tcBorders>
                          <w:left w:val="single" w:sz="4" w:space="0" w:color="000000"/>
                          <w:bottom w:val="single" w:sz="4" w:space="0" w:color="000000"/>
                          <w:right w:val="single" w:sz="4" w:space="0" w:color="000000"/>
                        </w:tcBorders>
                      </w:tcPr>
                      <w:p>
                        <w:pPr/>
                      </w:p>
                    </w:tc>
                    <w:tc>
                      <w:tcPr>
                        <w:tcW w:w="518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本人同意承担因此给新开普造成的一切损失。</w:t>
                        </w:r>
                      </w:p>
                    </w:tc>
                    <w:tc>
                      <w:tcPr>
                        <w:tcW w:w="1134" w:type="dxa"/>
                        <w:vMerge/>
                        <w:tcBorders>
                          <w:left w:val="single" w:sz="4" w:space="0" w:color="000000"/>
                          <w:bottom w:val="single" w:sz="4" w:space="0" w:color="000000"/>
                          <w:right w:val="single" w:sz="4" w:space="0" w:color="000000"/>
                        </w:tcBorders>
                      </w:tcPr>
                      <w:p>
                        <w:pPr/>
                      </w:p>
                    </w:tc>
                    <w:tc>
                      <w:tcPr>
                        <w:tcW w:w="1134" w:type="dxa"/>
                        <w:vMerge/>
                        <w:tcBorders>
                          <w:left w:val="single" w:sz="4" w:space="0" w:color="000000"/>
                          <w:bottom w:val="single" w:sz="4" w:space="0" w:color="000000"/>
                          <w:right w:val="single" w:sz="4" w:space="0" w:color="000000"/>
                        </w:tcBorders>
                      </w:tcPr>
                      <w:p>
                        <w:pPr/>
                      </w:p>
                    </w:tc>
                    <w:tc>
                      <w:tcPr>
                        <w:tcW w:w="3544" w:type="dxa"/>
                        <w:vMerge/>
                        <w:tcBorders>
                          <w:left w:val="single" w:sz="4" w:space="0" w:color="000000"/>
                          <w:bottom w:val="single" w:sz="4" w:space="0" w:color="000000"/>
                          <w:right w:val="single" w:sz="4" w:space="0" w:color="000000"/>
                        </w:tcBorders>
                      </w:tcPr>
                      <w:p>
                        <w:pPr/>
                      </w:p>
                    </w:tc>
                  </w:tr>
                  <w:tr>
                    <w:trPr>
                      <w:trHeight w:val="362" w:hRule="exact"/>
                    </w:trPr>
                    <w:tc>
                      <w:tcPr>
                        <w:tcW w:w="1702" w:type="dxa"/>
                        <w:vMerge/>
                        <w:tcBorders>
                          <w:left w:val="single" w:sz="4" w:space="0" w:color="000000"/>
                          <w:right w:val="single" w:sz="4" w:space="0" w:color="000000"/>
                        </w:tcBorders>
                        <w:shd w:val="clear" w:color="auto" w:fill="D2D2D2"/>
                      </w:tcPr>
                      <w:p>
                        <w:pPr/>
                      </w:p>
                    </w:tc>
                    <w:tc>
                      <w:tcPr>
                        <w:tcW w:w="1277" w:type="dxa"/>
                        <w:tcBorders>
                          <w:top w:val="single" w:sz="4" w:space="0" w:color="000000"/>
                          <w:left w:val="single" w:sz="4" w:space="0" w:color="000000"/>
                          <w:bottom w:val="nil" w:sz="6" w:space="0" w:color="auto"/>
                          <w:right w:val="single" w:sz="4" w:space="0" w:color="000000"/>
                        </w:tcBorders>
                      </w:tcPr>
                      <w:p>
                        <w:pPr/>
                      </w:p>
                    </w:tc>
                    <w:tc>
                      <w:tcPr>
                        <w:tcW w:w="850" w:type="dxa"/>
                        <w:tcBorders>
                          <w:top w:val="single" w:sz="4" w:space="0" w:color="000000"/>
                          <w:left w:val="single" w:sz="4" w:space="0" w:color="000000"/>
                          <w:bottom w:val="nil" w:sz="6" w:space="0" w:color="auto"/>
                          <w:right w:val="single" w:sz="4" w:space="0" w:color="000000"/>
                        </w:tcBorders>
                      </w:tcPr>
                      <w:p>
                        <w:pPr/>
                      </w:p>
                    </w:tc>
                    <w:tc>
                      <w:tcPr>
                        <w:tcW w:w="5180" w:type="dxa"/>
                        <w:tcBorders>
                          <w:top w:val="single" w:sz="4" w:space="0" w:color="000000"/>
                          <w:left w:val="single" w:sz="4" w:space="0" w:color="000000"/>
                          <w:bottom w:val="nil" w:sz="6" w:space="0" w:color="auto"/>
                          <w:right w:val="single" w:sz="4" w:space="0" w:color="000000"/>
                        </w:tcBorders>
                      </w:tcPr>
                      <w:p>
                        <w:pPr/>
                      </w:p>
                    </w:tc>
                    <w:tc>
                      <w:tcPr>
                        <w:tcW w:w="1134" w:type="dxa"/>
                        <w:tcBorders>
                          <w:top w:val="single" w:sz="4" w:space="0" w:color="000000"/>
                          <w:left w:val="single" w:sz="4" w:space="0" w:color="000000"/>
                          <w:bottom w:val="nil" w:sz="6" w:space="0" w:color="auto"/>
                          <w:right w:val="single" w:sz="4" w:space="0" w:color="000000"/>
                        </w:tcBorders>
                      </w:tcPr>
                      <w:p>
                        <w:pPr/>
                      </w:p>
                    </w:tc>
                    <w:tc>
                      <w:tcPr>
                        <w:tcW w:w="1134" w:type="dxa"/>
                        <w:tcBorders>
                          <w:top w:val="single" w:sz="4" w:space="0" w:color="000000"/>
                          <w:left w:val="single" w:sz="4" w:space="0" w:color="000000"/>
                          <w:bottom w:val="nil" w:sz="6" w:space="0" w:color="auto"/>
                          <w:right w:val="single" w:sz="4" w:space="0" w:color="000000"/>
                        </w:tcBorders>
                      </w:tcPr>
                      <w:p>
                        <w:pPr/>
                      </w:p>
                    </w:tc>
                    <w:tc>
                      <w:tcPr>
                        <w:tcW w:w="354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鉴于公司</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年发行股份及支付现金购买资</w:t>
                        </w:r>
                      </w:p>
                    </w:tc>
                  </w:tr>
                  <w:tr>
                    <w:trPr>
                      <w:trHeight w:val="306" w:hRule="exact"/>
                    </w:trPr>
                    <w:tc>
                      <w:tcPr>
                        <w:tcW w:w="1702" w:type="dxa"/>
                        <w:vMerge/>
                        <w:tcBorders>
                          <w:left w:val="single" w:sz="4" w:space="0" w:color="000000"/>
                          <w:right w:val="single" w:sz="4" w:space="0" w:color="000000"/>
                        </w:tcBorders>
                        <w:shd w:val="clear" w:color="auto" w:fill="D2D2D2"/>
                      </w:tcPr>
                      <w:p>
                        <w:pPr/>
                      </w:p>
                    </w:tc>
                    <w:tc>
                      <w:tcPr>
                        <w:tcW w:w="1277"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c>
                      <w:tcPr>
                        <w:tcW w:w="3544"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产并募集配套资金及关联交易已经实施完</w:t>
                        </w:r>
                      </w:p>
                    </w:tc>
                  </w:tr>
                  <w:tr>
                    <w:trPr>
                      <w:trHeight w:val="317" w:hRule="exact"/>
                    </w:trPr>
                    <w:tc>
                      <w:tcPr>
                        <w:tcW w:w="1702" w:type="dxa"/>
                        <w:vMerge/>
                        <w:tcBorders>
                          <w:left w:val="single" w:sz="4" w:space="0" w:color="000000"/>
                          <w:right w:val="single" w:sz="4" w:space="0" w:color="000000"/>
                        </w:tcBorders>
                        <w:shd w:val="clear" w:color="auto" w:fill="D2D2D2"/>
                      </w:tcPr>
                      <w:p>
                        <w:pPr/>
                      </w:p>
                    </w:tc>
                    <w:tc>
                      <w:tcPr>
                        <w:tcW w:w="1277"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c>
                      <w:tcPr>
                        <w:tcW w:w="354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毕，原承诺内容</w:t>
                        </w:r>
                        <w:r>
                          <w:rPr>
                            <w:rFonts w:ascii="Times New Roman" w:hAnsi="Times New Roman" w:cs="Times New Roman" w:eastAsia="Times New Roman" w:hint="default"/>
                            <w:sz w:val="18"/>
                            <w:szCs w:val="18"/>
                          </w:rPr>
                          <w:t>"1</w:t>
                        </w:r>
                        <w:r>
                          <w:rPr>
                            <w:rFonts w:ascii="宋体" w:hAnsi="宋体" w:cs="宋体" w:eastAsia="宋体" w:hint="default"/>
                            <w:sz w:val="18"/>
                            <w:szCs w:val="18"/>
                          </w:rPr>
                          <w:t>、本合伙企业为依法设立</w:t>
                        </w:r>
                      </w:p>
                    </w:tc>
                  </w:tr>
                  <w:tr>
                    <w:trPr>
                      <w:trHeight w:val="307" w:hRule="exact"/>
                    </w:trPr>
                    <w:tc>
                      <w:tcPr>
                        <w:tcW w:w="1702" w:type="dxa"/>
                        <w:vMerge/>
                        <w:tcBorders>
                          <w:left w:val="single" w:sz="4" w:space="0" w:color="000000"/>
                          <w:right w:val="single" w:sz="4" w:space="0" w:color="000000"/>
                        </w:tcBorders>
                        <w:shd w:val="clear" w:color="auto" w:fill="D2D2D2"/>
                      </w:tcPr>
                      <w:p>
                        <w:pPr/>
                      </w:p>
                    </w:tc>
                    <w:tc>
                      <w:tcPr>
                        <w:tcW w:w="1277"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c>
                      <w:tcPr>
                        <w:tcW w:w="3544"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并有效存续的有限合伙企业，本合伙企业具</w:t>
                        </w: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c>
                      <w:tcPr>
                        <w:tcW w:w="354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有独立的主体资格、独立对外承担法律责任</w:t>
                        </w:r>
                      </w:p>
                    </w:tc>
                  </w:tr>
                  <w:tr>
                    <w:trPr>
                      <w:trHeight w:val="302" w:hRule="exact"/>
                    </w:trPr>
                    <w:tc>
                      <w:tcPr>
                        <w:tcW w:w="1702" w:type="dxa"/>
                        <w:vMerge/>
                        <w:tcBorders>
                          <w:left w:val="single" w:sz="4" w:space="0" w:color="000000"/>
                          <w:right w:val="single" w:sz="4" w:space="0" w:color="000000"/>
                        </w:tcBorders>
                        <w:shd w:val="clear" w:color="auto" w:fill="D2D2D2"/>
                      </w:tcPr>
                      <w:p>
                        <w:pPr/>
                      </w:p>
                    </w:tc>
                    <w:tc>
                      <w:tcPr>
                        <w:tcW w:w="1277"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c>
                      <w:tcPr>
                        <w:tcW w:w="354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截至本承诺函出具日，本合伙企业不存在根</w:t>
                        </w:r>
                      </w:p>
                    </w:tc>
                  </w:tr>
                  <w:tr>
                    <w:trPr>
                      <w:trHeight w:val="1570" w:hRule="exact"/>
                    </w:trPr>
                    <w:tc>
                      <w:tcPr>
                        <w:tcW w:w="1702" w:type="dxa"/>
                        <w:vMerge/>
                        <w:tcBorders>
                          <w:left w:val="single" w:sz="4" w:space="0" w:color="000000"/>
                          <w:right w:val="single" w:sz="4" w:space="0" w:color="000000"/>
                        </w:tcBorders>
                        <w:shd w:val="clear" w:color="auto" w:fill="D2D2D2"/>
                      </w:tcPr>
                      <w:p>
                        <w:pP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319" w:lineRule="auto" w:before="1"/>
                          <w:ind w:left="23" w:right="21"/>
                          <w:jc w:val="left"/>
                          <w:rPr>
                            <w:rFonts w:ascii="宋体" w:hAnsi="宋体" w:cs="宋体" w:eastAsia="宋体" w:hint="default"/>
                            <w:sz w:val="18"/>
                            <w:szCs w:val="18"/>
                          </w:rPr>
                        </w:pPr>
                        <w:r>
                          <w:rPr>
                            <w:rFonts w:ascii="宋体" w:hAnsi="宋体" w:cs="宋体" w:eastAsia="宋体" w:hint="default"/>
                            <w:sz w:val="18"/>
                            <w:szCs w:val="18"/>
                          </w:rPr>
                          <w:t>公司配套融资 的认购对象郑 州佳辰企业管 </w:t>
                        </w:r>
                        <w:r>
                          <w:rPr>
                            <w:rFonts w:ascii="宋体" w:hAnsi="宋体" w:cs="宋体" w:eastAsia="宋体" w:hint="default"/>
                            <w:spacing w:val="-6"/>
                            <w:sz w:val="18"/>
                            <w:szCs w:val="18"/>
                          </w:rPr>
                          <w:t>理咨询中心（有</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限合伙）</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3"/>
                          <w:ind w:left="22" w:right="0"/>
                          <w:jc w:val="left"/>
                          <w:rPr>
                            <w:rFonts w:ascii="宋体" w:hAnsi="宋体" w:cs="宋体" w:eastAsia="宋体" w:hint="default"/>
                            <w:sz w:val="18"/>
                            <w:szCs w:val="18"/>
                          </w:rPr>
                        </w:pPr>
                        <w:r>
                          <w:rPr>
                            <w:rFonts w:ascii="宋体" w:hAnsi="宋体" w:cs="宋体" w:eastAsia="宋体" w:hint="default"/>
                            <w:sz w:val="18"/>
                            <w:szCs w:val="18"/>
                          </w:rPr>
                          <w:t>其他承诺</w:t>
                        </w: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312" w:lineRule="auto" w:before="157"/>
                          <w:ind w:left="22" w:right="22"/>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1</w:t>
                        </w:r>
                        <w:r>
                          <w:rPr>
                            <w:rFonts w:ascii="宋体" w:hAnsi="宋体" w:cs="宋体" w:eastAsia="宋体" w:hint="default"/>
                            <w:spacing w:val="-2"/>
                            <w:sz w:val="18"/>
                            <w:szCs w:val="18"/>
                          </w:rPr>
                          <w:t>、本合伙企业财产份额</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各合伙人的出资不存在被质押、冻结、司</w:t>
                        </w:r>
                        <w:r>
                          <w:rPr>
                            <w:rFonts w:ascii="宋体" w:hAnsi="宋体" w:cs="宋体" w:eastAsia="宋体" w:hint="default"/>
                            <w:sz w:val="18"/>
                            <w:szCs w:val="18"/>
                          </w:rPr>
                          <w:t> 法查封或拍卖、托管、设定委托、信托、第三方权利、被依法限 制表决权的情形，不存在利益输送或其他权益安排，本合伙企业 财产份额</w:t>
                        </w:r>
                        <w:r>
                          <w:rPr>
                            <w:rFonts w:ascii="Times New Roman" w:hAnsi="Times New Roman" w:cs="Times New Roman" w:eastAsia="Times New Roman" w:hint="default"/>
                            <w:sz w:val="18"/>
                            <w:szCs w:val="18"/>
                          </w:rPr>
                          <w:t>/</w:t>
                        </w:r>
                        <w:r>
                          <w:rPr>
                            <w:rFonts w:ascii="宋体" w:hAnsi="宋体" w:cs="宋体" w:eastAsia="宋体" w:hint="default"/>
                            <w:sz w:val="18"/>
                            <w:szCs w:val="18"/>
                          </w:rPr>
                          <w:t>各合伙人的出资不存在纠纷或潜在纠纷；</w:t>
                        </w:r>
                      </w:p>
                    </w:tc>
                    <w:tc>
                      <w:tcPr>
                        <w:tcW w:w="113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4"/>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34"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23"/>
                            <w:szCs w:val="23"/>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302" w:lineRule="auto" w:before="63"/>
                          <w:ind w:left="22" w:right="95"/>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r>
                          <w:rPr>
                            <w:rFonts w:ascii="Times New Roman" w:hAnsi="Times New Roman" w:cs="Times New Roman" w:eastAsia="Times New Roman" w:hint="default"/>
                            <w:sz w:val="18"/>
                            <w:szCs w:val="18"/>
                          </w:rPr>
                          <w:t>-</w:t>
                        </w:r>
                        <w:r>
                          <w:rPr>
                            <w:rFonts w:ascii="宋体" w:hAnsi="宋体" w:cs="宋体" w:eastAsia="宋体" w:hint="default"/>
                            <w:sz w:val="18"/>
                            <w:szCs w:val="18"/>
                          </w:rPr>
                          <w:t>长期有 效</w:t>
                        </w:r>
                      </w:p>
                    </w:tc>
                    <w:tc>
                      <w:tcPr>
                        <w:tcW w:w="3544" w:type="dxa"/>
                        <w:tcBorders>
                          <w:top w:val="nil" w:sz="6" w:space="0" w:color="auto"/>
                          <w:left w:val="single" w:sz="4" w:space="0" w:color="000000"/>
                          <w:bottom w:val="nil" w:sz="6" w:space="0" w:color="auto"/>
                          <w:right w:val="single" w:sz="4" w:space="0" w:color="000000"/>
                        </w:tcBorders>
                      </w:tcPr>
                      <w:p>
                        <w:pPr>
                          <w:pStyle w:val="TableParagraph"/>
                          <w:spacing w:line="314" w:lineRule="auto" w:before="20"/>
                          <w:ind w:left="22" w:right="20"/>
                          <w:jc w:val="left"/>
                          <w:rPr>
                            <w:rFonts w:ascii="宋体" w:hAnsi="宋体" w:cs="宋体" w:eastAsia="宋体" w:hint="default"/>
                            <w:sz w:val="18"/>
                            <w:szCs w:val="18"/>
                          </w:rPr>
                        </w:pPr>
                        <w:r>
                          <w:rPr>
                            <w:rFonts w:ascii="宋体" w:hAnsi="宋体" w:cs="宋体" w:eastAsia="宋体" w:hint="default"/>
                            <w:sz w:val="18"/>
                            <w:szCs w:val="18"/>
                          </w:rPr>
                          <w:t>据有关法律、法规、规范性文件及合伙协议 的规定需要终止或解散之情形，不存在因环 境保护、知识产权、产品质量、劳动安全、 </w:t>
                        </w:r>
                        <w:r>
                          <w:rPr>
                            <w:rFonts w:ascii="宋体" w:hAnsi="宋体" w:cs="宋体" w:eastAsia="宋体" w:hint="default"/>
                            <w:spacing w:val="-2"/>
                            <w:sz w:val="18"/>
                            <w:szCs w:val="18"/>
                          </w:rPr>
                          <w:t>人身权等原因产生的侵权之债；</w:t>
                        </w:r>
                        <w:r>
                          <w:rPr>
                            <w:rFonts w:ascii="Times New Roman" w:hAnsi="Times New Roman" w:cs="Times New Roman" w:eastAsia="Times New Roman" w:hint="default"/>
                            <w:spacing w:val="-2"/>
                            <w:sz w:val="18"/>
                            <w:szCs w:val="18"/>
                          </w:rPr>
                          <w:t>2</w:t>
                        </w:r>
                        <w:r>
                          <w:rPr>
                            <w:rFonts w:ascii="宋体" w:hAnsi="宋体" w:cs="宋体" w:eastAsia="宋体" w:hint="default"/>
                            <w:spacing w:val="-2"/>
                            <w:sz w:val="18"/>
                            <w:szCs w:val="18"/>
                          </w:rPr>
                          <w:t>、本合伙企</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业的合伙人均为新开普员工，其中杨维国为</w:t>
                        </w: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c>
                      <w:tcPr>
                        <w:tcW w:w="354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新开普董事长兼总经理，付秋生为新开普董</w:t>
                        </w: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c>
                      <w:tcPr>
                        <w:tcW w:w="354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事兼常务副总经理，尚卫国、赵利宾为新开</w:t>
                        </w: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c>
                      <w:tcPr>
                        <w:tcW w:w="354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普董事兼副总经理，刘恩臣为新开普监事会</w:t>
                        </w: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c>
                      <w:tcPr>
                        <w:tcW w:w="354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主席，华梦阳为新开普副总经理兼董事会秘</w:t>
                        </w: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c>
                      <w:tcPr>
                        <w:tcW w:w="354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书、杜建平、傅常顺为新开普副总经理，郎</w:t>
                        </w:r>
                      </w:p>
                    </w:tc>
                  </w:tr>
                  <w:tr>
                    <w:trPr>
                      <w:trHeight w:val="318" w:hRule="exact"/>
                    </w:trPr>
                    <w:tc>
                      <w:tcPr>
                        <w:tcW w:w="1702" w:type="dxa"/>
                        <w:vMerge/>
                        <w:tcBorders>
                          <w:left w:val="single" w:sz="4" w:space="0" w:color="000000"/>
                          <w:bottom w:val="single" w:sz="4" w:space="0" w:color="000000"/>
                          <w:right w:val="single" w:sz="4" w:space="0" w:color="000000"/>
                        </w:tcBorders>
                        <w:shd w:val="clear" w:color="auto" w:fill="D2D2D2"/>
                      </w:tcPr>
                      <w:p>
                        <w:pPr/>
                      </w:p>
                    </w:tc>
                    <w:tc>
                      <w:tcPr>
                        <w:tcW w:w="1277" w:type="dxa"/>
                        <w:tcBorders>
                          <w:top w:val="nil" w:sz="6" w:space="0" w:color="auto"/>
                          <w:left w:val="single" w:sz="4" w:space="0" w:color="000000"/>
                          <w:bottom w:val="single" w:sz="4" w:space="0" w:color="000000"/>
                          <w:right w:val="single" w:sz="4" w:space="0" w:color="000000"/>
                        </w:tcBorders>
                      </w:tcPr>
                      <w:p>
                        <w:pPr/>
                      </w:p>
                    </w:tc>
                    <w:tc>
                      <w:tcPr>
                        <w:tcW w:w="850" w:type="dxa"/>
                        <w:tcBorders>
                          <w:top w:val="nil" w:sz="6" w:space="0" w:color="auto"/>
                          <w:left w:val="single" w:sz="4" w:space="0" w:color="000000"/>
                          <w:bottom w:val="single" w:sz="4" w:space="0" w:color="000000"/>
                          <w:right w:val="single" w:sz="4" w:space="0" w:color="000000"/>
                        </w:tcBorders>
                      </w:tcPr>
                      <w:p>
                        <w:pPr/>
                      </w:p>
                    </w:tc>
                    <w:tc>
                      <w:tcPr>
                        <w:tcW w:w="5180" w:type="dxa"/>
                        <w:tcBorders>
                          <w:top w:val="nil" w:sz="6" w:space="0" w:color="auto"/>
                          <w:left w:val="single" w:sz="4" w:space="0" w:color="000000"/>
                          <w:bottom w:val="single" w:sz="4" w:space="0" w:color="000000"/>
                          <w:right w:val="single" w:sz="4" w:space="0" w:color="000000"/>
                        </w:tcBorders>
                      </w:tcPr>
                      <w:p>
                        <w:pPr/>
                      </w:p>
                    </w:tc>
                    <w:tc>
                      <w:tcPr>
                        <w:tcW w:w="1134" w:type="dxa"/>
                        <w:tcBorders>
                          <w:top w:val="nil" w:sz="6" w:space="0" w:color="auto"/>
                          <w:left w:val="single" w:sz="4" w:space="0" w:color="000000"/>
                          <w:bottom w:val="single" w:sz="4" w:space="0" w:color="000000"/>
                          <w:right w:val="single" w:sz="4" w:space="0" w:color="000000"/>
                        </w:tcBorders>
                      </w:tcPr>
                      <w:p>
                        <w:pPr/>
                      </w:p>
                    </w:tc>
                    <w:tc>
                      <w:tcPr>
                        <w:tcW w:w="1134" w:type="dxa"/>
                        <w:tcBorders>
                          <w:top w:val="nil" w:sz="6" w:space="0" w:color="auto"/>
                          <w:left w:val="single" w:sz="4" w:space="0" w:color="000000"/>
                          <w:bottom w:val="single" w:sz="4" w:space="0" w:color="000000"/>
                          <w:right w:val="single" w:sz="4" w:space="0" w:color="000000"/>
                        </w:tcBorders>
                      </w:tcPr>
                      <w:p>
                        <w:pPr/>
                      </w:p>
                    </w:tc>
                    <w:tc>
                      <w:tcPr>
                        <w:tcW w:w="354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金文、葛晓阁为新开普核心人员；</w:t>
                        </w:r>
                        <w:r>
                          <w:rPr>
                            <w:rFonts w:ascii="Times New Roman" w:hAnsi="Times New Roman" w:cs="Times New Roman" w:eastAsia="Times New Roman" w:hint="default"/>
                            <w:sz w:val="18"/>
                            <w:szCs w:val="18"/>
                          </w:rPr>
                          <w:t>3</w:t>
                        </w:r>
                        <w:r>
                          <w:rPr>
                            <w:rFonts w:ascii="宋体" w:hAnsi="宋体" w:cs="宋体" w:eastAsia="宋体" w:hint="default"/>
                            <w:sz w:val="18"/>
                            <w:szCs w:val="18"/>
                          </w:rPr>
                          <w:t>、本合伙</w:t>
                        </w:r>
                      </w:p>
                    </w:tc>
                  </w:tr>
                </w:tbl>
                <w:p>
                  <w:pPr/>
                </w:p>
              </w:txbxContent>
            </v:textbox>
            <w10:wrap type="none"/>
          </v:shape>
        </w:pict>
      </w:r>
    </w:p>
    <w:p>
      <w:pPr>
        <w:spacing w:line="4097" w:lineRule="exact"/>
        <w:ind w:left="9126"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81"/>
          <w:sz w:val="20"/>
          <w:szCs w:val="20"/>
        </w:rPr>
        <w:pict>
          <v:group style="width:56.25pt;height:204.9pt;mso-position-horizontal-relative:char;mso-position-vertical-relative:line" coordorigin="0,0" coordsize="1125,4098">
            <v:group style="position:absolute;left:0;top:0;width:1125;height:4098" coordorigin="0,0" coordsize="1125,4098">
              <v:shape style="position:absolute;left:0;top:0;width:1125;height:4098" coordorigin="0,0" coordsize="1125,4098" path="m0,4098l1124,4098,1124,0,0,0,0,4098xe" filled="true" fillcolor="#ffffff" stroked="false">
                <v:path arrowok="t"/>
                <v:fill type="solid"/>
              </v:shape>
            </v:group>
          </v:group>
        </w:pict>
      </w:r>
      <w:r>
        <w:rPr>
          <w:rFonts w:ascii="Times New Roman" w:hAnsi="Times New Roman" w:cs="Times New Roman" w:eastAsia="Times New Roman" w:hint="default"/>
          <w:position w:val="-81"/>
          <w:sz w:val="20"/>
          <w:szCs w:val="20"/>
        </w:rPr>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29"/>
          <w:szCs w:val="29"/>
        </w:rPr>
      </w:pPr>
    </w:p>
    <w:p>
      <w:pPr>
        <w:spacing w:before="44"/>
        <w:ind w:left="0" w:right="100" w:firstLine="0"/>
        <w:jc w:val="right"/>
        <w:rPr>
          <w:rFonts w:ascii="宋体" w:hAnsi="宋体" w:cs="宋体" w:eastAsia="宋体" w:hint="default"/>
          <w:sz w:val="18"/>
          <w:szCs w:val="18"/>
        </w:rPr>
      </w:pPr>
      <w:r>
        <w:rPr/>
        <w:pict>
          <v:shape style="position:absolute;margin-left:423.140015pt;margin-top:-268.068298pt;width:134.450pt;height:204.9pt;mso-position-horizontal-relative:page;mso-position-vertical-relative:paragraph;z-index:-1222384" type="#_x0000_t202" filled="false" stroked="false">
            <v:textbox inset="0,0,0,0">
              <w:txbxContent>
                <w:p>
                  <w:pPr>
                    <w:spacing w:line="240" w:lineRule="auto" w:before="9"/>
                    <w:rPr>
                      <w:rFonts w:ascii="宋体" w:hAnsi="宋体" w:cs="宋体" w:eastAsia="宋体" w:hint="default"/>
                      <w:sz w:val="24"/>
                      <w:szCs w:val="24"/>
                    </w:rPr>
                  </w:pPr>
                </w:p>
                <w:p>
                  <w:pPr>
                    <w:spacing w:before="0"/>
                    <w:ind w:left="0" w:right="0" w:firstLine="1440"/>
                    <w:jc w:val="left"/>
                    <w:rPr>
                      <w:rFonts w:ascii="宋体" w:hAnsi="宋体" w:cs="宋体" w:eastAsia="宋体" w:hint="default"/>
                      <w:sz w:val="18"/>
                      <w:szCs w:val="18"/>
                    </w:rPr>
                  </w:pPr>
                  <w:r>
                    <w:rPr>
                      <w:rFonts w:ascii="宋体" w:hAnsi="宋体" w:cs="宋体" w:eastAsia="宋体" w:hint="default"/>
                      <w:sz w:val="18"/>
                      <w:szCs w:val="18"/>
                    </w:rPr>
                    <w:t>、</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7"/>
                    <w:rPr>
                      <w:rFonts w:ascii="宋体" w:hAnsi="宋体" w:cs="宋体" w:eastAsia="宋体" w:hint="default"/>
                      <w:sz w:val="17"/>
                      <w:szCs w:val="17"/>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不谋取不正当利益，</w:t>
                  </w:r>
                </w:p>
              </w:txbxContent>
            </v:textbox>
            <w10:wrap type="none"/>
          </v:shape>
        </w:pict>
      </w:r>
      <w:r>
        <w:rPr>
          <w:rFonts w:ascii="宋体" w:hAnsi="宋体" w:cs="宋体" w:eastAsia="宋体" w:hint="default"/>
          <w:sz w:val="18"/>
          <w:szCs w:val="18"/>
        </w:rPr>
        <w:t>。</w:t>
      </w:r>
    </w:p>
    <w:p>
      <w:pPr>
        <w:spacing w:after="0"/>
        <w:jc w:val="right"/>
        <w:rPr>
          <w:rFonts w:ascii="宋体" w:hAnsi="宋体" w:cs="宋体" w:eastAsia="宋体" w:hint="default"/>
          <w:sz w:val="18"/>
          <w:szCs w:val="18"/>
        </w:rPr>
        <w:sectPr>
          <w:pgSz w:w="16840" w:h="11910" w:orient="landscape"/>
          <w:pgMar w:header="867" w:footer="979" w:top="1060" w:bottom="1160" w:left="900" w:right="840"/>
        </w:sectPr>
      </w:pPr>
    </w:p>
    <w:p>
      <w:pPr>
        <w:spacing w:line="314" w:lineRule="auto" w:before="87"/>
        <w:ind w:left="11417" w:right="97" w:firstLine="0"/>
        <w:jc w:val="left"/>
        <w:rPr>
          <w:rFonts w:ascii="宋体" w:hAnsi="宋体" w:cs="宋体" w:eastAsia="宋体" w:hint="default"/>
          <w:sz w:val="18"/>
          <w:szCs w:val="18"/>
        </w:rPr>
      </w:pPr>
      <w:r>
        <w:rPr/>
        <w:pict>
          <v:group style="position:absolute;margin-left:50.459999pt;margin-top:55.260006pt;width:741.5pt;height:470.8pt;mso-position-horizontal-relative:page;mso-position-vertical-relative:page;z-index:-1222336" coordorigin="1009,1105" coordsize="14830,9416">
            <v:group style="position:absolute;left:1410;top:1112;width:14020;height:2" coordorigin="1410,1112" coordsize="14020,2">
              <v:shape style="position:absolute;left:1410;top:1112;width:14020;height:2" coordorigin="1410,1112" coordsize="14020,0" path="m1410,1112l15430,1112e" filled="false" stroked="true" strokeweight=".72pt" strokecolor="#000000">
                <v:path arrowok="t"/>
              </v:shape>
            </v:group>
            <v:group style="position:absolute;left:1019;top:1144;width:1692;height:9362" coordorigin="1019,1144" coordsize="1692,9362">
              <v:shape style="position:absolute;left:1019;top:1144;width:1692;height:9362" coordorigin="1019,1144" coordsize="1692,9362" path="m1019,10505l2711,10505,2711,1144,1019,1144,1019,10505xe" filled="true" fillcolor="#d2d2d2" stroked="false">
                <v:path arrowok="t"/>
                <v:fill type="solid"/>
              </v:shape>
            </v:group>
            <v:group style="position:absolute;left:1019;top:1139;width:1692;height:2" coordorigin="1019,1139" coordsize="1692,2">
              <v:shape style="position:absolute;left:1019;top:1139;width:1692;height:2" coordorigin="1019,1139" coordsize="1692,0" path="m1019,1139l2711,1139e" filled="false" stroked="true" strokeweight=".48pt" strokecolor="#000000">
                <v:path arrowok="t"/>
              </v:shape>
            </v:group>
            <v:group style="position:absolute;left:2720;top:1139;width:1268;height:2" coordorigin="2720,1139" coordsize="1268,2">
              <v:shape style="position:absolute;left:2720;top:1139;width:1268;height:2" coordorigin="2720,1139" coordsize="1268,0" path="m2720,1139l3988,1139e" filled="false" stroked="true" strokeweight=".48pt" strokecolor="#000000">
                <v:path arrowok="t"/>
              </v:shape>
            </v:group>
            <v:group style="position:absolute;left:3998;top:1139;width:840;height:2" coordorigin="3998,1139" coordsize="840,2">
              <v:shape style="position:absolute;left:3998;top:1139;width:840;height:2" coordorigin="3998,1139" coordsize="840,0" path="m3998,1139l4838,1139e" filled="false" stroked="true" strokeweight=".48pt" strokecolor="#000000">
                <v:path arrowok="t"/>
              </v:shape>
            </v:group>
            <v:group style="position:absolute;left:4847;top:1139;width:5170;height:2" coordorigin="4847,1139" coordsize="5170,2">
              <v:shape style="position:absolute;left:4847;top:1139;width:5170;height:2" coordorigin="4847,1139" coordsize="5170,0" path="m4847,1139l10017,1139e" filled="false" stroked="true" strokeweight=".48pt" strokecolor="#000000">
                <v:path arrowok="t"/>
              </v:shape>
            </v:group>
            <v:group style="position:absolute;left:10027;top:1139;width:1125;height:2" coordorigin="10027,1139" coordsize="1125,2">
              <v:shape style="position:absolute;left:10027;top:1139;width:1125;height:2" coordorigin="10027,1139" coordsize="1125,0" path="m10027,1139l11151,1139e" filled="false" stroked="true" strokeweight=".48pt" strokecolor="#000000">
                <v:path arrowok="t"/>
              </v:shape>
            </v:group>
            <v:group style="position:absolute;left:11161;top:1139;width:1125;height:2" coordorigin="11161,1139" coordsize="1125,2">
              <v:shape style="position:absolute;left:11161;top:1139;width:1125;height:2" coordorigin="11161,1139" coordsize="1125,0" path="m11161,1139l12285,1139e" filled="false" stroked="true" strokeweight=".48pt" strokecolor="#000000">
                <v:path arrowok="t"/>
              </v:shape>
            </v:group>
            <v:group style="position:absolute;left:12295;top:1139;width:3535;height:2" coordorigin="12295,1139" coordsize="3535,2">
              <v:shape style="position:absolute;left:12295;top:1139;width:3535;height:2" coordorigin="12295,1139" coordsize="3535,0" path="m12295,1139l15829,1139e" filled="false" stroked="true" strokeweight=".48pt" strokecolor="#000000">
                <v:path arrowok="t"/>
              </v:shape>
            </v:group>
            <v:group style="position:absolute;left:1014;top:1134;width:2;height:9382" coordorigin="1014,1134" coordsize="2,9382">
              <v:shape style="position:absolute;left:1014;top:1134;width:2;height:9382" coordorigin="1014,1134" coordsize="0,9382" path="m1014,1134l1014,10516e" filled="false" stroked="true" strokeweight=".48pt" strokecolor="#000000">
                <v:path arrowok="t"/>
              </v:shape>
            </v:group>
            <v:group style="position:absolute;left:1019;top:10511;width:1692;height:2" coordorigin="1019,10511" coordsize="1692,2">
              <v:shape style="position:absolute;left:1019;top:10511;width:1692;height:2" coordorigin="1019,10511" coordsize="1692,0" path="m1019,10511l2711,10511e" filled="false" stroked="true" strokeweight=".47998pt" strokecolor="#000000">
                <v:path arrowok="t"/>
              </v:shape>
            </v:group>
            <v:group style="position:absolute;left:2716;top:1134;width:2;height:9382" coordorigin="2716,1134" coordsize="2,9382">
              <v:shape style="position:absolute;left:2716;top:1134;width:2;height:9382" coordorigin="2716,1134" coordsize="0,9382" path="m2716,1134l2716,10516e" filled="false" stroked="true" strokeweight=".48001pt" strokecolor="#000000">
                <v:path arrowok="t"/>
              </v:shape>
            </v:group>
            <v:group style="position:absolute;left:2720;top:10511;width:1268;height:2" coordorigin="2720,10511" coordsize="1268,2">
              <v:shape style="position:absolute;left:2720;top:10511;width:1268;height:2" coordorigin="2720,10511" coordsize="1268,0" path="m2720,10511l3988,10511e" filled="false" stroked="true" strokeweight=".47998pt" strokecolor="#000000">
                <v:path arrowok="t"/>
              </v:shape>
            </v:group>
            <v:group style="position:absolute;left:3993;top:1134;width:2;height:9382" coordorigin="3993,1134" coordsize="2,9382">
              <v:shape style="position:absolute;left:3993;top:1134;width:2;height:9382" coordorigin="3993,1134" coordsize="0,9382" path="m3993,1134l3993,10516e" filled="false" stroked="true" strokeweight=".48pt" strokecolor="#000000">
                <v:path arrowok="t"/>
              </v:shape>
            </v:group>
            <v:group style="position:absolute;left:3998;top:10511;width:840;height:2" coordorigin="3998,10511" coordsize="840,2">
              <v:shape style="position:absolute;left:3998;top:10511;width:840;height:2" coordorigin="3998,10511" coordsize="840,0" path="m3998,10511l4838,10511e" filled="false" stroked="true" strokeweight=".47998pt" strokecolor="#000000">
                <v:path arrowok="t"/>
              </v:shape>
            </v:group>
            <v:group style="position:absolute;left:4842;top:1134;width:2;height:9382" coordorigin="4842,1134" coordsize="2,9382">
              <v:shape style="position:absolute;left:4842;top:1134;width:2;height:9382" coordorigin="4842,1134" coordsize="0,9382" path="m4842,1134l4842,10516e" filled="false" stroked="true" strokeweight=".48001pt" strokecolor="#000000">
                <v:path arrowok="t"/>
              </v:shape>
            </v:group>
            <v:group style="position:absolute;left:4847;top:10511;width:5170;height:2" coordorigin="4847,10511" coordsize="5170,2">
              <v:shape style="position:absolute;left:4847;top:10511;width:5170;height:2" coordorigin="4847,10511" coordsize="5170,0" path="m4847,10511l10017,10511e" filled="false" stroked="true" strokeweight=".47998pt" strokecolor="#000000">
                <v:path arrowok="t"/>
              </v:shape>
            </v:group>
            <v:group style="position:absolute;left:10022;top:1134;width:2;height:9382" coordorigin="10022,1134" coordsize="2,9382">
              <v:shape style="position:absolute;left:10022;top:1134;width:2;height:9382" coordorigin="10022,1134" coordsize="0,9382" path="m10022,1134l10022,10516e" filled="false" stroked="true" strokeweight=".48001pt" strokecolor="#000000">
                <v:path arrowok="t"/>
              </v:shape>
            </v:group>
            <v:group style="position:absolute;left:10027;top:10511;width:1125;height:2" coordorigin="10027,10511" coordsize="1125,2">
              <v:shape style="position:absolute;left:10027;top:10511;width:1125;height:2" coordorigin="10027,10511" coordsize="1125,0" path="m10027,10511l11151,10511e" filled="false" stroked="true" strokeweight=".47998pt" strokecolor="#000000">
                <v:path arrowok="t"/>
              </v:shape>
            </v:group>
            <v:group style="position:absolute;left:11156;top:1134;width:2;height:9382" coordorigin="11156,1134" coordsize="2,9382">
              <v:shape style="position:absolute;left:11156;top:1134;width:2;height:9382" coordorigin="11156,1134" coordsize="0,9382" path="m11156,1134l11156,10516e" filled="false" stroked="true" strokeweight=".47998pt" strokecolor="#000000">
                <v:path arrowok="t"/>
              </v:shape>
            </v:group>
            <v:group style="position:absolute;left:11161;top:10511;width:1125;height:2" coordorigin="11161,10511" coordsize="1125,2">
              <v:shape style="position:absolute;left:11161;top:10511;width:1125;height:2" coordorigin="11161,10511" coordsize="1125,0" path="m11161,10511l12285,10511e" filled="false" stroked="true" strokeweight=".47998pt" strokecolor="#000000">
                <v:path arrowok="t"/>
              </v:shape>
            </v:group>
            <v:group style="position:absolute;left:12290;top:1134;width:2;height:9382" coordorigin="12290,1134" coordsize="2,9382">
              <v:shape style="position:absolute;left:12290;top:1134;width:2;height:9382" coordorigin="12290,1134" coordsize="0,9382" path="m12290,1134l12290,10516e" filled="false" stroked="true" strokeweight=".47998pt" strokecolor="#000000">
                <v:path arrowok="t"/>
              </v:shape>
            </v:group>
            <v:group style="position:absolute;left:12295;top:10511;width:3535;height:2" coordorigin="12295,10511" coordsize="3535,2">
              <v:shape style="position:absolute;left:12295;top:10511;width:3535;height:2" coordorigin="12295,10511" coordsize="3535,0" path="m12295,10511l15829,10511e" filled="false" stroked="true" strokeweight=".47998pt" strokecolor="#000000">
                <v:path arrowok="t"/>
              </v:shape>
            </v:group>
            <v:group style="position:absolute;left:15834;top:1134;width:2;height:9382" coordorigin="15834,1134" coordsize="2,9382">
              <v:shape style="position:absolute;left:15834;top:1134;width:2;height:9382" coordorigin="15834,1134" coordsize="0,9382" path="m15834,1134l15834,10516e" filled="false" stroked="true" strokeweight=".48004pt" strokecolor="#000000">
                <v:path arrowok="t"/>
              </v:shape>
            </v:group>
            <w10:wrap type="none"/>
          </v:group>
        </w:pict>
      </w:r>
      <w:r>
        <w:rPr>
          <w:rFonts w:ascii="宋体" w:hAnsi="宋体" w:cs="宋体" w:eastAsia="宋体" w:hint="default"/>
          <w:sz w:val="18"/>
          <w:szCs w:val="18"/>
        </w:rPr>
        <w:t>企业未负有数额较大的到期未清偿债务；</w:t>
      </w:r>
      <w:r>
        <w:rPr>
          <w:rFonts w:ascii="Times New Roman" w:hAnsi="Times New Roman" w:cs="Times New Roman" w:eastAsia="Times New Roman" w:hint="default"/>
          <w:sz w:val="18"/>
          <w:szCs w:val="18"/>
        </w:rPr>
        <w:t>4</w:t>
      </w:r>
      <w:r>
        <w:rPr>
          <w:rFonts w:ascii="宋体" w:hAnsi="宋体" w:cs="宋体" w:eastAsia="宋体" w:hint="default"/>
          <w:sz w:val="18"/>
          <w:szCs w:val="18"/>
        </w:rPr>
        <w:t>、 本合伙企业及各合伙人、执行事务合伙人委 派代表、主要管理人员最近五年未受过重大 行政处罚、刑事处罚，亦未涉及与经济纠纷 有关的重大诉讼或仲裁，不存在尚未了结或 </w:t>
      </w:r>
      <w:r>
        <w:rPr>
          <w:rFonts w:ascii="宋体" w:hAnsi="宋体" w:cs="宋体" w:eastAsia="宋体" w:hint="default"/>
          <w:spacing w:val="-2"/>
          <w:sz w:val="18"/>
          <w:szCs w:val="18"/>
        </w:rPr>
        <w:t>可以预见的重大诉讼、仲裁及行政处罚案件，</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不存在被中国证监会或证券交易所采取监管 措施的情形；</w:t>
      </w:r>
      <w:r>
        <w:rPr>
          <w:rFonts w:ascii="Times New Roman" w:hAnsi="Times New Roman" w:cs="Times New Roman" w:eastAsia="Times New Roman" w:hint="default"/>
          <w:sz w:val="18"/>
          <w:szCs w:val="18"/>
        </w:rPr>
        <w:t>5</w:t>
      </w:r>
      <w:r>
        <w:rPr>
          <w:rFonts w:ascii="宋体" w:hAnsi="宋体" w:cs="宋体" w:eastAsia="宋体" w:hint="default"/>
          <w:sz w:val="18"/>
          <w:szCs w:val="18"/>
        </w:rPr>
        <w:t>、本合伙企业认购新开普股份 的资金来源真实合法、均为各合伙人以自有 资金出资，不存在向第三方募集的情况，不 存在违法违规的情形、不存在被有关部门收 缴、追索等法律风险；本合伙企业各合伙人 认缴的出资将于本次重大资产重组经中国证 券监督管理委员会核准后，向中国证券监督 管理委员会报送募集配套资金部分的非公开 发行方案前足额缴纳；</w:t>
      </w:r>
      <w:r>
        <w:rPr>
          <w:rFonts w:ascii="Times New Roman" w:hAnsi="Times New Roman" w:cs="Times New Roman" w:eastAsia="Times New Roman" w:hint="default"/>
          <w:sz w:val="18"/>
          <w:szCs w:val="18"/>
        </w:rPr>
        <w:t>7</w:t>
      </w:r>
      <w:r>
        <w:rPr>
          <w:rFonts w:ascii="宋体" w:hAnsi="宋体" w:cs="宋体" w:eastAsia="宋体" w:hint="default"/>
          <w:sz w:val="18"/>
          <w:szCs w:val="18"/>
        </w:rPr>
        <w:t>、本次重大资产重组 完成后，本合伙企业将持有新开普的股份， 本合伙企业未就该等股份设置任何质押、托 管、委托、信托、第三方权利、被依法限制 </w:t>
      </w:r>
      <w:r>
        <w:rPr>
          <w:rFonts w:ascii="宋体" w:hAnsi="宋体" w:cs="宋体" w:eastAsia="宋体" w:hint="default"/>
          <w:spacing w:val="-2"/>
          <w:sz w:val="18"/>
          <w:szCs w:val="18"/>
        </w:rPr>
        <w:t>表决权等情形，不存在代其他方持有的情形，</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不存在利益输送或其他权益安排，不存在纠 </w:t>
      </w:r>
      <w:r>
        <w:rPr>
          <w:rFonts w:ascii="宋体" w:hAnsi="宋体" w:cs="宋体" w:eastAsia="宋体" w:hint="default"/>
          <w:spacing w:val="-6"/>
          <w:sz w:val="18"/>
          <w:szCs w:val="18"/>
        </w:rPr>
        <w:t>纷或潜在纠纷；</w:t>
      </w:r>
      <w:r>
        <w:rPr>
          <w:rFonts w:ascii="Times New Roman" w:hAnsi="Times New Roman" w:cs="Times New Roman" w:eastAsia="Times New Roman" w:hint="default"/>
          <w:spacing w:val="-6"/>
          <w:sz w:val="18"/>
          <w:szCs w:val="18"/>
        </w:rPr>
        <w:t>8</w:t>
      </w:r>
      <w:r>
        <w:rPr>
          <w:rFonts w:ascii="宋体" w:hAnsi="宋体" w:cs="宋体" w:eastAsia="宋体" w:hint="default"/>
          <w:spacing w:val="-6"/>
          <w:sz w:val="18"/>
          <w:szCs w:val="18"/>
        </w:rPr>
        <w:t>、本次重大资产重组完成后，</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本合伙企业认购新开普为募集配套资金非公 开发行股份的锁定期届满前，本合伙企业的 合伙人不退伙；</w:t>
      </w:r>
      <w:r>
        <w:rPr>
          <w:rFonts w:ascii="Times New Roman" w:hAnsi="Times New Roman" w:cs="Times New Roman" w:eastAsia="Times New Roman" w:hint="default"/>
          <w:sz w:val="18"/>
          <w:szCs w:val="18"/>
        </w:rPr>
        <w:t>9</w:t>
      </w:r>
      <w:r>
        <w:rPr>
          <w:rFonts w:ascii="宋体" w:hAnsi="宋体" w:cs="宋体" w:eastAsia="宋体" w:hint="default"/>
          <w:sz w:val="18"/>
          <w:szCs w:val="18"/>
        </w:rPr>
        <w:t>、本合伙企业认购新开普为 募集配套资金非公开发行的股份，不存在通 </w:t>
      </w:r>
      <w:r>
        <w:rPr>
          <w:rFonts w:ascii="宋体" w:hAnsi="宋体" w:cs="宋体" w:eastAsia="宋体" w:hint="default"/>
          <w:spacing w:val="-2"/>
          <w:sz w:val="18"/>
          <w:szCs w:val="18"/>
        </w:rPr>
        <w:t>过结构化资产管理产品参与认购的情形；</w:t>
      </w:r>
      <w:r>
        <w:rPr>
          <w:rFonts w:ascii="Times New Roman" w:hAnsi="Times New Roman" w:cs="Times New Roman" w:eastAsia="Times New Roman" w:hint="default"/>
          <w:spacing w:val="-2"/>
          <w:sz w:val="18"/>
          <w:szCs w:val="18"/>
        </w:rPr>
        <w:t>10</w:t>
      </w:r>
      <w:r>
        <w:rPr>
          <w:rFonts w:ascii="宋体" w:hAnsi="宋体" w:cs="宋体" w:eastAsia="宋体" w:hint="default"/>
          <w:spacing w:val="-2"/>
          <w:sz w:val="18"/>
          <w:szCs w:val="18"/>
        </w:rPr>
        <w:t>、</w:t>
      </w:r>
      <w:r>
        <w:rPr>
          <w:rFonts w:ascii="宋体" w:hAnsi="宋体" w:cs="宋体" w:eastAsia="宋体" w:hint="default"/>
          <w:spacing w:val="-70"/>
          <w:sz w:val="18"/>
          <w:szCs w:val="18"/>
        </w:rPr>
        <w:t> </w:t>
      </w:r>
      <w:r>
        <w:rPr>
          <w:rFonts w:ascii="宋体" w:hAnsi="宋体" w:cs="宋体" w:eastAsia="宋体" w:hint="default"/>
          <w:sz w:val="18"/>
          <w:szCs w:val="18"/>
        </w:rPr>
        <w:t>本合伙企业不存在法律法规规定的不得认购 上市公司非公开发行股份的情形。</w:t>
      </w:r>
      <w:r>
        <w:rPr>
          <w:rFonts w:ascii="Times New Roman" w:hAnsi="Times New Roman" w:cs="Times New Roman" w:eastAsia="Times New Roman" w:hint="default"/>
          <w:sz w:val="18"/>
          <w:szCs w:val="18"/>
        </w:rPr>
        <w:t>11</w:t>
      </w:r>
      <w:r>
        <w:rPr>
          <w:rFonts w:ascii="宋体" w:hAnsi="宋体" w:cs="宋体" w:eastAsia="宋体" w:hint="default"/>
          <w:sz w:val="18"/>
          <w:szCs w:val="18"/>
        </w:rPr>
        <w:t>、本合 伙企业设立的目的系为了认购新开普本次募</w:t>
      </w:r>
    </w:p>
    <w:p>
      <w:pPr>
        <w:spacing w:after="0" w:line="314" w:lineRule="auto"/>
        <w:jc w:val="left"/>
        <w:rPr>
          <w:rFonts w:ascii="宋体" w:hAnsi="宋体" w:cs="宋体" w:eastAsia="宋体" w:hint="default"/>
          <w:sz w:val="18"/>
          <w:szCs w:val="18"/>
        </w:rPr>
        <w:sectPr>
          <w:pgSz w:w="16840" w:h="11910" w:orient="landscape"/>
          <w:pgMar w:header="867" w:footer="979" w:top="1060" w:bottom="1160" w:left="900" w:right="840"/>
        </w:sectPr>
      </w:pPr>
    </w:p>
    <w:p>
      <w:pPr>
        <w:spacing w:line="240" w:lineRule="auto" w:before="4"/>
        <w:rPr>
          <w:rFonts w:ascii="Times New Roman" w:hAnsi="Times New Roman" w:cs="Times New Roman" w:eastAsia="Times New Roman" w:hint="default"/>
          <w:sz w:val="3"/>
          <w:szCs w:val="3"/>
        </w:rPr>
      </w:pPr>
    </w:p>
    <w:tbl>
      <w:tblPr>
        <w:tblW w:w="0" w:type="auto"/>
        <w:jc w:val="left"/>
        <w:tblInd w:w="109" w:type="dxa"/>
        <w:tblLayout w:type="fixed"/>
        <w:tblCellMar>
          <w:top w:w="0" w:type="dxa"/>
          <w:left w:w="0" w:type="dxa"/>
          <w:bottom w:w="0" w:type="dxa"/>
          <w:right w:w="0" w:type="dxa"/>
        </w:tblCellMar>
        <w:tblLook w:val="01E0"/>
      </w:tblPr>
      <w:tblGrid>
        <w:gridCol w:w="1702"/>
        <w:gridCol w:w="1277"/>
        <w:gridCol w:w="850"/>
        <w:gridCol w:w="5180"/>
        <w:gridCol w:w="1134"/>
        <w:gridCol w:w="1134"/>
        <w:gridCol w:w="3546"/>
      </w:tblGrid>
      <w:tr>
        <w:trPr>
          <w:trHeight w:val="689" w:hRule="exact"/>
        </w:trPr>
        <w:tc>
          <w:tcPr>
            <w:tcW w:w="1702" w:type="dxa"/>
            <w:vMerge w:val="restart"/>
            <w:tcBorders>
              <w:top w:val="single" w:sz="15" w:space="0" w:color="000000"/>
              <w:left w:val="single" w:sz="4" w:space="0" w:color="000000"/>
              <w:right w:val="single" w:sz="4" w:space="0" w:color="000000"/>
            </w:tcBorders>
            <w:shd w:val="clear" w:color="auto" w:fill="D2D2D2"/>
          </w:tcPr>
          <w:p>
            <w:pPr/>
          </w:p>
        </w:tc>
        <w:tc>
          <w:tcPr>
            <w:tcW w:w="1277" w:type="dxa"/>
            <w:tcBorders>
              <w:top w:val="single" w:sz="15" w:space="0" w:color="000000"/>
              <w:left w:val="single" w:sz="4" w:space="0" w:color="000000"/>
              <w:bottom w:val="single" w:sz="4" w:space="0" w:color="000000"/>
              <w:right w:val="single" w:sz="4" w:space="0" w:color="000000"/>
            </w:tcBorders>
          </w:tcPr>
          <w:p>
            <w:pPr/>
          </w:p>
        </w:tc>
        <w:tc>
          <w:tcPr>
            <w:tcW w:w="850" w:type="dxa"/>
            <w:tcBorders>
              <w:top w:val="single" w:sz="15" w:space="0" w:color="000000"/>
              <w:left w:val="single" w:sz="4" w:space="0" w:color="000000"/>
              <w:bottom w:val="single" w:sz="4" w:space="0" w:color="000000"/>
              <w:right w:val="single" w:sz="4" w:space="0" w:color="000000"/>
            </w:tcBorders>
          </w:tcPr>
          <w:p>
            <w:pPr/>
          </w:p>
        </w:tc>
        <w:tc>
          <w:tcPr>
            <w:tcW w:w="5180" w:type="dxa"/>
            <w:tcBorders>
              <w:top w:val="single" w:sz="15" w:space="0" w:color="000000"/>
              <w:left w:val="single" w:sz="4" w:space="0" w:color="000000"/>
              <w:bottom w:val="single" w:sz="4" w:space="0" w:color="000000"/>
              <w:right w:val="single" w:sz="4" w:space="0" w:color="000000"/>
            </w:tcBorders>
          </w:tcPr>
          <w:p>
            <w:pPr/>
          </w:p>
        </w:tc>
        <w:tc>
          <w:tcPr>
            <w:tcW w:w="1134" w:type="dxa"/>
            <w:tcBorders>
              <w:top w:val="single" w:sz="15" w:space="0" w:color="000000"/>
              <w:left w:val="single" w:sz="4" w:space="0" w:color="000000"/>
              <w:bottom w:val="single" w:sz="4" w:space="0" w:color="000000"/>
              <w:right w:val="single" w:sz="4" w:space="0" w:color="000000"/>
            </w:tcBorders>
          </w:tcPr>
          <w:p>
            <w:pPr/>
          </w:p>
        </w:tc>
        <w:tc>
          <w:tcPr>
            <w:tcW w:w="1134" w:type="dxa"/>
            <w:tcBorders>
              <w:top w:val="single" w:sz="15" w:space="0" w:color="000000"/>
              <w:left w:val="single" w:sz="4" w:space="0" w:color="000000"/>
              <w:bottom w:val="single" w:sz="4" w:space="0" w:color="000000"/>
              <w:right w:val="single" w:sz="4" w:space="0" w:color="000000"/>
            </w:tcBorders>
          </w:tcPr>
          <w:p>
            <w:pPr/>
          </w:p>
        </w:tc>
        <w:tc>
          <w:tcPr>
            <w:tcW w:w="3546" w:type="dxa"/>
            <w:tcBorders>
              <w:top w:val="single" w:sz="15" w:space="0" w:color="000000"/>
              <w:left w:val="single" w:sz="4" w:space="0" w:color="000000"/>
              <w:bottom w:val="single" w:sz="4" w:space="0" w:color="000000"/>
              <w:right w:val="single" w:sz="4" w:space="0" w:color="000000"/>
            </w:tcBorders>
          </w:tcPr>
          <w:p>
            <w:pPr>
              <w:pStyle w:val="TableParagraph"/>
              <w:spacing w:line="302" w:lineRule="auto" w:before="10"/>
              <w:ind w:left="22" w:right="23"/>
              <w:jc w:val="left"/>
              <w:rPr>
                <w:rFonts w:ascii="宋体" w:hAnsi="宋体" w:cs="宋体" w:eastAsia="宋体" w:hint="default"/>
                <w:sz w:val="18"/>
                <w:szCs w:val="18"/>
              </w:rPr>
            </w:pPr>
            <w:r>
              <w:rPr>
                <w:rFonts w:ascii="宋体" w:hAnsi="宋体" w:cs="宋体" w:eastAsia="宋体" w:hint="default"/>
                <w:sz w:val="18"/>
                <w:szCs w:val="18"/>
              </w:rPr>
              <w:t>集配套资金发行的股份。</w:t>
            </w:r>
            <w:r>
              <w:rPr>
                <w:rFonts w:ascii="Times New Roman" w:hAnsi="Times New Roman" w:cs="Times New Roman" w:eastAsia="Times New Roman" w:hint="default"/>
                <w:sz w:val="18"/>
                <w:szCs w:val="18"/>
              </w:rPr>
              <w:t>"</w:t>
            </w:r>
            <w:r>
              <w:rPr>
                <w:rFonts w:ascii="宋体" w:hAnsi="宋体" w:cs="宋体" w:eastAsia="宋体" w:hint="default"/>
                <w:sz w:val="18"/>
                <w:szCs w:val="18"/>
              </w:rPr>
              <w:t>等内容已经履行完 毕，其余承诺内容由承诺方继续履行承诺。</w:t>
            </w:r>
          </w:p>
        </w:tc>
      </w:tr>
      <w:tr>
        <w:trPr>
          <w:trHeight w:val="5394" w:hRule="exact"/>
        </w:trPr>
        <w:tc>
          <w:tcPr>
            <w:tcW w:w="1702" w:type="dxa"/>
            <w:vMerge/>
            <w:tcBorders>
              <w:left w:val="single" w:sz="4" w:space="0" w:color="000000"/>
              <w:right w:val="single" w:sz="4" w:space="0" w:color="000000"/>
            </w:tcBorders>
            <w:shd w:val="clear" w:color="auto" w:fill="D2D2D2"/>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18"/>
                <w:szCs w:val="18"/>
              </w:rPr>
            </w:pPr>
          </w:p>
          <w:p>
            <w:pPr>
              <w:pStyle w:val="TableParagraph"/>
              <w:spacing w:line="319" w:lineRule="auto"/>
              <w:ind w:left="23" w:right="22"/>
              <w:jc w:val="left"/>
              <w:rPr>
                <w:rFonts w:ascii="宋体" w:hAnsi="宋体" w:cs="宋体" w:eastAsia="宋体" w:hint="default"/>
                <w:sz w:val="18"/>
                <w:szCs w:val="18"/>
              </w:rPr>
            </w:pPr>
            <w:r>
              <w:rPr>
                <w:rFonts w:ascii="宋体" w:hAnsi="宋体" w:cs="宋体" w:eastAsia="宋体" w:hint="default"/>
                <w:sz w:val="18"/>
                <w:szCs w:val="18"/>
              </w:rPr>
              <w:t>公司配套融资 的认购对象罗 </w:t>
            </w:r>
            <w:r>
              <w:rPr>
                <w:rFonts w:ascii="宋体" w:hAnsi="宋体" w:cs="宋体" w:eastAsia="宋体" w:hint="default"/>
                <w:spacing w:val="-6"/>
                <w:sz w:val="18"/>
                <w:szCs w:val="18"/>
              </w:rPr>
              <w:t>会军、柳楠、吴</w:t>
            </w:r>
            <w:r>
              <w:rPr>
                <w:rFonts w:ascii="宋体" w:hAnsi="宋体" w:cs="宋体" w:eastAsia="宋体" w:hint="default"/>
                <w:sz w:val="18"/>
                <w:szCs w:val="18"/>
              </w:rPr>
              <w:t> 凤辉</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23"/>
                <w:szCs w:val="23"/>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其他承诺</w:t>
            </w:r>
          </w:p>
        </w:tc>
        <w:tc>
          <w:tcPr>
            <w:tcW w:w="51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18"/>
                <w:szCs w:val="18"/>
              </w:rPr>
            </w:pPr>
          </w:p>
          <w:p>
            <w:pPr>
              <w:pStyle w:val="TableParagraph"/>
              <w:spacing w:line="309" w:lineRule="auto"/>
              <w:ind w:left="22" w:right="22"/>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、本人用于认购新开普本次募集配套资金非公开发行股份的金来 源为自有资金；本人前述认购资金将按照与新开普签署的《股份 认购协议》约定的时间及时、足额缴纳，否则本人将向新开普支 付股份认购款总金额</w:t>
            </w:r>
            <w:r>
              <w:rPr>
                <w:rFonts w:ascii="宋体" w:hAnsi="宋体" w:cs="宋体" w:eastAsia="宋体" w:hint="default"/>
                <w:spacing w:val="-63"/>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的违约金；本人资产状况良好，用于认购 新开普本次募集配套资金非公开发行股份的资金来源真实合法、 不存在违法违规的情形、不存在被有关部门收缴、追索等法律风 险；</w:t>
            </w:r>
            <w:r>
              <w:rPr>
                <w:rFonts w:ascii="Times New Roman" w:hAnsi="Times New Roman" w:cs="Times New Roman" w:eastAsia="Times New Roman" w:hint="default"/>
                <w:sz w:val="18"/>
                <w:szCs w:val="18"/>
              </w:rPr>
              <w:t>2</w:t>
            </w:r>
            <w:r>
              <w:rPr>
                <w:rFonts w:ascii="宋体" w:hAnsi="宋体" w:cs="宋体" w:eastAsia="宋体" w:hint="default"/>
                <w:sz w:val="18"/>
                <w:szCs w:val="18"/>
              </w:rPr>
              <w:t>、本人承诺遵守相关法律法规及监管部门规定的关于短线交 易、内幕交易和高级管理人员持股变动管理规则等的相关义务。</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4"/>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3"/>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302" w:lineRule="auto" w:before="61"/>
              <w:ind w:left="22" w:right="95"/>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r>
              <w:rPr>
                <w:rFonts w:ascii="Times New Roman" w:hAnsi="Times New Roman" w:cs="Times New Roman" w:eastAsia="Times New Roman" w:hint="default"/>
                <w:sz w:val="18"/>
                <w:szCs w:val="18"/>
              </w:rPr>
              <w:t>-</w:t>
            </w:r>
            <w:r>
              <w:rPr>
                <w:rFonts w:ascii="宋体" w:hAnsi="宋体" w:cs="宋体" w:eastAsia="宋体" w:hint="default"/>
                <w:sz w:val="18"/>
                <w:szCs w:val="18"/>
              </w:rPr>
              <w:t>长期有 效</w:t>
            </w:r>
          </w:p>
        </w:tc>
        <w:tc>
          <w:tcPr>
            <w:tcW w:w="3546"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51"/>
              <w:ind w:left="22" w:right="23"/>
              <w:jc w:val="left"/>
              <w:rPr>
                <w:rFonts w:ascii="宋体" w:hAnsi="宋体" w:cs="宋体" w:eastAsia="宋体" w:hint="default"/>
                <w:sz w:val="18"/>
                <w:szCs w:val="18"/>
              </w:rPr>
            </w:pPr>
            <w:r>
              <w:rPr>
                <w:rFonts w:ascii="宋体" w:hAnsi="宋体" w:cs="宋体" w:eastAsia="宋体" w:hint="default"/>
                <w:sz w:val="18"/>
                <w:szCs w:val="18"/>
              </w:rPr>
              <w:t>鉴于公司</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年发行股份及支付现金购买资 产并募集配套资金及关联交易已经实施完 毕，原承诺内容</w:t>
            </w:r>
            <w:r>
              <w:rPr>
                <w:rFonts w:ascii="Times New Roman" w:hAnsi="Times New Roman" w:cs="Times New Roman" w:eastAsia="Times New Roman" w:hint="default"/>
                <w:sz w:val="18"/>
                <w:szCs w:val="18"/>
              </w:rPr>
              <w:t>"1</w:t>
            </w:r>
            <w:r>
              <w:rPr>
                <w:rFonts w:ascii="宋体" w:hAnsi="宋体" w:cs="宋体" w:eastAsia="宋体" w:hint="default"/>
                <w:sz w:val="18"/>
                <w:szCs w:val="18"/>
              </w:rPr>
              <w:t>、本人未负有数额较大的 </w:t>
            </w:r>
            <w:r>
              <w:rPr>
                <w:rFonts w:ascii="宋体" w:hAnsi="宋体" w:cs="宋体" w:eastAsia="宋体" w:hint="default"/>
                <w:spacing w:val="-10"/>
                <w:sz w:val="18"/>
                <w:szCs w:val="18"/>
              </w:rPr>
              <w:t>到期未清偿债务；</w:t>
            </w:r>
            <w:r>
              <w:rPr>
                <w:rFonts w:ascii="Times New Roman" w:hAnsi="Times New Roman" w:cs="Times New Roman" w:eastAsia="Times New Roman" w:hint="default"/>
                <w:spacing w:val="-10"/>
                <w:sz w:val="18"/>
                <w:szCs w:val="18"/>
              </w:rPr>
              <w:t>2</w:t>
            </w:r>
            <w:r>
              <w:rPr>
                <w:rFonts w:ascii="宋体" w:hAnsi="宋体" w:cs="宋体" w:eastAsia="宋体" w:hint="default"/>
                <w:spacing w:val="-10"/>
                <w:sz w:val="18"/>
                <w:szCs w:val="18"/>
              </w:rPr>
              <w:t>、本人未受过行政处罚（与</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6"/>
                <w:sz w:val="18"/>
                <w:szCs w:val="18"/>
              </w:rPr>
              <w:t>证券市场明显无关的除外）、刑事处罚，未涉</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及与经济纠纷有关的重大民事诉讼或仲裁， 不存在尚未了结的或可预见的重大诉讼、仲 裁或行政处罚案件，不存在被中国证监会或 </w:t>
            </w:r>
            <w:r>
              <w:rPr>
                <w:rFonts w:ascii="宋体" w:hAnsi="宋体" w:cs="宋体" w:eastAsia="宋体" w:hint="default"/>
                <w:spacing w:val="-2"/>
                <w:sz w:val="18"/>
                <w:szCs w:val="18"/>
              </w:rPr>
              <w:t>证券交易所采取监管措施的情形；</w:t>
            </w:r>
            <w:r>
              <w:rPr>
                <w:rFonts w:ascii="Times New Roman" w:hAnsi="Times New Roman" w:cs="Times New Roman" w:eastAsia="Times New Roman" w:hint="default"/>
                <w:spacing w:val="-2"/>
                <w:sz w:val="18"/>
                <w:szCs w:val="18"/>
              </w:rPr>
              <w:t>4</w:t>
            </w:r>
            <w:r>
              <w:rPr>
                <w:rFonts w:ascii="宋体" w:hAnsi="宋体" w:cs="宋体" w:eastAsia="宋体" w:hint="default"/>
                <w:spacing w:val="-2"/>
                <w:sz w:val="18"/>
                <w:szCs w:val="18"/>
              </w:rPr>
              <w:t>、本次重</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大资产重组完成后，本人将直接持有新开普 的股份，本人未就该等股份设置任何质押、 托管、委托、信托、第三方权利、被依法限 制表决权等情形，不存在代其他方持有的情 </w:t>
            </w:r>
            <w:r>
              <w:rPr>
                <w:rFonts w:ascii="宋体" w:hAnsi="宋体" w:cs="宋体" w:eastAsia="宋体" w:hint="default"/>
                <w:spacing w:val="-2"/>
                <w:sz w:val="18"/>
                <w:szCs w:val="18"/>
              </w:rPr>
              <w:t>形，不存在利益输送或其他权益安排；</w:t>
            </w:r>
            <w:r>
              <w:rPr>
                <w:rFonts w:ascii="Times New Roman" w:hAnsi="Times New Roman" w:cs="Times New Roman" w:eastAsia="Times New Roman" w:hint="default"/>
                <w:spacing w:val="-2"/>
                <w:sz w:val="18"/>
                <w:szCs w:val="18"/>
              </w:rPr>
              <w:t>6</w:t>
            </w:r>
            <w:r>
              <w:rPr>
                <w:rFonts w:ascii="宋体" w:hAnsi="宋体" w:cs="宋体" w:eastAsia="宋体" w:hint="default"/>
                <w:spacing w:val="-2"/>
                <w:sz w:val="18"/>
                <w:szCs w:val="18"/>
              </w:rPr>
              <w:t>、本</w:t>
            </w:r>
            <w:r>
              <w:rPr>
                <w:rFonts w:ascii="宋体" w:hAnsi="宋体" w:cs="宋体" w:eastAsia="宋体" w:hint="default"/>
                <w:spacing w:val="-81"/>
                <w:sz w:val="18"/>
                <w:szCs w:val="18"/>
              </w:rPr>
              <w:t> </w:t>
            </w:r>
            <w:r>
              <w:rPr>
                <w:rFonts w:ascii="宋体" w:hAnsi="宋体" w:cs="宋体" w:eastAsia="宋体" w:hint="default"/>
                <w:sz w:val="18"/>
                <w:szCs w:val="18"/>
              </w:rPr>
              <w:t>人不存在法律法规规定的不得认购上市公司</w:t>
            </w:r>
            <w:r>
              <w:rPr>
                <w:rFonts w:ascii="宋体" w:hAnsi="宋体" w:cs="宋体" w:eastAsia="宋体" w:hint="default"/>
                <w:sz w:val="18"/>
                <w:szCs w:val="18"/>
              </w:rPr>
              <w:t> 非公开发行股份的情形。</w:t>
            </w:r>
            <w:r>
              <w:rPr>
                <w:rFonts w:ascii="Times New Roman" w:hAnsi="Times New Roman" w:cs="Times New Roman" w:eastAsia="Times New Roman" w:hint="default"/>
                <w:sz w:val="18"/>
                <w:szCs w:val="18"/>
              </w:rPr>
              <w:t>"</w:t>
            </w:r>
            <w:r>
              <w:rPr>
                <w:rFonts w:ascii="宋体" w:hAnsi="宋体" w:cs="宋体" w:eastAsia="宋体" w:hint="default"/>
                <w:sz w:val="18"/>
                <w:szCs w:val="18"/>
              </w:rPr>
              <w:t>等内容已经履行完 毕，其余承诺内容由承诺方继续履行承诺。</w:t>
            </w:r>
          </w:p>
        </w:tc>
      </w:tr>
      <w:tr>
        <w:trPr>
          <w:trHeight w:val="3483" w:hRule="exact"/>
        </w:trPr>
        <w:tc>
          <w:tcPr>
            <w:tcW w:w="1702" w:type="dxa"/>
            <w:vMerge/>
            <w:tcBorders>
              <w:left w:val="single" w:sz="4" w:space="0" w:color="000000"/>
              <w:bottom w:val="single" w:sz="4" w:space="0" w:color="000000"/>
              <w:right w:val="single" w:sz="4" w:space="0" w:color="000000"/>
            </w:tcBorders>
            <w:shd w:val="clear" w:color="auto" w:fill="D2D2D2"/>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5"/>
                <w:szCs w:val="25"/>
              </w:rPr>
            </w:pPr>
          </w:p>
          <w:p>
            <w:pPr>
              <w:pStyle w:val="TableParagraph"/>
              <w:spacing w:line="319" w:lineRule="auto"/>
              <w:ind w:left="23" w:right="21"/>
              <w:jc w:val="left"/>
              <w:rPr>
                <w:rFonts w:ascii="宋体" w:hAnsi="宋体" w:cs="宋体" w:eastAsia="宋体" w:hint="default"/>
                <w:sz w:val="18"/>
                <w:szCs w:val="18"/>
              </w:rPr>
            </w:pPr>
            <w:r>
              <w:rPr>
                <w:rFonts w:ascii="宋体" w:hAnsi="宋体" w:cs="宋体" w:eastAsia="宋体" w:hint="default"/>
                <w:sz w:val="18"/>
                <w:szCs w:val="18"/>
              </w:rPr>
              <w:t>现金购买资产 的交易对方何 </w:t>
            </w:r>
            <w:r>
              <w:rPr>
                <w:rFonts w:ascii="宋体" w:hAnsi="宋体" w:cs="宋体" w:eastAsia="宋体" w:hint="default"/>
                <w:spacing w:val="-6"/>
                <w:sz w:val="18"/>
                <w:szCs w:val="18"/>
              </w:rPr>
              <w:t>伟、乔志刚、杨</w:t>
            </w:r>
            <w:r>
              <w:rPr>
                <w:rFonts w:ascii="宋体" w:hAnsi="宋体" w:cs="宋体" w:eastAsia="宋体" w:hint="default"/>
                <w:sz w:val="18"/>
                <w:szCs w:val="18"/>
              </w:rPr>
              <w:t> </w:t>
            </w:r>
            <w:r>
              <w:rPr>
                <w:rFonts w:ascii="宋体" w:hAnsi="宋体" w:cs="宋体" w:eastAsia="宋体" w:hint="default"/>
                <w:spacing w:val="-6"/>
                <w:sz w:val="18"/>
                <w:szCs w:val="18"/>
              </w:rPr>
              <w:t>宏生、周华、王</w:t>
            </w:r>
            <w:r>
              <w:rPr>
                <w:rFonts w:ascii="宋体" w:hAnsi="宋体" w:cs="宋体" w:eastAsia="宋体" w:hint="default"/>
                <w:sz w:val="18"/>
                <w:szCs w:val="18"/>
              </w:rPr>
              <w:t> </w:t>
            </w:r>
            <w:r>
              <w:rPr>
                <w:rFonts w:ascii="宋体" w:hAnsi="宋体" w:cs="宋体" w:eastAsia="宋体" w:hint="default"/>
                <w:spacing w:val="-6"/>
                <w:sz w:val="18"/>
                <w:szCs w:val="18"/>
              </w:rPr>
              <w:t>建成、吴琼、上</w:t>
            </w:r>
            <w:r>
              <w:rPr>
                <w:rFonts w:ascii="宋体" w:hAnsi="宋体" w:cs="宋体" w:eastAsia="宋体" w:hint="default"/>
                <w:sz w:val="18"/>
                <w:szCs w:val="18"/>
              </w:rPr>
              <w:t> 海君略投资管 </w:t>
            </w:r>
            <w:r>
              <w:rPr>
                <w:rFonts w:ascii="宋体" w:hAnsi="宋体" w:cs="宋体" w:eastAsia="宋体" w:hint="default"/>
                <w:spacing w:val="-6"/>
                <w:sz w:val="18"/>
                <w:szCs w:val="18"/>
              </w:rPr>
              <w:t>理合伙企业（有</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限合伙）</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2"/>
              <w:ind w:left="22" w:right="0"/>
              <w:jc w:val="left"/>
              <w:rPr>
                <w:rFonts w:ascii="宋体" w:hAnsi="宋体" w:cs="宋体" w:eastAsia="宋体" w:hint="default"/>
                <w:sz w:val="18"/>
                <w:szCs w:val="18"/>
              </w:rPr>
            </w:pPr>
            <w:r>
              <w:rPr>
                <w:rFonts w:ascii="宋体" w:hAnsi="宋体" w:cs="宋体" w:eastAsia="宋体" w:hint="default"/>
                <w:sz w:val="18"/>
                <w:szCs w:val="18"/>
              </w:rPr>
              <w:t>其他承诺</w:t>
            </w:r>
          </w:p>
        </w:tc>
        <w:tc>
          <w:tcPr>
            <w:tcW w:w="5180"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2" w:right="20"/>
              <w:jc w:val="left"/>
              <w:rPr>
                <w:rFonts w:ascii="宋体" w:hAnsi="宋体" w:cs="宋体" w:eastAsia="宋体" w:hint="default"/>
                <w:sz w:val="18"/>
                <w:szCs w:val="18"/>
              </w:rPr>
            </w:pPr>
            <w:r>
              <w:rPr>
                <w:rFonts w:ascii="宋体" w:hAnsi="宋体" w:cs="宋体" w:eastAsia="宋体" w:hint="default"/>
                <w:sz w:val="18"/>
                <w:szCs w:val="18"/>
              </w:rPr>
              <w:t>本次交易的交易对方承诺：</w:t>
            </w:r>
            <w:r>
              <w:rPr>
                <w:rFonts w:ascii="Times New Roman" w:hAnsi="Times New Roman" w:cs="Times New Roman" w:eastAsia="Times New Roman" w:hint="default"/>
                <w:sz w:val="18"/>
                <w:szCs w:val="18"/>
              </w:rPr>
              <w:t>1</w:t>
            </w:r>
            <w:r>
              <w:rPr>
                <w:rFonts w:ascii="宋体" w:hAnsi="宋体" w:cs="宋体" w:eastAsia="宋体" w:hint="default"/>
                <w:sz w:val="18"/>
                <w:szCs w:val="18"/>
              </w:rPr>
              <w:t>、于本协议签订之日，交易对方对标 的资产具有合法、完整的所有权，有权签署本协议并转让标的资 产，该等标的资产或与其相关的任何权利和利益，不存在司法冻 结或为任何其他第三方设定质押、抵押或其他承诺致使交易对方 无法将本协议所述标的资产转让给新开普的限制情形；新开普于 标的资产交割日将享有作为标的资产的所有者依法应享有的一切 权利（包括但不限于依法占有、使用、收益和处分标的资产的权 </w:t>
            </w:r>
            <w:r>
              <w:rPr>
                <w:rFonts w:ascii="宋体" w:hAnsi="宋体" w:cs="宋体" w:eastAsia="宋体" w:hint="default"/>
                <w:spacing w:val="-4"/>
                <w:sz w:val="18"/>
                <w:szCs w:val="18"/>
              </w:rPr>
              <w:t>利）；标的资产并不会因中国法律或第三人的权利主张而被没收或</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扣押，或被施加以质押、抵押或其他任何形式的负担。</w:t>
            </w:r>
            <w:r>
              <w:rPr>
                <w:rFonts w:ascii="Times New Roman" w:hAnsi="Times New Roman" w:cs="Times New Roman" w:eastAsia="Times New Roman" w:hint="default"/>
                <w:sz w:val="18"/>
                <w:szCs w:val="18"/>
              </w:rPr>
              <w:t>2</w:t>
            </w:r>
            <w:r>
              <w:rPr>
                <w:rFonts w:ascii="宋体" w:hAnsi="宋体" w:cs="宋体" w:eastAsia="宋体" w:hint="default"/>
                <w:sz w:val="18"/>
                <w:szCs w:val="18"/>
              </w:rPr>
              <w:t>、截至本 协议签署日，交易对方对标的资产的权利的行使没有侵犯任何第 三方的在先权利，并无任何第三方提出关于标的资产侵犯其合法</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16"/>
                <w:szCs w:val="16"/>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4"/>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16"/>
                <w:szCs w:val="16"/>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r>
              <w:rPr>
                <w:rFonts w:ascii="Times New Roman" w:hAnsi="Times New Roman" w:cs="Times New Roman" w:eastAsia="Times New Roman" w:hint="default"/>
                <w:sz w:val="18"/>
                <w:szCs w:val="18"/>
              </w:rPr>
              <w:t>-</w:t>
            </w:r>
            <w:r>
              <w:rPr>
                <w:rFonts w:ascii="宋体" w:hAnsi="宋体" w:cs="宋体" w:eastAsia="宋体" w:hint="default"/>
                <w:sz w:val="18"/>
                <w:szCs w:val="18"/>
              </w:rPr>
              <w:t>长期有效</w:t>
            </w:r>
          </w:p>
        </w:tc>
        <w:tc>
          <w:tcPr>
            <w:tcW w:w="3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16"/>
                <w:szCs w:val="16"/>
              </w:rPr>
            </w:pPr>
          </w:p>
          <w:p>
            <w:pPr>
              <w:pStyle w:val="TableParagraph"/>
              <w:spacing w:line="319" w:lineRule="auto"/>
              <w:ind w:left="22" w:right="92"/>
              <w:jc w:val="left"/>
              <w:rPr>
                <w:rFonts w:ascii="宋体" w:hAnsi="宋体" w:cs="宋体" w:eastAsia="宋体" w:hint="default"/>
                <w:sz w:val="18"/>
                <w:szCs w:val="18"/>
              </w:rPr>
            </w:pPr>
            <w:r>
              <w:rPr>
                <w:rFonts w:ascii="宋体" w:hAnsi="宋体" w:cs="宋体" w:eastAsia="宋体" w:hint="default"/>
                <w:sz w:val="18"/>
                <w:szCs w:val="18"/>
              </w:rPr>
              <w:t>截至报告期末，上述承诺人严格信守承诺， 未发生违反承诺的情况。</w:t>
            </w:r>
          </w:p>
        </w:tc>
      </w:tr>
    </w:tbl>
    <w:p>
      <w:pPr>
        <w:spacing w:after="0" w:line="319" w:lineRule="auto"/>
        <w:jc w:val="left"/>
        <w:rPr>
          <w:rFonts w:ascii="宋体" w:hAnsi="宋体" w:cs="宋体" w:eastAsia="宋体" w:hint="default"/>
          <w:sz w:val="18"/>
          <w:szCs w:val="18"/>
        </w:rPr>
        <w:sectPr>
          <w:pgSz w:w="16840" w:h="11910" w:orient="landscape"/>
          <w:pgMar w:header="867" w:footer="979" w:top="1060" w:bottom="1200" w:left="900" w:right="880"/>
        </w:sectPr>
      </w:pPr>
    </w:p>
    <w:p>
      <w:pPr>
        <w:spacing w:line="240" w:lineRule="auto" w:before="4"/>
        <w:rPr>
          <w:rFonts w:ascii="Times New Roman" w:hAnsi="Times New Roman" w:cs="Times New Roman" w:eastAsia="Times New Roman" w:hint="default"/>
          <w:sz w:val="3"/>
          <w:szCs w:val="3"/>
        </w:rPr>
      </w:pPr>
      <w:r>
        <w:rPr/>
        <w:pict>
          <v:shape style="position:absolute;margin-left:333.140015pt;margin-top:215.720001pt;width:224.45pt;height:139.4pt;mso-position-horizontal-relative:page;mso-position-vertical-relative:page;z-index:-1222312" type="#_x0000_t202" filled="false" stroked="false">
            <v:textbox inset="0,0,0,0">
              <w:txbxContent>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before="161"/>
                    <w:ind w:left="0" w:right="0" w:firstLine="0"/>
                    <w:jc w:val="left"/>
                    <w:rPr>
                      <w:rFonts w:ascii="宋体" w:hAnsi="宋体" w:cs="宋体" w:eastAsia="宋体" w:hint="default"/>
                      <w:sz w:val="18"/>
                      <w:szCs w:val="18"/>
                    </w:rPr>
                  </w:pPr>
                  <w:r>
                    <w:rPr>
                      <w:rFonts w:ascii="宋体" w:hAnsi="宋体" w:cs="宋体" w:eastAsia="宋体" w:hint="default"/>
                      <w:sz w:val="18"/>
                      <w:szCs w:val="18"/>
                    </w:rPr>
                    <w:t>其他规范性文件或监管规则所要求的程序，</w:t>
                  </w:r>
                </w:p>
              </w:txbxContent>
            </v:textbox>
            <w10:wrap type="none"/>
          </v:shape>
        </w:pict>
      </w:r>
      <w:r>
        <w:rPr/>
        <w:pict>
          <v:shape style="position:absolute;margin-left:477.140015pt;margin-top:390.339996pt;width:80.45pt;height:139.4pt;mso-position-horizontal-relative:page;mso-position-vertical-relative:page;z-index:-1222288" type="#_x0000_t202" filled="false" stroked="false">
            <v:textbox inset="0,0,0,0">
              <w:txbxContent>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3"/>
                    <w:rPr>
                      <w:rFonts w:ascii="Times New Roman" w:hAnsi="Times New Roman" w:cs="Times New Roman" w:eastAsia="Times New Roman" w:hint="default"/>
                      <w:sz w:val="18"/>
                      <w:szCs w:val="18"/>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协议、</w:t>
                  </w:r>
                </w:p>
              </w:txbxContent>
            </v:textbox>
            <w10:wrap type="none"/>
          </v:shape>
        </w:pict>
      </w:r>
      <w:r>
        <w:rPr/>
        <w:pict>
          <v:group style="position:absolute;margin-left:501.339996pt;margin-top:215.720001pt;width:56.25pt;height:157.050pt;mso-position-horizontal-relative:page;mso-position-vertical-relative:page;z-index:-1222264" coordorigin="10027,4314" coordsize="1125,3141">
            <v:group style="position:absolute;left:10027;top:4314;width:1125;height:2788" coordorigin="10027,4314" coordsize="1125,2788">
              <v:shape style="position:absolute;left:10027;top:4314;width:1125;height:2788" coordorigin="10027,4314" coordsize="1125,2788" path="m10027,7102l11151,7102,11151,4314,10027,4314,10027,7102xe" filled="true" fillcolor="#ffffff" stroked="false">
                <v:path arrowok="t"/>
                <v:fill type="solid"/>
              </v:shape>
            </v:group>
            <v:group style="position:absolute;left:10050;top:7102;width:1078;height:353" coordorigin="10050,7102" coordsize="1078,353">
              <v:shape style="position:absolute;left:10050;top:7102;width:1078;height:353" coordorigin="10050,7102" coordsize="1078,353" path="m10050,7455l11127,7455,11127,7102,10050,7102,10050,7455xe" filled="true" fillcolor="#ffffff" stroked="false">
                <v:path arrowok="t"/>
                <v:fill type="solid"/>
              </v:shape>
            </v:group>
            <w10:wrap type="none"/>
          </v:group>
        </w:pict>
      </w:r>
      <w:r>
        <w:rPr/>
        <w:pict>
          <v:group style="position:absolute;margin-left:501.339996pt;margin-top:390.339996pt;width:56.25pt;height:139.4pt;mso-position-horizontal-relative:page;mso-position-vertical-relative:page;z-index:-1222240" coordorigin="10027,7807" coordsize="1125,2788">
            <v:shape style="position:absolute;left:10027;top:7807;width:1125;height:2788" coordorigin="10027,7807" coordsize="1125,2788" path="m10027,10595l11151,10595,11151,7807,10027,7807,10027,10595xe" filled="true" fillcolor="#ffffff" stroked="false">
              <v:path arrowok="t"/>
              <v:fill type="solid"/>
            </v:shape>
            <w10:wrap type="none"/>
          </v:group>
        </w:pict>
      </w:r>
    </w:p>
    <w:tbl>
      <w:tblPr>
        <w:tblW w:w="0" w:type="auto"/>
        <w:jc w:val="left"/>
        <w:tblInd w:w="109" w:type="dxa"/>
        <w:tblLayout w:type="fixed"/>
        <w:tblCellMar>
          <w:top w:w="0" w:type="dxa"/>
          <w:left w:w="0" w:type="dxa"/>
          <w:bottom w:w="0" w:type="dxa"/>
          <w:right w:w="0" w:type="dxa"/>
        </w:tblCellMar>
        <w:tblLook w:val="01E0"/>
      </w:tblPr>
      <w:tblGrid>
        <w:gridCol w:w="1702"/>
        <w:gridCol w:w="1277"/>
        <w:gridCol w:w="850"/>
        <w:gridCol w:w="5180"/>
        <w:gridCol w:w="1134"/>
        <w:gridCol w:w="1134"/>
        <w:gridCol w:w="3544"/>
      </w:tblGrid>
      <w:tr>
        <w:trPr>
          <w:trHeight w:val="336" w:hRule="exact"/>
        </w:trPr>
        <w:tc>
          <w:tcPr>
            <w:tcW w:w="1702" w:type="dxa"/>
            <w:vMerge w:val="restart"/>
            <w:tcBorders>
              <w:top w:val="single" w:sz="15" w:space="0" w:color="000000"/>
              <w:left w:val="single" w:sz="4" w:space="0" w:color="000000"/>
              <w:right w:val="single" w:sz="4" w:space="0" w:color="000000"/>
            </w:tcBorders>
            <w:shd w:val="clear" w:color="auto" w:fill="D2D2D2"/>
          </w:tcPr>
          <w:p>
            <w:pPr/>
          </w:p>
        </w:tc>
        <w:tc>
          <w:tcPr>
            <w:tcW w:w="1277" w:type="dxa"/>
            <w:vMerge w:val="restart"/>
            <w:tcBorders>
              <w:top w:val="single" w:sz="15" w:space="0" w:color="000000"/>
              <w:left w:val="single" w:sz="4" w:space="0" w:color="000000"/>
              <w:right w:val="single" w:sz="4" w:space="0" w:color="000000"/>
            </w:tcBorders>
          </w:tcPr>
          <w:p>
            <w:pPr/>
          </w:p>
        </w:tc>
        <w:tc>
          <w:tcPr>
            <w:tcW w:w="850" w:type="dxa"/>
            <w:vMerge w:val="restart"/>
            <w:tcBorders>
              <w:top w:val="single" w:sz="15" w:space="0" w:color="000000"/>
              <w:left w:val="single" w:sz="4" w:space="0" w:color="000000"/>
              <w:right w:val="single" w:sz="4" w:space="0" w:color="000000"/>
            </w:tcBorders>
          </w:tcPr>
          <w:p>
            <w:pPr/>
          </w:p>
        </w:tc>
        <w:tc>
          <w:tcPr>
            <w:tcW w:w="5180" w:type="dxa"/>
            <w:tcBorders>
              <w:top w:val="single" w:sz="15" w:space="0" w:color="000000"/>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权益的任何相关权利主张或要求。</w:t>
            </w:r>
            <w:r>
              <w:rPr>
                <w:rFonts w:ascii="Times New Roman" w:hAnsi="Times New Roman" w:cs="Times New Roman" w:eastAsia="Times New Roman" w:hint="default"/>
                <w:sz w:val="18"/>
                <w:szCs w:val="18"/>
              </w:rPr>
              <w:t>3</w:t>
            </w:r>
            <w:r>
              <w:rPr>
                <w:rFonts w:ascii="宋体" w:hAnsi="宋体" w:cs="宋体" w:eastAsia="宋体" w:hint="default"/>
                <w:sz w:val="18"/>
                <w:szCs w:val="18"/>
              </w:rPr>
              <w:t>、截至本协议签署日，无任何</w:t>
            </w:r>
          </w:p>
        </w:tc>
        <w:tc>
          <w:tcPr>
            <w:tcW w:w="1134" w:type="dxa"/>
            <w:vMerge w:val="restart"/>
            <w:tcBorders>
              <w:top w:val="single" w:sz="15" w:space="0" w:color="000000"/>
              <w:left w:val="single" w:sz="4" w:space="0" w:color="000000"/>
              <w:right w:val="single" w:sz="4" w:space="0" w:color="000000"/>
            </w:tcBorders>
          </w:tcPr>
          <w:p>
            <w:pPr/>
          </w:p>
        </w:tc>
        <w:tc>
          <w:tcPr>
            <w:tcW w:w="1134" w:type="dxa"/>
            <w:vMerge w:val="restart"/>
            <w:tcBorders>
              <w:top w:val="single" w:sz="15" w:space="0" w:color="000000"/>
              <w:left w:val="single" w:sz="4" w:space="0" w:color="000000"/>
              <w:right w:val="single" w:sz="4" w:space="0" w:color="000000"/>
            </w:tcBorders>
          </w:tcPr>
          <w:p>
            <w:pPr/>
          </w:p>
        </w:tc>
        <w:tc>
          <w:tcPr>
            <w:tcW w:w="3544" w:type="dxa"/>
            <w:vMerge w:val="restart"/>
            <w:tcBorders>
              <w:top w:val="single" w:sz="15" w:space="0" w:color="000000"/>
              <w:left w:val="single" w:sz="4" w:space="0" w:color="000000"/>
              <w:right w:val="single" w:sz="4" w:space="0" w:color="000000"/>
            </w:tcBorders>
          </w:tcPr>
          <w:p>
            <w:pPr/>
          </w:p>
        </w:tc>
      </w:tr>
      <w:tr>
        <w:trPr>
          <w:trHeight w:val="30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第三人就标的资产或其任何部分行使或声称将行使任何对标的资</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产有不利影响的权利；亦无任何直接或间接与标的资产有关的争</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议、行政处罚、诉讼或仲裁。</w:t>
            </w:r>
            <w:r>
              <w:rPr>
                <w:rFonts w:ascii="Times New Roman" w:hAnsi="Times New Roman" w:cs="Times New Roman" w:eastAsia="Times New Roman" w:hint="default"/>
                <w:sz w:val="18"/>
                <w:szCs w:val="18"/>
              </w:rPr>
              <w:t>4</w:t>
            </w:r>
            <w:r>
              <w:rPr>
                <w:rFonts w:ascii="宋体" w:hAnsi="宋体" w:cs="宋体" w:eastAsia="宋体" w:hint="default"/>
                <w:sz w:val="18"/>
                <w:szCs w:val="18"/>
              </w:rPr>
              <w:t>、自本协议签署之日起，交易对方</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0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保证不会对标的资产进行再次出售、抵押、质押、托管或设置任</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何形式的权利负担或第三方权利（包括优先购买权或购股权等</w:t>
            </w:r>
            <w:r>
              <w:rPr>
                <w:rFonts w:ascii="宋体" w:hAnsi="宋体" w:cs="宋体" w:eastAsia="宋体" w:hint="default"/>
                <w:spacing w:val="-90"/>
                <w:sz w:val="18"/>
                <w:szCs w:val="18"/>
              </w:rPr>
              <w:t>）</w:t>
            </w:r>
            <w:r>
              <w:rPr>
                <w:rFonts w:ascii="宋体" w:hAnsi="宋体" w:cs="宋体" w:eastAsia="宋体" w:hint="default"/>
                <w:sz w:val="18"/>
                <w:szCs w:val="18"/>
              </w:rPr>
              <w:t>，</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亦不就标的资产的转让、抵押、质押、托管或设置任何形式的权</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利负担或第三方权利等事宜与其它任何第三方进行交易性接触，</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3"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签订备忘录、合同书、谅解备忘录，或与标的资产转让相冲突、</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5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bottom w:val="single" w:sz="4" w:space="0" w:color="000000"/>
              <w:right w:val="single" w:sz="4" w:space="0" w:color="000000"/>
            </w:tcBorders>
          </w:tcPr>
          <w:p>
            <w:pPr/>
          </w:p>
        </w:tc>
        <w:tc>
          <w:tcPr>
            <w:tcW w:w="850" w:type="dxa"/>
            <w:vMerge/>
            <w:tcBorders>
              <w:left w:val="single" w:sz="4" w:space="0" w:color="000000"/>
              <w:bottom w:val="single" w:sz="4" w:space="0" w:color="000000"/>
              <w:right w:val="single" w:sz="4" w:space="0" w:color="000000"/>
            </w:tcBorders>
          </w:tcPr>
          <w:p>
            <w:pPr/>
          </w:p>
        </w:tc>
        <w:tc>
          <w:tcPr>
            <w:tcW w:w="518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或包含禁止或限制标的资产转让条款的各种形式的法律文件。</w:t>
            </w:r>
          </w:p>
        </w:tc>
        <w:tc>
          <w:tcPr>
            <w:tcW w:w="1134" w:type="dxa"/>
            <w:vMerge/>
            <w:tcBorders>
              <w:left w:val="single" w:sz="4" w:space="0" w:color="000000"/>
              <w:bottom w:val="single" w:sz="4" w:space="0" w:color="000000"/>
              <w:right w:val="single" w:sz="4" w:space="0" w:color="000000"/>
            </w:tcBorders>
          </w:tcPr>
          <w:p>
            <w:pPr/>
          </w:p>
        </w:tc>
        <w:tc>
          <w:tcPr>
            <w:tcW w:w="1134" w:type="dxa"/>
            <w:vMerge/>
            <w:tcBorders>
              <w:left w:val="single" w:sz="4" w:space="0" w:color="000000"/>
              <w:bottom w:val="single" w:sz="4" w:space="0" w:color="000000"/>
              <w:right w:val="single" w:sz="4" w:space="0" w:color="000000"/>
            </w:tcBorders>
          </w:tcPr>
          <w:p>
            <w:pPr/>
          </w:p>
        </w:tc>
        <w:tc>
          <w:tcPr>
            <w:tcW w:w="3544" w:type="dxa"/>
            <w:vMerge/>
            <w:tcBorders>
              <w:left w:val="single" w:sz="4" w:space="0" w:color="000000"/>
              <w:bottom w:val="single" w:sz="4" w:space="0" w:color="000000"/>
              <w:right w:val="single" w:sz="4" w:space="0" w:color="000000"/>
            </w:tcBorders>
          </w:tcPr>
          <w:p>
            <w:pPr/>
          </w:p>
        </w:tc>
      </w:tr>
      <w:tr>
        <w:trPr>
          <w:trHeight w:val="362" w:hRule="exact"/>
        </w:trPr>
        <w:tc>
          <w:tcPr>
            <w:tcW w:w="1702" w:type="dxa"/>
            <w:vMerge/>
            <w:tcBorders>
              <w:left w:val="single" w:sz="4" w:space="0" w:color="000000"/>
              <w:right w:val="single" w:sz="4" w:space="0" w:color="000000"/>
            </w:tcBorders>
            <w:shd w:val="clear" w:color="auto" w:fill="D2D2D2"/>
          </w:tcPr>
          <w:p>
            <w:pPr/>
          </w:p>
        </w:tc>
        <w:tc>
          <w:tcPr>
            <w:tcW w:w="1277" w:type="dxa"/>
            <w:tcBorders>
              <w:top w:val="single" w:sz="4" w:space="0" w:color="000000"/>
              <w:left w:val="single" w:sz="4" w:space="0" w:color="000000"/>
              <w:bottom w:val="nil" w:sz="6" w:space="0" w:color="auto"/>
              <w:right w:val="single" w:sz="4" w:space="0" w:color="000000"/>
            </w:tcBorders>
          </w:tcPr>
          <w:p>
            <w:pPr/>
          </w:p>
        </w:tc>
        <w:tc>
          <w:tcPr>
            <w:tcW w:w="850" w:type="dxa"/>
            <w:tcBorders>
              <w:top w:val="single" w:sz="4" w:space="0" w:color="000000"/>
              <w:left w:val="single" w:sz="4" w:space="0" w:color="000000"/>
              <w:bottom w:val="nil" w:sz="6" w:space="0" w:color="auto"/>
              <w:right w:val="single" w:sz="4" w:space="0" w:color="000000"/>
            </w:tcBorders>
          </w:tcPr>
          <w:p>
            <w:pPr/>
          </w:p>
        </w:tc>
        <w:tc>
          <w:tcPr>
            <w:tcW w:w="518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本次交易的交易对方承诺：</w:t>
            </w:r>
            <w:r>
              <w:rPr>
                <w:rFonts w:ascii="Times New Roman" w:hAnsi="Times New Roman" w:cs="Times New Roman" w:eastAsia="Times New Roman" w:hint="default"/>
                <w:sz w:val="18"/>
                <w:szCs w:val="18"/>
              </w:rPr>
              <w:t>1</w:t>
            </w:r>
            <w:r>
              <w:rPr>
                <w:rFonts w:ascii="宋体" w:hAnsi="宋体" w:cs="宋体" w:eastAsia="宋体" w:hint="default"/>
                <w:sz w:val="18"/>
                <w:szCs w:val="18"/>
              </w:rPr>
              <w:t>、上海树维及其分公司依法设立，且</w:t>
            </w:r>
          </w:p>
        </w:tc>
        <w:tc>
          <w:tcPr>
            <w:tcW w:w="1134" w:type="dxa"/>
            <w:tcBorders>
              <w:top w:val="single" w:sz="4" w:space="0" w:color="000000"/>
              <w:left w:val="single" w:sz="4" w:space="0" w:color="000000"/>
              <w:bottom w:val="nil" w:sz="6" w:space="0" w:color="auto"/>
              <w:right w:val="single" w:sz="4" w:space="0" w:color="000000"/>
            </w:tcBorders>
          </w:tcPr>
          <w:p>
            <w:pPr/>
          </w:p>
        </w:tc>
        <w:tc>
          <w:tcPr>
            <w:tcW w:w="1134" w:type="dxa"/>
            <w:tcBorders>
              <w:top w:val="single" w:sz="4" w:space="0" w:color="000000"/>
              <w:left w:val="single" w:sz="4" w:space="0" w:color="000000"/>
              <w:bottom w:val="nil" w:sz="6" w:space="0" w:color="auto"/>
              <w:right w:val="single" w:sz="4" w:space="0" w:color="000000"/>
            </w:tcBorders>
          </w:tcPr>
          <w:p>
            <w:pPr/>
          </w:p>
        </w:tc>
        <w:tc>
          <w:tcPr>
            <w:tcW w:w="3544" w:type="dxa"/>
            <w:tcBorders>
              <w:top w:val="single" w:sz="4" w:space="0" w:color="000000"/>
              <w:left w:val="single" w:sz="4" w:space="0" w:color="000000"/>
              <w:bottom w:val="nil" w:sz="6" w:space="0" w:color="auto"/>
              <w:right w:val="single" w:sz="4" w:space="0" w:color="000000"/>
            </w:tcBorders>
          </w:tcPr>
          <w:p>
            <w:pPr/>
          </w:p>
        </w:tc>
      </w:tr>
      <w:tr>
        <w:trPr>
          <w:trHeight w:val="307" w:hRule="exact"/>
        </w:trPr>
        <w:tc>
          <w:tcPr>
            <w:tcW w:w="1702" w:type="dxa"/>
            <w:vMerge/>
            <w:tcBorders>
              <w:left w:val="single" w:sz="4" w:space="0" w:color="000000"/>
              <w:right w:val="single" w:sz="4" w:space="0" w:color="000000"/>
            </w:tcBorders>
            <w:shd w:val="clear" w:color="auto" w:fill="D2D2D2"/>
          </w:tcPr>
          <w:p>
            <w:pPr/>
          </w:p>
        </w:tc>
        <w:tc>
          <w:tcPr>
            <w:tcW w:w="1277"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自设立以来持续合法经营；上海树维及其分公司的注册资本均已</w:t>
            </w:r>
          </w:p>
        </w:tc>
        <w:tc>
          <w:tcPr>
            <w:tcW w:w="1134"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c>
          <w:tcPr>
            <w:tcW w:w="354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由股东全额缴纳，上海树维及其分公司不存在出资不实或影响其</w:t>
            </w:r>
          </w:p>
        </w:tc>
        <w:tc>
          <w:tcPr>
            <w:tcW w:w="1134"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c>
          <w:tcPr>
            <w:tcW w:w="354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合法存续的情形；上海树维及其分公司的历次出资、股权转让及</w:t>
            </w:r>
          </w:p>
        </w:tc>
        <w:tc>
          <w:tcPr>
            <w:tcW w:w="1134"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c>
          <w:tcPr>
            <w:tcW w:w="354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其他公司变更均已取得主管部门的批准和内部决策机构的授权，</w:t>
            </w:r>
          </w:p>
        </w:tc>
        <w:tc>
          <w:tcPr>
            <w:tcW w:w="1134"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c>
          <w:tcPr>
            <w:tcW w:w="3544" w:type="dxa"/>
            <w:tcBorders>
              <w:top w:val="nil" w:sz="6" w:space="0" w:color="auto"/>
              <w:left w:val="single" w:sz="4" w:space="0" w:color="000000"/>
              <w:bottom w:val="nil" w:sz="6" w:space="0" w:color="auto"/>
              <w:right w:val="single" w:sz="4" w:space="0" w:color="000000"/>
            </w:tcBorders>
          </w:tcPr>
          <w:p>
            <w:pPr/>
          </w:p>
        </w:tc>
      </w:tr>
      <w:tr>
        <w:trPr>
          <w:trHeight w:val="302" w:hRule="exact"/>
        </w:trPr>
        <w:tc>
          <w:tcPr>
            <w:tcW w:w="1702" w:type="dxa"/>
            <w:vMerge/>
            <w:tcBorders>
              <w:left w:val="single" w:sz="4" w:space="0" w:color="000000"/>
              <w:right w:val="single" w:sz="4" w:space="0" w:color="000000"/>
            </w:tcBorders>
            <w:shd w:val="clear" w:color="auto" w:fill="D2D2D2"/>
          </w:tcPr>
          <w:p>
            <w:pPr/>
          </w:p>
        </w:tc>
        <w:tc>
          <w:tcPr>
            <w:tcW w:w="1277"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并已完成法律、法规、</w:t>
            </w:r>
          </w:p>
        </w:tc>
        <w:tc>
          <w:tcPr>
            <w:tcW w:w="1134"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c>
          <w:tcPr>
            <w:tcW w:w="3544" w:type="dxa"/>
            <w:tcBorders>
              <w:top w:val="nil" w:sz="6" w:space="0" w:color="auto"/>
              <w:left w:val="single" w:sz="4" w:space="0" w:color="000000"/>
              <w:bottom w:val="nil" w:sz="6" w:space="0" w:color="auto"/>
              <w:right w:val="single" w:sz="4" w:space="0" w:color="000000"/>
            </w:tcBorders>
          </w:tcPr>
          <w:p>
            <w:pPr/>
          </w:p>
        </w:tc>
      </w:tr>
      <w:tr>
        <w:trPr>
          <w:trHeight w:val="317" w:hRule="exact"/>
        </w:trPr>
        <w:tc>
          <w:tcPr>
            <w:tcW w:w="1702" w:type="dxa"/>
            <w:vMerge/>
            <w:tcBorders>
              <w:left w:val="single" w:sz="4" w:space="0" w:color="000000"/>
              <w:right w:val="single" w:sz="4" w:space="0" w:color="000000"/>
            </w:tcBorders>
            <w:shd w:val="clear" w:color="auto" w:fill="D2D2D2"/>
          </w:tcPr>
          <w:p>
            <w:pP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left="23" w:right="0"/>
              <w:jc w:val="left"/>
              <w:rPr>
                <w:rFonts w:ascii="宋体" w:hAnsi="宋体" w:cs="宋体" w:eastAsia="宋体" w:hint="default"/>
                <w:sz w:val="18"/>
                <w:szCs w:val="18"/>
              </w:rPr>
            </w:pPr>
            <w:r>
              <w:rPr>
                <w:rFonts w:ascii="宋体" w:hAnsi="宋体" w:cs="宋体" w:eastAsia="宋体" w:hint="default"/>
                <w:sz w:val="18"/>
                <w:szCs w:val="18"/>
              </w:rPr>
              <w:t>现金购买资产</w:t>
            </w:r>
          </w:p>
        </w:tc>
        <w:tc>
          <w:tcPr>
            <w:tcW w:w="850" w:type="dxa"/>
            <w:tcBorders>
              <w:top w:val="nil" w:sz="6" w:space="0" w:color="auto"/>
              <w:left w:val="single" w:sz="4" w:space="0" w:color="000000"/>
              <w:bottom w:val="nil" w:sz="6" w:space="0" w:color="auto"/>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20"/>
              <w:ind w:left="22" w:right="0"/>
              <w:jc w:val="left"/>
              <w:rPr>
                <w:rFonts w:ascii="宋体" w:hAnsi="宋体" w:cs="宋体" w:eastAsia="宋体" w:hint="default"/>
                <w:sz w:val="18"/>
                <w:szCs w:val="18"/>
              </w:rPr>
            </w:pPr>
            <w:r>
              <w:rPr>
                <w:rFonts w:ascii="宋体" w:hAnsi="宋体" w:cs="宋体" w:eastAsia="宋体" w:hint="default"/>
                <w:sz w:val="18"/>
                <w:szCs w:val="18"/>
              </w:rPr>
              <w:t>合法有效，有关出资款或股权</w:t>
            </w:r>
            <w:r>
              <w:rPr>
                <w:rFonts w:ascii="Times New Roman" w:hAnsi="Times New Roman" w:cs="Times New Roman" w:eastAsia="Times New Roman" w:hint="default"/>
                <w:sz w:val="18"/>
                <w:szCs w:val="18"/>
              </w:rPr>
              <w:t>/</w:t>
            </w:r>
            <w:r>
              <w:rPr>
                <w:rFonts w:ascii="宋体" w:hAnsi="宋体" w:cs="宋体" w:eastAsia="宋体" w:hint="default"/>
                <w:sz w:val="18"/>
                <w:szCs w:val="18"/>
              </w:rPr>
              <w:t>股份转让款均按时、足额支付，资</w:t>
            </w:r>
          </w:p>
        </w:tc>
        <w:tc>
          <w:tcPr>
            <w:tcW w:w="1134"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c>
          <w:tcPr>
            <w:tcW w:w="3544"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1702" w:type="dxa"/>
            <w:vMerge/>
            <w:tcBorders>
              <w:left w:val="single" w:sz="4" w:space="0" w:color="000000"/>
              <w:right w:val="single" w:sz="4" w:space="0" w:color="000000"/>
            </w:tcBorders>
            <w:shd w:val="clear" w:color="auto" w:fill="D2D2D2"/>
          </w:tcPr>
          <w:p>
            <w:pP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31" w:lineRule="exact"/>
              <w:ind w:left="23" w:right="0"/>
              <w:jc w:val="left"/>
              <w:rPr>
                <w:rFonts w:ascii="宋体" w:hAnsi="宋体" w:cs="宋体" w:eastAsia="宋体" w:hint="default"/>
                <w:sz w:val="18"/>
                <w:szCs w:val="18"/>
              </w:rPr>
            </w:pPr>
            <w:r>
              <w:rPr>
                <w:rFonts w:ascii="宋体" w:hAnsi="宋体" w:cs="宋体" w:eastAsia="宋体" w:hint="default"/>
                <w:sz w:val="18"/>
                <w:szCs w:val="18"/>
              </w:rPr>
              <w:t>的交易对方何</w:t>
            </w:r>
          </w:p>
        </w:tc>
        <w:tc>
          <w:tcPr>
            <w:tcW w:w="850" w:type="dxa"/>
            <w:tcBorders>
              <w:top w:val="nil" w:sz="6" w:space="0" w:color="auto"/>
              <w:left w:val="single" w:sz="4" w:space="0" w:color="000000"/>
              <w:bottom w:val="nil" w:sz="6" w:space="0" w:color="auto"/>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5"/>
              <w:ind w:left="22" w:right="0"/>
              <w:jc w:val="left"/>
              <w:rPr>
                <w:rFonts w:ascii="宋体" w:hAnsi="宋体" w:cs="宋体" w:eastAsia="宋体" w:hint="default"/>
                <w:sz w:val="18"/>
                <w:szCs w:val="18"/>
              </w:rPr>
            </w:pPr>
            <w:r>
              <w:rPr>
                <w:rFonts w:ascii="宋体" w:hAnsi="宋体" w:cs="宋体" w:eastAsia="宋体" w:hint="default"/>
                <w:sz w:val="18"/>
                <w:szCs w:val="18"/>
              </w:rPr>
              <w:t>金来源合法，并依法办理了必要的批准、登记或备案程序，不存</w:t>
            </w:r>
          </w:p>
        </w:tc>
        <w:tc>
          <w:tcPr>
            <w:tcW w:w="1134"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c>
          <w:tcPr>
            <w:tcW w:w="354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left="23" w:right="0"/>
              <w:jc w:val="left"/>
              <w:rPr>
                <w:rFonts w:ascii="宋体" w:hAnsi="宋体" w:cs="宋体" w:eastAsia="宋体" w:hint="default"/>
                <w:sz w:val="18"/>
                <w:szCs w:val="18"/>
              </w:rPr>
            </w:pPr>
            <w:r>
              <w:rPr>
                <w:rFonts w:ascii="宋体" w:hAnsi="宋体" w:cs="宋体" w:eastAsia="宋体" w:hint="default"/>
                <w:spacing w:val="-6"/>
                <w:sz w:val="18"/>
                <w:szCs w:val="18"/>
              </w:rPr>
              <w:t>伟、乔志刚、杨</w:t>
            </w:r>
          </w:p>
        </w:tc>
        <w:tc>
          <w:tcPr>
            <w:tcW w:w="850" w:type="dxa"/>
            <w:tcBorders>
              <w:top w:val="nil" w:sz="6" w:space="0" w:color="auto"/>
              <w:left w:val="single" w:sz="4" w:space="0" w:color="000000"/>
              <w:bottom w:val="nil" w:sz="6" w:space="0" w:color="auto"/>
              <w:right w:val="single" w:sz="4" w:space="0" w:color="000000"/>
            </w:tcBorders>
          </w:tcPr>
          <w:p>
            <w:pPr/>
          </w:p>
        </w:tc>
        <w:tc>
          <w:tcPr>
            <w:tcW w:w="5180" w:type="dxa"/>
            <w:tcBorders>
              <w:top w:val="nil" w:sz="6" w:space="0" w:color="auto"/>
              <w:left w:val="single" w:sz="4" w:space="0" w:color="000000"/>
              <w:bottom w:val="nil" w:sz="6" w:space="0" w:color="auto"/>
              <w:right w:val="single" w:sz="9" w:space="0" w:color="FFFFFF"/>
            </w:tcBorders>
          </w:tcPr>
          <w:p>
            <w:pPr>
              <w:pStyle w:val="TableParagraph"/>
              <w:spacing w:line="240" w:lineRule="auto" w:before="20"/>
              <w:ind w:left="22" w:right="0"/>
              <w:jc w:val="left"/>
              <w:rPr>
                <w:rFonts w:ascii="宋体" w:hAnsi="宋体" w:cs="宋体" w:eastAsia="宋体" w:hint="default"/>
                <w:sz w:val="18"/>
                <w:szCs w:val="18"/>
              </w:rPr>
            </w:pPr>
            <w:r>
              <w:rPr>
                <w:rFonts w:ascii="宋体" w:hAnsi="宋体" w:cs="宋体" w:eastAsia="宋体" w:hint="default"/>
                <w:sz w:val="18"/>
                <w:szCs w:val="18"/>
              </w:rPr>
              <w:t>在任何虚假出资、抽逃出资等违反股东所应当承担的义务及责任</w:t>
            </w:r>
          </w:p>
        </w:tc>
        <w:tc>
          <w:tcPr>
            <w:tcW w:w="1134" w:type="dxa"/>
            <w:tcBorders>
              <w:top w:val="nil" w:sz="6" w:space="0" w:color="auto"/>
              <w:left w:val="single" w:sz="9" w:space="0" w:color="FFFFFF"/>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c>
          <w:tcPr>
            <w:tcW w:w="3544" w:type="dxa"/>
            <w:tcBorders>
              <w:top w:val="nil" w:sz="6" w:space="0" w:color="auto"/>
              <w:left w:val="single" w:sz="4" w:space="0" w:color="000000"/>
              <w:bottom w:val="nil" w:sz="6" w:space="0" w:color="auto"/>
              <w:right w:val="single" w:sz="4" w:space="0" w:color="000000"/>
            </w:tcBorders>
          </w:tcPr>
          <w:p>
            <w:pPr/>
          </w:p>
        </w:tc>
      </w:tr>
      <w:tr>
        <w:trPr>
          <w:trHeight w:val="624" w:hRule="exact"/>
        </w:trPr>
        <w:tc>
          <w:tcPr>
            <w:tcW w:w="1702" w:type="dxa"/>
            <w:vMerge/>
            <w:tcBorders>
              <w:left w:val="single" w:sz="4" w:space="0" w:color="000000"/>
              <w:right w:val="single" w:sz="4" w:space="0" w:color="000000"/>
            </w:tcBorders>
            <w:shd w:val="clear" w:color="auto" w:fill="D2D2D2"/>
          </w:tcPr>
          <w:p>
            <w:pP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316" w:lineRule="auto" w:before="1"/>
              <w:ind w:left="23" w:right="22"/>
              <w:jc w:val="left"/>
              <w:rPr>
                <w:rFonts w:ascii="宋体" w:hAnsi="宋体" w:cs="宋体" w:eastAsia="宋体" w:hint="default"/>
                <w:sz w:val="18"/>
                <w:szCs w:val="18"/>
              </w:rPr>
            </w:pPr>
            <w:r>
              <w:rPr>
                <w:rFonts w:ascii="宋体" w:hAnsi="宋体" w:cs="宋体" w:eastAsia="宋体" w:hint="default"/>
                <w:spacing w:val="-6"/>
                <w:sz w:val="18"/>
                <w:szCs w:val="18"/>
              </w:rPr>
              <w:t>宏生、周华、王</w:t>
            </w:r>
            <w:r>
              <w:rPr>
                <w:rFonts w:ascii="宋体" w:hAnsi="宋体" w:cs="宋体" w:eastAsia="宋体" w:hint="default"/>
                <w:sz w:val="18"/>
                <w:szCs w:val="18"/>
              </w:rPr>
              <w:t> </w:t>
            </w:r>
            <w:r>
              <w:rPr>
                <w:rFonts w:ascii="宋体" w:hAnsi="宋体" w:cs="宋体" w:eastAsia="宋体" w:hint="default"/>
                <w:spacing w:val="-6"/>
                <w:sz w:val="18"/>
                <w:szCs w:val="18"/>
              </w:rPr>
              <w:t>建成、吴琼、上</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before="157"/>
              <w:ind w:left="22" w:right="0"/>
              <w:jc w:val="left"/>
              <w:rPr>
                <w:rFonts w:ascii="宋体" w:hAnsi="宋体" w:cs="宋体" w:eastAsia="宋体" w:hint="default"/>
                <w:sz w:val="18"/>
                <w:szCs w:val="18"/>
              </w:rPr>
            </w:pPr>
            <w:r>
              <w:rPr>
                <w:rFonts w:ascii="宋体" w:hAnsi="宋体" w:cs="宋体" w:eastAsia="宋体" w:hint="default"/>
                <w:sz w:val="18"/>
                <w:szCs w:val="18"/>
              </w:rPr>
              <w:t>其他承诺</w:t>
            </w:r>
          </w:p>
        </w:tc>
        <w:tc>
          <w:tcPr>
            <w:tcW w:w="5180" w:type="dxa"/>
            <w:tcBorders>
              <w:top w:val="nil" w:sz="6" w:space="0" w:color="auto"/>
              <w:left w:val="single" w:sz="4" w:space="0" w:color="000000"/>
              <w:bottom w:val="nil" w:sz="6" w:space="0" w:color="auto"/>
              <w:right w:val="single" w:sz="9" w:space="0" w:color="FFFFFF"/>
            </w:tcBorders>
          </w:tcPr>
          <w:p>
            <w:pPr>
              <w:pStyle w:val="TableParagraph"/>
              <w:spacing w:line="316" w:lineRule="auto" w:before="20"/>
              <w:ind w:left="22" w:right="-39"/>
              <w:jc w:val="left"/>
              <w:rPr>
                <w:rFonts w:ascii="宋体" w:hAnsi="宋体" w:cs="宋体" w:eastAsia="宋体" w:hint="default"/>
                <w:sz w:val="18"/>
                <w:szCs w:val="18"/>
              </w:rPr>
            </w:pPr>
            <w:r>
              <w:rPr>
                <w:rFonts w:ascii="宋体" w:hAnsi="宋体" w:cs="宋体" w:eastAsia="宋体" w:hint="default"/>
                <w:spacing w:val="-2"/>
                <w:sz w:val="18"/>
                <w:szCs w:val="18"/>
              </w:rPr>
              <w:t>的行为，不存在虚假转让、以合法形式掩盖非法目的等违法情况；</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上海树维及其分公司不存在依据有关法律规定及其章程需要终止</w:t>
            </w:r>
          </w:p>
        </w:tc>
        <w:tc>
          <w:tcPr>
            <w:tcW w:w="1134" w:type="dxa"/>
            <w:tcBorders>
              <w:top w:val="nil" w:sz="6" w:space="0" w:color="auto"/>
              <w:left w:val="single" w:sz="9" w:space="0" w:color="FFFFFF"/>
              <w:bottom w:val="nil" w:sz="6" w:space="0" w:color="auto"/>
              <w:right w:val="single" w:sz="4" w:space="0" w:color="000000"/>
            </w:tcBorders>
          </w:tcPr>
          <w:p>
            <w:pPr>
              <w:pStyle w:val="TableParagraph"/>
              <w:spacing w:line="240" w:lineRule="auto" w:before="1"/>
              <w:ind w:left="1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4"/>
              <w:ind w:left="1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34"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r>
              <w:rPr>
                <w:rFonts w:ascii="Times New Roman" w:hAnsi="Times New Roman" w:cs="Times New Roman" w:eastAsia="Times New Roman" w:hint="default"/>
                <w:sz w:val="18"/>
                <w:szCs w:val="18"/>
              </w:rPr>
              <w:t>-</w:t>
            </w:r>
            <w:r>
              <w:rPr>
                <w:rFonts w:ascii="宋体" w:hAnsi="宋体" w:cs="宋体" w:eastAsia="宋体" w:hint="default"/>
                <w:sz w:val="18"/>
                <w:szCs w:val="18"/>
              </w:rPr>
              <w:t>长期有效</w:t>
            </w:r>
          </w:p>
        </w:tc>
        <w:tc>
          <w:tcPr>
            <w:tcW w:w="3544" w:type="dxa"/>
            <w:tcBorders>
              <w:top w:val="nil" w:sz="6" w:space="0" w:color="auto"/>
              <w:left w:val="single" w:sz="4" w:space="0" w:color="000000"/>
              <w:bottom w:val="nil" w:sz="6" w:space="0" w:color="auto"/>
              <w:right w:val="single" w:sz="4" w:space="0" w:color="000000"/>
            </w:tcBorders>
          </w:tcPr>
          <w:p>
            <w:pPr>
              <w:pStyle w:val="TableParagraph"/>
              <w:spacing w:line="319" w:lineRule="auto" w:before="1"/>
              <w:ind w:left="22" w:right="89"/>
              <w:jc w:val="left"/>
              <w:rPr>
                <w:rFonts w:ascii="宋体" w:hAnsi="宋体" w:cs="宋体" w:eastAsia="宋体" w:hint="default"/>
                <w:sz w:val="18"/>
                <w:szCs w:val="18"/>
              </w:rPr>
            </w:pPr>
            <w:r>
              <w:rPr>
                <w:rFonts w:ascii="宋体" w:hAnsi="宋体" w:cs="宋体" w:eastAsia="宋体" w:hint="default"/>
                <w:sz w:val="18"/>
                <w:szCs w:val="18"/>
              </w:rPr>
              <w:t>截至报告期末，上述承诺人严格信守承诺， 未发生违反承诺的情况。</w:t>
            </w: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left="23" w:right="0"/>
              <w:jc w:val="left"/>
              <w:rPr>
                <w:rFonts w:ascii="宋体" w:hAnsi="宋体" w:cs="宋体" w:eastAsia="宋体" w:hint="default"/>
                <w:sz w:val="18"/>
                <w:szCs w:val="18"/>
              </w:rPr>
            </w:pPr>
            <w:r>
              <w:rPr>
                <w:rFonts w:ascii="宋体" w:hAnsi="宋体" w:cs="宋体" w:eastAsia="宋体" w:hint="default"/>
                <w:sz w:val="18"/>
                <w:szCs w:val="18"/>
              </w:rPr>
              <w:t>海君略投资管</w:t>
            </w:r>
          </w:p>
        </w:tc>
        <w:tc>
          <w:tcPr>
            <w:tcW w:w="850" w:type="dxa"/>
            <w:tcBorders>
              <w:top w:val="nil" w:sz="6" w:space="0" w:color="auto"/>
              <w:left w:val="single" w:sz="4" w:space="0" w:color="000000"/>
              <w:bottom w:val="nil" w:sz="6" w:space="0" w:color="auto"/>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20"/>
              <w:ind w:left="22" w:right="0"/>
              <w:jc w:val="left"/>
              <w:rPr>
                <w:rFonts w:ascii="宋体" w:hAnsi="宋体" w:cs="宋体" w:eastAsia="宋体" w:hint="default"/>
                <w:sz w:val="18"/>
                <w:szCs w:val="18"/>
              </w:rPr>
            </w:pPr>
            <w:r>
              <w:rPr>
                <w:rFonts w:ascii="宋体" w:hAnsi="宋体" w:cs="宋体" w:eastAsia="宋体" w:hint="default"/>
                <w:sz w:val="18"/>
                <w:szCs w:val="18"/>
              </w:rPr>
              <w:t>的情形；提供的关于上海树维及其分公司合法存续以及设立以来</w:t>
            </w:r>
          </w:p>
        </w:tc>
        <w:tc>
          <w:tcPr>
            <w:tcW w:w="1134"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c>
          <w:tcPr>
            <w:tcW w:w="3544" w:type="dxa"/>
            <w:tcBorders>
              <w:top w:val="nil" w:sz="6" w:space="0" w:color="auto"/>
              <w:left w:val="single" w:sz="4" w:space="0" w:color="000000"/>
              <w:bottom w:val="nil" w:sz="6" w:space="0" w:color="auto"/>
              <w:right w:val="single" w:sz="4" w:space="0" w:color="000000"/>
            </w:tcBorders>
          </w:tcPr>
          <w:p>
            <w:pPr/>
          </w:p>
        </w:tc>
      </w:tr>
      <w:tr>
        <w:trPr>
          <w:trHeight w:val="313" w:hRule="exact"/>
        </w:trPr>
        <w:tc>
          <w:tcPr>
            <w:tcW w:w="1702" w:type="dxa"/>
            <w:vMerge/>
            <w:tcBorders>
              <w:left w:val="single" w:sz="4" w:space="0" w:color="000000"/>
              <w:right w:val="single" w:sz="4" w:space="0" w:color="000000"/>
            </w:tcBorders>
            <w:shd w:val="clear" w:color="auto" w:fill="D2D2D2"/>
          </w:tcPr>
          <w:p>
            <w:pP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left="23" w:right="0"/>
              <w:jc w:val="left"/>
              <w:rPr>
                <w:rFonts w:ascii="宋体" w:hAnsi="宋体" w:cs="宋体" w:eastAsia="宋体" w:hint="default"/>
                <w:sz w:val="18"/>
                <w:szCs w:val="18"/>
              </w:rPr>
            </w:pPr>
            <w:r>
              <w:rPr>
                <w:rFonts w:ascii="宋体" w:hAnsi="宋体" w:cs="宋体" w:eastAsia="宋体" w:hint="default"/>
                <w:spacing w:val="-6"/>
                <w:sz w:val="18"/>
                <w:szCs w:val="18"/>
              </w:rPr>
              <w:t>理合伙企业（有</w:t>
            </w:r>
          </w:p>
        </w:tc>
        <w:tc>
          <w:tcPr>
            <w:tcW w:w="850" w:type="dxa"/>
            <w:tcBorders>
              <w:top w:val="nil" w:sz="6" w:space="0" w:color="auto"/>
              <w:left w:val="single" w:sz="4" w:space="0" w:color="000000"/>
              <w:bottom w:val="nil" w:sz="6" w:space="0" w:color="auto"/>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20"/>
              <w:ind w:left="22" w:right="0"/>
              <w:jc w:val="left"/>
              <w:rPr>
                <w:rFonts w:ascii="宋体" w:hAnsi="宋体" w:cs="宋体" w:eastAsia="宋体" w:hint="default"/>
                <w:sz w:val="18"/>
                <w:szCs w:val="18"/>
              </w:rPr>
            </w:pPr>
            <w:r>
              <w:rPr>
                <w:rFonts w:ascii="宋体" w:hAnsi="宋体" w:cs="宋体" w:eastAsia="宋体" w:hint="default"/>
                <w:sz w:val="18"/>
                <w:szCs w:val="18"/>
              </w:rPr>
              <w:t>股权变动的相关资料及说明是真实、准确、完整的，没有任何隐</w:t>
            </w:r>
          </w:p>
        </w:tc>
        <w:tc>
          <w:tcPr>
            <w:tcW w:w="1134"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c>
          <w:tcPr>
            <w:tcW w:w="3544" w:type="dxa"/>
            <w:tcBorders>
              <w:top w:val="nil" w:sz="6" w:space="0" w:color="auto"/>
              <w:left w:val="single" w:sz="4" w:space="0" w:color="000000"/>
              <w:bottom w:val="nil" w:sz="6" w:space="0" w:color="auto"/>
              <w:right w:val="single" w:sz="4" w:space="0" w:color="000000"/>
            </w:tcBorders>
          </w:tcPr>
          <w:p>
            <w:pPr/>
          </w:p>
        </w:tc>
      </w:tr>
      <w:tr>
        <w:trPr>
          <w:trHeight w:val="326" w:hRule="exact"/>
        </w:trPr>
        <w:tc>
          <w:tcPr>
            <w:tcW w:w="1702" w:type="dxa"/>
            <w:vMerge/>
            <w:tcBorders>
              <w:left w:val="single" w:sz="4" w:space="0" w:color="000000"/>
              <w:right w:val="single" w:sz="4" w:space="0" w:color="000000"/>
            </w:tcBorders>
            <w:shd w:val="clear" w:color="auto" w:fill="D2D2D2"/>
          </w:tcPr>
          <w:p>
            <w:pP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left="23" w:right="0"/>
              <w:jc w:val="left"/>
              <w:rPr>
                <w:rFonts w:ascii="宋体" w:hAnsi="宋体" w:cs="宋体" w:eastAsia="宋体" w:hint="default"/>
                <w:sz w:val="18"/>
                <w:szCs w:val="18"/>
              </w:rPr>
            </w:pPr>
            <w:r>
              <w:rPr>
                <w:rFonts w:ascii="宋体" w:hAnsi="宋体" w:cs="宋体" w:eastAsia="宋体" w:hint="default"/>
                <w:sz w:val="18"/>
                <w:szCs w:val="18"/>
              </w:rPr>
              <w:t>限合伙）</w:t>
            </w:r>
          </w:p>
        </w:tc>
        <w:tc>
          <w:tcPr>
            <w:tcW w:w="850" w:type="dxa"/>
            <w:tcBorders>
              <w:top w:val="nil" w:sz="6" w:space="0" w:color="auto"/>
              <w:left w:val="single" w:sz="4" w:space="0" w:color="000000"/>
              <w:bottom w:val="nil" w:sz="6" w:space="0" w:color="auto"/>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9"/>
              <w:ind w:left="22" w:right="0"/>
              <w:jc w:val="left"/>
              <w:rPr>
                <w:rFonts w:ascii="宋体" w:hAnsi="宋体" w:cs="宋体" w:eastAsia="宋体" w:hint="default"/>
                <w:sz w:val="18"/>
                <w:szCs w:val="18"/>
              </w:rPr>
            </w:pPr>
            <w:r>
              <w:rPr>
                <w:rFonts w:ascii="宋体" w:hAnsi="宋体" w:cs="宋体" w:eastAsia="宋体" w:hint="default"/>
                <w:sz w:val="18"/>
                <w:szCs w:val="18"/>
              </w:rPr>
              <w:t>瞒或重大误导。</w:t>
            </w:r>
            <w:r>
              <w:rPr>
                <w:rFonts w:ascii="Times New Roman" w:hAnsi="Times New Roman" w:cs="Times New Roman" w:eastAsia="Times New Roman" w:hint="default"/>
                <w:sz w:val="18"/>
                <w:szCs w:val="18"/>
              </w:rPr>
              <w:t>2</w:t>
            </w:r>
            <w:r>
              <w:rPr>
                <w:rFonts w:ascii="宋体" w:hAnsi="宋体" w:cs="宋体" w:eastAsia="宋体" w:hint="default"/>
                <w:sz w:val="18"/>
                <w:szCs w:val="18"/>
              </w:rPr>
              <w:t>、上海树维及其分公司不存在任何尚未审批（如</w:t>
            </w:r>
          </w:p>
        </w:tc>
        <w:tc>
          <w:tcPr>
            <w:tcW w:w="1134"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c>
          <w:tcPr>
            <w:tcW w:w="3544"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1702" w:type="dxa"/>
            <w:vMerge/>
            <w:tcBorders>
              <w:left w:val="single" w:sz="4" w:space="0" w:color="000000"/>
              <w:right w:val="single" w:sz="4" w:space="0" w:color="000000"/>
            </w:tcBorders>
            <w:shd w:val="clear" w:color="auto" w:fill="D2D2D2"/>
          </w:tcPr>
          <w:p>
            <w:pPr/>
          </w:p>
        </w:tc>
        <w:tc>
          <w:tcPr>
            <w:tcW w:w="1277"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需）或备案登记的股东或第三人向上海树维及其分公司投资（包</w:t>
            </w:r>
          </w:p>
        </w:tc>
        <w:tc>
          <w:tcPr>
            <w:tcW w:w="1134"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c>
          <w:tcPr>
            <w:tcW w:w="354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括但不限于增资、股权转让）的合同、协议、相关文件或相关安</w:t>
            </w:r>
          </w:p>
        </w:tc>
        <w:tc>
          <w:tcPr>
            <w:tcW w:w="1134"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c>
          <w:tcPr>
            <w:tcW w:w="354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排；除了法律法规明文赋予的权利且已向新开普披露的情形外，</w:t>
            </w:r>
          </w:p>
        </w:tc>
        <w:tc>
          <w:tcPr>
            <w:tcW w:w="1134"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c>
          <w:tcPr>
            <w:tcW w:w="354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不存在任何约定上海树维及其分公司与其股东之间权利义务（包</w:t>
            </w:r>
          </w:p>
        </w:tc>
        <w:tc>
          <w:tcPr>
            <w:tcW w:w="1134"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c>
          <w:tcPr>
            <w:tcW w:w="3544"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括但不限于优先购买、优先认购、股权回售和赎回、优先清算、</w:t>
            </w:r>
          </w:p>
        </w:tc>
        <w:tc>
          <w:tcPr>
            <w:tcW w:w="1134"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c>
          <w:tcPr>
            <w:tcW w:w="3544" w:type="dxa"/>
            <w:tcBorders>
              <w:top w:val="nil" w:sz="6" w:space="0" w:color="auto"/>
              <w:left w:val="single" w:sz="4" w:space="0" w:color="000000"/>
              <w:bottom w:val="nil" w:sz="6" w:space="0" w:color="auto"/>
              <w:right w:val="single" w:sz="4" w:space="0" w:color="000000"/>
            </w:tcBorders>
          </w:tcPr>
          <w:p>
            <w:pPr/>
          </w:p>
        </w:tc>
      </w:tr>
      <w:tr>
        <w:trPr>
          <w:trHeight w:val="318" w:hRule="exact"/>
        </w:trPr>
        <w:tc>
          <w:tcPr>
            <w:tcW w:w="1702" w:type="dxa"/>
            <w:vMerge/>
            <w:tcBorders>
              <w:left w:val="single" w:sz="4" w:space="0" w:color="000000"/>
              <w:bottom w:val="single" w:sz="4" w:space="0" w:color="000000"/>
              <w:right w:val="single" w:sz="4" w:space="0" w:color="000000"/>
            </w:tcBorders>
            <w:shd w:val="clear" w:color="auto" w:fill="D2D2D2"/>
          </w:tcPr>
          <w:p>
            <w:pPr/>
          </w:p>
        </w:tc>
        <w:tc>
          <w:tcPr>
            <w:tcW w:w="1277" w:type="dxa"/>
            <w:tcBorders>
              <w:top w:val="nil" w:sz="6" w:space="0" w:color="auto"/>
              <w:left w:val="single" w:sz="4" w:space="0" w:color="000000"/>
              <w:bottom w:val="single" w:sz="4" w:space="0" w:color="000000"/>
              <w:right w:val="single" w:sz="4" w:space="0" w:color="000000"/>
            </w:tcBorders>
          </w:tcPr>
          <w:p>
            <w:pPr/>
          </w:p>
        </w:tc>
        <w:tc>
          <w:tcPr>
            <w:tcW w:w="850" w:type="dxa"/>
            <w:tcBorders>
              <w:top w:val="nil" w:sz="6" w:space="0" w:color="auto"/>
              <w:left w:val="single" w:sz="4" w:space="0" w:color="000000"/>
              <w:bottom w:val="single" w:sz="4" w:space="0" w:color="000000"/>
              <w:right w:val="single" w:sz="4" w:space="0" w:color="000000"/>
            </w:tcBorders>
          </w:tcPr>
          <w:p>
            <w:pPr/>
          </w:p>
        </w:tc>
        <w:tc>
          <w:tcPr>
            <w:tcW w:w="518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股权调整以及其他任何形式的股权或现金补偿等）的合同、</w:t>
            </w:r>
          </w:p>
        </w:tc>
        <w:tc>
          <w:tcPr>
            <w:tcW w:w="1134" w:type="dxa"/>
            <w:tcBorders>
              <w:top w:val="nil" w:sz="6" w:space="0" w:color="auto"/>
              <w:left w:val="single" w:sz="4" w:space="0" w:color="000000"/>
              <w:bottom w:val="single" w:sz="4" w:space="0" w:color="000000"/>
              <w:right w:val="single" w:sz="4" w:space="0" w:color="000000"/>
            </w:tcBorders>
          </w:tcPr>
          <w:p>
            <w:pPr/>
          </w:p>
        </w:tc>
        <w:tc>
          <w:tcPr>
            <w:tcW w:w="1134" w:type="dxa"/>
            <w:tcBorders>
              <w:top w:val="nil" w:sz="6" w:space="0" w:color="auto"/>
              <w:left w:val="single" w:sz="4" w:space="0" w:color="000000"/>
              <w:bottom w:val="single" w:sz="4" w:space="0" w:color="000000"/>
              <w:right w:val="single" w:sz="4" w:space="0" w:color="000000"/>
            </w:tcBorders>
          </w:tcPr>
          <w:p>
            <w:pPr/>
          </w:p>
        </w:tc>
        <w:tc>
          <w:tcPr>
            <w:tcW w:w="3544" w:type="dxa"/>
            <w:tcBorders>
              <w:top w:val="nil" w:sz="6" w:space="0" w:color="auto"/>
              <w:left w:val="single" w:sz="4" w:space="0" w:color="000000"/>
              <w:bottom w:val="single" w:sz="4" w:space="0" w:color="000000"/>
              <w:right w:val="single" w:sz="4" w:space="0" w:color="000000"/>
            </w:tcBorders>
          </w:tcPr>
          <w:p>
            <w:pPr/>
          </w:p>
        </w:tc>
      </w:tr>
    </w:tbl>
    <w:p>
      <w:pPr>
        <w:spacing w:after="0"/>
        <w:sectPr>
          <w:pgSz w:w="16840" w:h="11910" w:orient="landscape"/>
          <w:pgMar w:header="867" w:footer="979" w:top="1060" w:bottom="1160" w:left="900" w:right="880"/>
        </w:sectPr>
      </w:pPr>
    </w:p>
    <w:p>
      <w:pPr>
        <w:spacing w:line="240" w:lineRule="auto" w:before="4"/>
        <w:rPr>
          <w:rFonts w:ascii="Times New Roman" w:hAnsi="Times New Roman" w:cs="Times New Roman" w:eastAsia="Times New Roman" w:hint="default"/>
          <w:sz w:val="3"/>
          <w:szCs w:val="3"/>
        </w:rPr>
      </w:pPr>
      <w:r>
        <w:rPr/>
        <w:pict>
          <v:shape style="position:absolute;margin-left:495.220001pt;margin-top:57.180008pt;width:62.35pt;height:468.1pt;mso-position-horizontal-relative:page;mso-position-vertical-relative:page;z-index:-1222192" type="#_x0000_t202" filled="false" stroked="false">
            <v:textbox inset="0,0,0,0">
              <w:txbxContent>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20"/>
                      <w:szCs w:val="20"/>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w:t>
                  </w: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11"/>
                    <w:rPr>
                      <w:rFonts w:ascii="Times New Roman" w:hAnsi="Times New Roman" w:cs="Times New Roman" w:eastAsia="Times New Roman" w:hint="default"/>
                      <w:sz w:val="24"/>
                      <w:szCs w:val="24"/>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w:t>
                  </w:r>
                </w:p>
              </w:txbxContent>
            </v:textbox>
            <w10:wrap type="none"/>
          </v:shape>
        </w:pict>
      </w:r>
    </w:p>
    <w:tbl>
      <w:tblPr>
        <w:tblW w:w="0" w:type="auto"/>
        <w:jc w:val="left"/>
        <w:tblInd w:w="109" w:type="dxa"/>
        <w:tblLayout w:type="fixed"/>
        <w:tblCellMar>
          <w:top w:w="0" w:type="dxa"/>
          <w:left w:w="0" w:type="dxa"/>
          <w:bottom w:w="0" w:type="dxa"/>
          <w:right w:w="0" w:type="dxa"/>
        </w:tblCellMar>
        <w:tblLook w:val="01E0"/>
      </w:tblPr>
      <w:tblGrid>
        <w:gridCol w:w="1702"/>
        <w:gridCol w:w="1277"/>
        <w:gridCol w:w="850"/>
        <w:gridCol w:w="5180"/>
        <w:gridCol w:w="1134"/>
        <w:gridCol w:w="1134"/>
        <w:gridCol w:w="3544"/>
      </w:tblGrid>
      <w:tr>
        <w:trPr>
          <w:trHeight w:val="332" w:hRule="exact"/>
        </w:trPr>
        <w:tc>
          <w:tcPr>
            <w:tcW w:w="1702" w:type="dxa"/>
            <w:vMerge w:val="restart"/>
            <w:tcBorders>
              <w:top w:val="single" w:sz="15" w:space="0" w:color="000000"/>
              <w:left w:val="single" w:sz="4" w:space="0" w:color="000000"/>
              <w:right w:val="single" w:sz="4" w:space="0" w:color="000000"/>
            </w:tcBorders>
            <w:shd w:val="clear" w:color="auto" w:fill="D2D2D2"/>
          </w:tcPr>
          <w:p>
            <w:pPr/>
          </w:p>
        </w:tc>
        <w:tc>
          <w:tcPr>
            <w:tcW w:w="1277" w:type="dxa"/>
            <w:vMerge w:val="restart"/>
            <w:tcBorders>
              <w:top w:val="single" w:sz="15" w:space="0" w:color="000000"/>
              <w:left w:val="single" w:sz="4" w:space="0" w:color="000000"/>
              <w:right w:val="single" w:sz="4" w:space="0" w:color="000000"/>
            </w:tcBorders>
          </w:tcPr>
          <w:p>
            <w:pPr/>
          </w:p>
        </w:tc>
        <w:tc>
          <w:tcPr>
            <w:tcW w:w="850" w:type="dxa"/>
            <w:vMerge w:val="restart"/>
            <w:tcBorders>
              <w:top w:val="single" w:sz="15" w:space="0" w:color="000000"/>
              <w:left w:val="single" w:sz="4" w:space="0" w:color="000000"/>
              <w:right w:val="single" w:sz="4" w:space="0" w:color="000000"/>
            </w:tcBorders>
          </w:tcPr>
          <w:p>
            <w:pPr/>
          </w:p>
        </w:tc>
        <w:tc>
          <w:tcPr>
            <w:tcW w:w="5180" w:type="dxa"/>
            <w:tcBorders>
              <w:top w:val="single" w:sz="15" w:space="0" w:color="000000"/>
              <w:left w:val="single" w:sz="4" w:space="0" w:color="000000"/>
              <w:bottom w:val="nil" w:sz="6" w:space="0" w:color="auto"/>
              <w:right w:val="single" w:sz="4" w:space="0" w:color="000000"/>
            </w:tcBorders>
          </w:tcPr>
          <w:p>
            <w:pPr>
              <w:pStyle w:val="TableParagraph"/>
              <w:spacing w:line="240" w:lineRule="auto" w:before="10"/>
              <w:ind w:right="82"/>
              <w:jc w:val="center"/>
              <w:rPr>
                <w:rFonts w:ascii="宋体" w:hAnsi="宋体" w:cs="宋体" w:eastAsia="宋体" w:hint="default"/>
                <w:sz w:val="18"/>
                <w:szCs w:val="18"/>
              </w:rPr>
            </w:pPr>
            <w:r>
              <w:rPr>
                <w:rFonts w:ascii="宋体" w:hAnsi="宋体" w:cs="宋体" w:eastAsia="宋体" w:hint="default"/>
                <w:sz w:val="18"/>
                <w:szCs w:val="18"/>
              </w:rPr>
              <w:t>相关文件或相关安排；上海树维及其分公司不存在其他任何如果</w:t>
            </w:r>
          </w:p>
        </w:tc>
        <w:tc>
          <w:tcPr>
            <w:tcW w:w="1134" w:type="dxa"/>
            <w:vMerge w:val="restart"/>
            <w:tcBorders>
              <w:top w:val="single" w:sz="15" w:space="0" w:color="000000"/>
              <w:left w:val="single" w:sz="4" w:space="0" w:color="000000"/>
              <w:right w:val="single" w:sz="4" w:space="0" w:color="000000"/>
            </w:tcBorders>
          </w:tcPr>
          <w:p>
            <w:pPr>
              <w:pStyle w:val="TableParagraph"/>
              <w:spacing w:line="9361" w:lineRule="exact"/>
              <w:ind w:right="-51"/>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86"/>
                <w:sz w:val="20"/>
                <w:szCs w:val="20"/>
              </w:rPr>
              <w:pict>
                <v:group style="width:56.25pt;height:468.1pt;mso-position-horizontal-relative:char;mso-position-vertical-relative:line" coordorigin="0,0" coordsize="1125,9362">
                  <v:group style="position:absolute;left:0;top:0;width:1125;height:9362" coordorigin="0,0" coordsize="1125,9362">
                    <v:shape style="position:absolute;left:0;top:0;width:1125;height:9362" coordorigin="0,0" coordsize="1125,9362" path="m0,9361l1124,9361,1124,0,0,0,0,9361xe" filled="true" fillcolor="#ffffff" stroked="false">
                      <v:path arrowok="t"/>
                      <v:fill type="solid"/>
                    </v:shape>
                  </v:group>
                </v:group>
              </w:pict>
            </w:r>
            <w:r>
              <w:rPr>
                <w:rFonts w:ascii="Times New Roman" w:hAnsi="Times New Roman" w:cs="Times New Roman" w:eastAsia="Times New Roman" w:hint="default"/>
                <w:position w:val="-186"/>
                <w:sz w:val="20"/>
                <w:szCs w:val="20"/>
              </w:rPr>
            </w:r>
          </w:p>
        </w:tc>
        <w:tc>
          <w:tcPr>
            <w:tcW w:w="1134" w:type="dxa"/>
            <w:vMerge w:val="restart"/>
            <w:tcBorders>
              <w:top w:val="single" w:sz="15" w:space="0" w:color="000000"/>
              <w:left w:val="single" w:sz="4" w:space="0" w:color="000000"/>
              <w:right w:val="single" w:sz="4" w:space="0" w:color="000000"/>
            </w:tcBorders>
          </w:tcPr>
          <w:p>
            <w:pPr/>
          </w:p>
        </w:tc>
        <w:tc>
          <w:tcPr>
            <w:tcW w:w="3544" w:type="dxa"/>
            <w:vMerge w:val="restart"/>
            <w:tcBorders>
              <w:top w:val="single" w:sz="15" w:space="0" w:color="000000"/>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82"/>
              <w:jc w:val="center"/>
              <w:rPr>
                <w:rFonts w:ascii="宋体" w:hAnsi="宋体" w:cs="宋体" w:eastAsia="宋体" w:hint="default"/>
                <w:sz w:val="18"/>
                <w:szCs w:val="18"/>
              </w:rPr>
            </w:pPr>
            <w:r>
              <w:rPr>
                <w:rFonts w:ascii="宋体" w:hAnsi="宋体" w:cs="宋体" w:eastAsia="宋体" w:hint="default"/>
                <w:sz w:val="18"/>
                <w:szCs w:val="18"/>
              </w:rPr>
              <w:t>实施、履行将导致股东股权清晰、稳定受到影响或存在重大不确</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定性的合同、协议、相关文件或相关安排。</w:t>
            </w:r>
            <w:r>
              <w:rPr>
                <w:rFonts w:ascii="Times New Roman" w:hAnsi="Times New Roman" w:cs="Times New Roman" w:eastAsia="Times New Roman" w:hint="default"/>
                <w:sz w:val="18"/>
                <w:szCs w:val="18"/>
              </w:rPr>
              <w:t>3</w:t>
            </w:r>
            <w:r>
              <w:rPr>
                <w:rFonts w:ascii="宋体" w:hAnsi="宋体" w:cs="宋体" w:eastAsia="宋体" w:hint="default"/>
                <w:sz w:val="18"/>
                <w:szCs w:val="18"/>
              </w:rPr>
              <w:t>、上海树维及其分公</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0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82"/>
              <w:jc w:val="center"/>
              <w:rPr>
                <w:rFonts w:ascii="宋体" w:hAnsi="宋体" w:cs="宋体" w:eastAsia="宋体" w:hint="default"/>
                <w:sz w:val="18"/>
                <w:szCs w:val="18"/>
              </w:rPr>
            </w:pPr>
            <w:r>
              <w:rPr>
                <w:rFonts w:ascii="宋体" w:hAnsi="宋体" w:cs="宋体" w:eastAsia="宋体" w:hint="default"/>
                <w:sz w:val="18"/>
                <w:szCs w:val="18"/>
              </w:rPr>
              <w:t>司已分别合法取得生产经营活动所需的全部证照、批准、批复、</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82"/>
              <w:jc w:val="center"/>
              <w:rPr>
                <w:rFonts w:ascii="宋体" w:hAnsi="宋体" w:cs="宋体" w:eastAsia="宋体" w:hint="default"/>
                <w:sz w:val="18"/>
                <w:szCs w:val="18"/>
              </w:rPr>
            </w:pPr>
            <w:r>
              <w:rPr>
                <w:rFonts w:ascii="宋体" w:hAnsi="宋体" w:cs="宋体" w:eastAsia="宋体" w:hint="default"/>
                <w:sz w:val="18"/>
                <w:szCs w:val="18"/>
              </w:rPr>
              <w:t>同意、授权和许可，且现有业务所需的全部证照、批准、批复、</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82"/>
              <w:jc w:val="center"/>
              <w:rPr>
                <w:rFonts w:ascii="宋体" w:hAnsi="宋体" w:cs="宋体" w:eastAsia="宋体" w:hint="default"/>
                <w:sz w:val="18"/>
                <w:szCs w:val="18"/>
              </w:rPr>
            </w:pPr>
            <w:r>
              <w:rPr>
                <w:rFonts w:ascii="宋体" w:hAnsi="宋体" w:cs="宋体" w:eastAsia="宋体" w:hint="default"/>
                <w:sz w:val="18"/>
                <w:szCs w:val="18"/>
              </w:rPr>
              <w:t>同意、授权和许可均有效存在；上海树维及其分公司不存在任何</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82"/>
              <w:jc w:val="center"/>
              <w:rPr>
                <w:rFonts w:ascii="宋体" w:hAnsi="宋体" w:cs="宋体" w:eastAsia="宋体" w:hint="default"/>
                <w:sz w:val="18"/>
                <w:szCs w:val="18"/>
              </w:rPr>
            </w:pPr>
            <w:r>
              <w:rPr>
                <w:rFonts w:ascii="宋体" w:hAnsi="宋体" w:cs="宋体" w:eastAsia="宋体" w:hint="default"/>
                <w:sz w:val="18"/>
                <w:szCs w:val="18"/>
              </w:rPr>
              <w:t>违反或超出上述证照、批准、批复、同意、授权和许可要求的行</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82"/>
              <w:jc w:val="center"/>
              <w:rPr>
                <w:rFonts w:ascii="宋体" w:hAnsi="宋体" w:cs="宋体" w:eastAsia="宋体" w:hint="default"/>
                <w:sz w:val="18"/>
                <w:szCs w:val="18"/>
              </w:rPr>
            </w:pPr>
            <w:r>
              <w:rPr>
                <w:rFonts w:ascii="宋体" w:hAnsi="宋体" w:cs="宋体" w:eastAsia="宋体" w:hint="default"/>
                <w:sz w:val="18"/>
                <w:szCs w:val="18"/>
              </w:rPr>
              <w:t>为或者情形；上海树维及其分公司不存在任何尚未取得相关必备</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88"/>
              <w:jc w:val="center"/>
              <w:rPr>
                <w:rFonts w:ascii="Times New Roman" w:hAnsi="Times New Roman" w:cs="Times New Roman" w:eastAsia="Times New Roman" w:hint="default"/>
                <w:sz w:val="18"/>
                <w:szCs w:val="18"/>
              </w:rPr>
            </w:pPr>
            <w:r>
              <w:rPr>
                <w:rFonts w:ascii="宋体" w:hAnsi="宋体" w:cs="宋体" w:eastAsia="宋体" w:hint="default"/>
                <w:spacing w:val="-4"/>
                <w:sz w:val="18"/>
                <w:szCs w:val="18"/>
              </w:rPr>
              <w:t>证照、批准、批复、同意、授权和许可而违规开展业务的情况。</w:t>
            </w:r>
            <w:r>
              <w:rPr>
                <w:rFonts w:ascii="Times New Roman" w:hAnsi="Times New Roman" w:cs="Times New Roman" w:eastAsia="Times New Roman" w:hint="default"/>
                <w:spacing w:val="-4"/>
                <w:sz w:val="18"/>
                <w:szCs w:val="18"/>
              </w:rPr>
              <w:t>4</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0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82"/>
              <w:jc w:val="center"/>
              <w:rPr>
                <w:rFonts w:ascii="宋体" w:hAnsi="宋体" w:cs="宋体" w:eastAsia="宋体" w:hint="default"/>
                <w:sz w:val="18"/>
                <w:szCs w:val="18"/>
              </w:rPr>
            </w:pPr>
            <w:r>
              <w:rPr>
                <w:rFonts w:ascii="宋体" w:hAnsi="宋体" w:cs="宋体" w:eastAsia="宋体" w:hint="default"/>
                <w:sz w:val="18"/>
                <w:szCs w:val="18"/>
              </w:rPr>
              <w:t>对新开普披露的上海树维及其分公司的对外投资情况是真实、准</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82"/>
              <w:jc w:val="center"/>
              <w:rPr>
                <w:rFonts w:ascii="宋体" w:hAnsi="宋体" w:cs="宋体" w:eastAsia="宋体" w:hint="default"/>
                <w:sz w:val="18"/>
                <w:szCs w:val="18"/>
              </w:rPr>
            </w:pPr>
            <w:r>
              <w:rPr>
                <w:rFonts w:ascii="宋体" w:hAnsi="宋体" w:cs="宋体" w:eastAsia="宋体" w:hint="default"/>
                <w:sz w:val="18"/>
                <w:szCs w:val="18"/>
              </w:rPr>
              <w:t>确、完整的，上海树维及其分公司没有在任何其他公司、企业及</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88"/>
              <w:jc w:val="center"/>
              <w:rPr>
                <w:rFonts w:ascii="Times New Roman" w:hAnsi="Times New Roman" w:cs="Times New Roman" w:eastAsia="Times New Roman" w:hint="default"/>
                <w:sz w:val="18"/>
                <w:szCs w:val="18"/>
              </w:rPr>
            </w:pPr>
            <w:r>
              <w:rPr>
                <w:rFonts w:ascii="宋体" w:hAnsi="宋体" w:cs="宋体" w:eastAsia="宋体" w:hint="default"/>
                <w:spacing w:val="-4"/>
                <w:sz w:val="18"/>
                <w:szCs w:val="18"/>
              </w:rPr>
              <w:t>实体中持有股权、股份、股票、可转换公司债券等资本性权益。</w:t>
            </w:r>
            <w:r>
              <w:rPr>
                <w:rFonts w:ascii="Times New Roman" w:hAnsi="Times New Roman" w:cs="Times New Roman" w:eastAsia="Times New Roman" w:hint="default"/>
                <w:spacing w:val="-4"/>
                <w:sz w:val="18"/>
                <w:szCs w:val="18"/>
              </w:rPr>
              <w:t>5</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0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82"/>
              <w:jc w:val="center"/>
              <w:rPr>
                <w:rFonts w:ascii="宋体" w:hAnsi="宋体" w:cs="宋体" w:eastAsia="宋体" w:hint="default"/>
                <w:sz w:val="18"/>
                <w:szCs w:val="18"/>
              </w:rPr>
            </w:pPr>
            <w:r>
              <w:rPr>
                <w:rFonts w:ascii="宋体" w:hAnsi="宋体" w:cs="宋体" w:eastAsia="宋体" w:hint="default"/>
                <w:sz w:val="18"/>
                <w:szCs w:val="18"/>
              </w:rPr>
              <w:t>上海树维及其分公司拥有其正常经营所需要的全部资产，包括但</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82"/>
              <w:jc w:val="center"/>
              <w:rPr>
                <w:rFonts w:ascii="宋体" w:hAnsi="宋体" w:cs="宋体" w:eastAsia="宋体" w:hint="default"/>
                <w:sz w:val="18"/>
                <w:szCs w:val="18"/>
              </w:rPr>
            </w:pPr>
            <w:r>
              <w:rPr>
                <w:rFonts w:ascii="宋体" w:hAnsi="宋体" w:cs="宋体" w:eastAsia="宋体" w:hint="default"/>
                <w:sz w:val="18"/>
                <w:szCs w:val="18"/>
              </w:rPr>
              <w:t>不限于固定资产、流动资金、知识产权等，该等资产均处于良好</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82"/>
              <w:jc w:val="center"/>
              <w:rPr>
                <w:rFonts w:ascii="宋体" w:hAnsi="宋体" w:cs="宋体" w:eastAsia="宋体" w:hint="default"/>
                <w:sz w:val="18"/>
                <w:szCs w:val="18"/>
              </w:rPr>
            </w:pPr>
            <w:r>
              <w:rPr>
                <w:rFonts w:ascii="宋体" w:hAnsi="宋体" w:cs="宋体" w:eastAsia="宋体" w:hint="default"/>
                <w:sz w:val="18"/>
                <w:szCs w:val="18"/>
              </w:rPr>
              <w:t>状态，具备正常的功能或适用性，不存在可能危及上海树维及其</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82"/>
              <w:jc w:val="center"/>
              <w:rPr>
                <w:rFonts w:ascii="宋体" w:hAnsi="宋体" w:cs="宋体" w:eastAsia="宋体" w:hint="default"/>
                <w:sz w:val="18"/>
                <w:szCs w:val="18"/>
              </w:rPr>
            </w:pPr>
            <w:r>
              <w:rPr>
                <w:rFonts w:ascii="宋体" w:hAnsi="宋体" w:cs="宋体" w:eastAsia="宋体" w:hint="default"/>
                <w:sz w:val="18"/>
                <w:szCs w:val="18"/>
              </w:rPr>
              <w:t>分公司正常经营的情形，且在可预见的将来不需要发生不合理的</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重大支出。</w:t>
            </w:r>
            <w:r>
              <w:rPr>
                <w:rFonts w:ascii="Times New Roman" w:hAnsi="Times New Roman" w:cs="Times New Roman" w:eastAsia="Times New Roman" w:hint="default"/>
                <w:sz w:val="18"/>
                <w:szCs w:val="18"/>
              </w:rPr>
              <w:t>6</w:t>
            </w:r>
            <w:r>
              <w:rPr>
                <w:rFonts w:ascii="宋体" w:hAnsi="宋体" w:cs="宋体" w:eastAsia="宋体" w:hint="default"/>
                <w:sz w:val="18"/>
                <w:szCs w:val="18"/>
              </w:rPr>
              <w:t>、对于向新开普披露的属于上海树维及其分公司的任</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0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82"/>
              <w:jc w:val="center"/>
              <w:rPr>
                <w:rFonts w:ascii="宋体" w:hAnsi="宋体" w:cs="宋体" w:eastAsia="宋体" w:hint="default"/>
                <w:sz w:val="18"/>
                <w:szCs w:val="18"/>
              </w:rPr>
            </w:pPr>
            <w:r>
              <w:rPr>
                <w:rFonts w:ascii="宋体" w:hAnsi="宋体" w:cs="宋体" w:eastAsia="宋体" w:hint="default"/>
                <w:sz w:val="18"/>
                <w:szCs w:val="18"/>
              </w:rPr>
              <w:t>何资产，完全为上海树维及其分公司所合法拥有、管理、控制和</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82"/>
              <w:jc w:val="center"/>
              <w:rPr>
                <w:rFonts w:ascii="宋体" w:hAnsi="宋体" w:cs="宋体" w:eastAsia="宋体" w:hint="default"/>
                <w:sz w:val="18"/>
                <w:szCs w:val="18"/>
              </w:rPr>
            </w:pPr>
            <w:r>
              <w:rPr>
                <w:rFonts w:ascii="宋体" w:hAnsi="宋体" w:cs="宋体" w:eastAsia="宋体" w:hint="default"/>
                <w:sz w:val="18"/>
                <w:szCs w:val="18"/>
              </w:rPr>
              <w:t>经营，不存在任何权属瑕疵，不附带任何负债或其他潜在责任，</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82"/>
              <w:jc w:val="center"/>
              <w:rPr>
                <w:rFonts w:ascii="宋体" w:hAnsi="宋体" w:cs="宋体" w:eastAsia="宋体" w:hint="default"/>
                <w:sz w:val="18"/>
                <w:szCs w:val="18"/>
              </w:rPr>
            </w:pPr>
            <w:r>
              <w:rPr>
                <w:rFonts w:ascii="宋体" w:hAnsi="宋体" w:cs="宋体" w:eastAsia="宋体" w:hint="default"/>
                <w:sz w:val="18"/>
                <w:szCs w:val="18"/>
              </w:rPr>
              <w:t>不存在侵犯任何第三方合法权益的情形，亦不存在任何针对上述</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82"/>
              <w:jc w:val="center"/>
              <w:rPr>
                <w:rFonts w:ascii="宋体" w:hAnsi="宋体" w:cs="宋体" w:eastAsia="宋体" w:hint="default"/>
                <w:sz w:val="18"/>
                <w:szCs w:val="18"/>
              </w:rPr>
            </w:pPr>
            <w:r>
              <w:rPr>
                <w:rFonts w:ascii="宋体" w:hAnsi="宋体" w:cs="宋体" w:eastAsia="宋体" w:hint="default"/>
                <w:sz w:val="18"/>
                <w:szCs w:val="18"/>
              </w:rPr>
              <w:t>资产的诉讼、仲裁或争议等；上述资产所需之批准文件、注册、</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82"/>
              <w:jc w:val="center"/>
              <w:rPr>
                <w:rFonts w:ascii="宋体" w:hAnsi="宋体" w:cs="宋体" w:eastAsia="宋体" w:hint="default"/>
                <w:sz w:val="18"/>
                <w:szCs w:val="18"/>
              </w:rPr>
            </w:pPr>
            <w:r>
              <w:rPr>
                <w:rFonts w:ascii="宋体" w:hAnsi="宋体" w:cs="宋体" w:eastAsia="宋体" w:hint="default"/>
                <w:sz w:val="18"/>
                <w:szCs w:val="18"/>
              </w:rPr>
              <w:t>登记和其他手续已全部取得或完成，并仍然有效；该等资产上不</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82"/>
              <w:jc w:val="center"/>
              <w:rPr>
                <w:rFonts w:ascii="宋体" w:hAnsi="宋体" w:cs="宋体" w:eastAsia="宋体" w:hint="default"/>
                <w:sz w:val="18"/>
                <w:szCs w:val="18"/>
              </w:rPr>
            </w:pPr>
            <w:r>
              <w:rPr>
                <w:rFonts w:ascii="宋体" w:hAnsi="宋体" w:cs="宋体" w:eastAsia="宋体" w:hint="default"/>
                <w:sz w:val="18"/>
                <w:szCs w:val="18"/>
              </w:rPr>
              <w:t>存在任何抵押、质押或其它担保权利；该等资产不存在下列任何</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情况</w:t>
            </w:r>
            <w:r>
              <w:rPr>
                <w:rFonts w:ascii="宋体" w:hAnsi="宋体" w:cs="宋体" w:eastAsia="宋体" w:hint="default"/>
                <w:spacing w:val="-92"/>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pacing w:val="-2"/>
                <w:sz w:val="18"/>
                <w:szCs w:val="18"/>
              </w:rPr>
              <w:t>）</w:t>
            </w:r>
            <w:r>
              <w:rPr>
                <w:rFonts w:ascii="宋体" w:hAnsi="宋体" w:cs="宋体" w:eastAsia="宋体" w:hint="default"/>
                <w:sz w:val="18"/>
                <w:szCs w:val="18"/>
              </w:rPr>
              <w:t>任何对该等资产的信托或类似的安排</w:t>
            </w:r>
            <w:r>
              <w:rPr>
                <w:rFonts w:ascii="宋体" w:hAnsi="宋体" w:cs="宋体" w:eastAsia="宋体" w:hint="default"/>
                <w:spacing w:val="-2"/>
                <w:sz w:val="18"/>
                <w:szCs w:val="18"/>
              </w:rPr>
              <w:t>，或</w:t>
            </w: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pacing w:val="-2"/>
                <w:sz w:val="18"/>
                <w:szCs w:val="18"/>
              </w:rPr>
              <w:t>）</w:t>
            </w:r>
            <w:r>
              <w:rPr>
                <w:rFonts w:ascii="宋体" w:hAnsi="宋体" w:cs="宋体" w:eastAsia="宋体" w:hint="default"/>
                <w:sz w:val="18"/>
                <w:szCs w:val="18"/>
              </w:rPr>
              <w:t>任何司</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0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82"/>
              <w:jc w:val="center"/>
              <w:rPr>
                <w:rFonts w:ascii="宋体" w:hAnsi="宋体" w:cs="宋体" w:eastAsia="宋体" w:hint="default"/>
                <w:sz w:val="18"/>
                <w:szCs w:val="18"/>
              </w:rPr>
            </w:pPr>
            <w:r>
              <w:rPr>
                <w:rFonts w:ascii="宋体" w:hAnsi="宋体" w:cs="宋体" w:eastAsia="宋体" w:hint="default"/>
                <w:sz w:val="18"/>
                <w:szCs w:val="18"/>
              </w:rPr>
              <w:t>法或行政部门对该等资产实施的查封、扣留、冻结或强制转让措</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5" w:right="0"/>
              <w:jc w:val="center"/>
              <w:rPr>
                <w:rFonts w:ascii="宋体" w:hAnsi="宋体" w:cs="宋体" w:eastAsia="宋体" w:hint="default"/>
                <w:sz w:val="18"/>
                <w:szCs w:val="18"/>
              </w:rPr>
            </w:pPr>
            <w:r>
              <w:rPr>
                <w:rFonts w:ascii="宋体" w:hAnsi="宋体" w:cs="宋体" w:eastAsia="宋体" w:hint="default"/>
                <w:sz w:val="18"/>
                <w:szCs w:val="18"/>
              </w:rPr>
              <w:t>施，或（</w:t>
            </w:r>
            <w:r>
              <w:rPr>
                <w:rFonts w:ascii="Times New Roman" w:hAnsi="Times New Roman" w:cs="Times New Roman" w:eastAsia="Times New Roman" w:hint="default"/>
                <w:sz w:val="18"/>
                <w:szCs w:val="18"/>
              </w:rPr>
              <w:t>3</w:t>
            </w:r>
            <w:r>
              <w:rPr>
                <w:rFonts w:ascii="宋体" w:hAnsi="宋体" w:cs="宋体" w:eastAsia="宋体" w:hint="default"/>
                <w:sz w:val="18"/>
                <w:szCs w:val="18"/>
              </w:rPr>
              <w:t>）任何可能影响到对该等资产享有权利和权益的情况，</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0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82"/>
              <w:jc w:val="center"/>
              <w:rPr>
                <w:rFonts w:ascii="宋体" w:hAnsi="宋体" w:cs="宋体" w:eastAsia="宋体" w:hint="default"/>
                <w:sz w:val="18"/>
                <w:szCs w:val="18"/>
              </w:rPr>
            </w:pPr>
            <w:r>
              <w:rPr>
                <w:rFonts w:ascii="宋体" w:hAnsi="宋体" w:cs="宋体" w:eastAsia="宋体" w:hint="default"/>
                <w:sz w:val="18"/>
                <w:szCs w:val="18"/>
              </w:rPr>
              <w:t>或可能致使任何第三人直接或者间接获取任何该等资产的权利和</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权益的情况。</w:t>
            </w:r>
            <w:r>
              <w:rPr>
                <w:rFonts w:ascii="Times New Roman" w:hAnsi="Times New Roman" w:cs="Times New Roman" w:eastAsia="Times New Roman" w:hint="default"/>
                <w:sz w:val="18"/>
                <w:szCs w:val="18"/>
              </w:rPr>
              <w:t>7</w:t>
            </w:r>
            <w:r>
              <w:rPr>
                <w:rFonts w:ascii="宋体" w:hAnsi="宋体" w:cs="宋体" w:eastAsia="宋体" w:hint="default"/>
                <w:sz w:val="18"/>
                <w:szCs w:val="18"/>
              </w:rPr>
              <w:t>、上海树维及其分公司租赁的不动产属于依法可用</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0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82"/>
              <w:jc w:val="center"/>
              <w:rPr>
                <w:rFonts w:ascii="宋体" w:hAnsi="宋体" w:cs="宋体" w:eastAsia="宋体" w:hint="default"/>
                <w:sz w:val="18"/>
                <w:szCs w:val="18"/>
              </w:rPr>
            </w:pPr>
            <w:r>
              <w:rPr>
                <w:rFonts w:ascii="宋体" w:hAnsi="宋体" w:cs="宋体" w:eastAsia="宋体" w:hint="default"/>
                <w:sz w:val="18"/>
                <w:szCs w:val="18"/>
              </w:rPr>
              <w:t>于该项租赁之目的的不动产，且租赁合同合法有效，上海树维及</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8" w:hRule="exact"/>
        </w:trPr>
        <w:tc>
          <w:tcPr>
            <w:tcW w:w="1702" w:type="dxa"/>
            <w:vMerge/>
            <w:tcBorders>
              <w:left w:val="single" w:sz="4" w:space="0" w:color="000000"/>
              <w:bottom w:val="single" w:sz="4" w:space="0" w:color="000000"/>
              <w:right w:val="single" w:sz="4" w:space="0" w:color="000000"/>
            </w:tcBorders>
            <w:shd w:val="clear" w:color="auto" w:fill="D2D2D2"/>
          </w:tcPr>
          <w:p>
            <w:pPr/>
          </w:p>
        </w:tc>
        <w:tc>
          <w:tcPr>
            <w:tcW w:w="1277" w:type="dxa"/>
            <w:vMerge/>
            <w:tcBorders>
              <w:left w:val="single" w:sz="4" w:space="0" w:color="000000"/>
              <w:bottom w:val="single" w:sz="4" w:space="0" w:color="000000"/>
              <w:right w:val="single" w:sz="4" w:space="0" w:color="000000"/>
            </w:tcBorders>
          </w:tcPr>
          <w:p>
            <w:pPr/>
          </w:p>
        </w:tc>
        <w:tc>
          <w:tcPr>
            <w:tcW w:w="850" w:type="dxa"/>
            <w:vMerge/>
            <w:tcBorders>
              <w:left w:val="single" w:sz="4" w:space="0" w:color="000000"/>
              <w:bottom w:val="single" w:sz="4" w:space="0" w:color="000000"/>
              <w:right w:val="single" w:sz="4" w:space="0" w:color="000000"/>
            </w:tcBorders>
          </w:tcPr>
          <w:p>
            <w:pPr/>
          </w:p>
        </w:tc>
        <w:tc>
          <w:tcPr>
            <w:tcW w:w="518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其分公司有权按照租赁用途占有、使用该等租赁不动产。</w:t>
            </w:r>
            <w:r>
              <w:rPr>
                <w:rFonts w:ascii="Times New Roman" w:hAnsi="Times New Roman" w:cs="Times New Roman" w:eastAsia="Times New Roman" w:hint="default"/>
                <w:sz w:val="18"/>
                <w:szCs w:val="18"/>
              </w:rPr>
              <w:t>8</w:t>
            </w:r>
            <w:r>
              <w:rPr>
                <w:rFonts w:ascii="宋体" w:hAnsi="宋体" w:cs="宋体" w:eastAsia="宋体" w:hint="default"/>
                <w:sz w:val="18"/>
                <w:szCs w:val="18"/>
              </w:rPr>
              <w:t>、上海</w:t>
            </w:r>
          </w:p>
        </w:tc>
        <w:tc>
          <w:tcPr>
            <w:tcW w:w="1134" w:type="dxa"/>
            <w:vMerge/>
            <w:tcBorders>
              <w:left w:val="single" w:sz="4" w:space="0" w:color="000000"/>
              <w:bottom w:val="single" w:sz="4" w:space="0" w:color="000000"/>
              <w:right w:val="single" w:sz="4" w:space="0" w:color="000000"/>
            </w:tcBorders>
          </w:tcPr>
          <w:p>
            <w:pPr/>
          </w:p>
        </w:tc>
        <w:tc>
          <w:tcPr>
            <w:tcW w:w="1134" w:type="dxa"/>
            <w:vMerge/>
            <w:tcBorders>
              <w:left w:val="single" w:sz="4" w:space="0" w:color="000000"/>
              <w:bottom w:val="single" w:sz="4" w:space="0" w:color="000000"/>
              <w:right w:val="single" w:sz="4" w:space="0" w:color="000000"/>
            </w:tcBorders>
          </w:tcPr>
          <w:p>
            <w:pPr/>
          </w:p>
        </w:tc>
        <w:tc>
          <w:tcPr>
            <w:tcW w:w="3544" w:type="dxa"/>
            <w:vMerge/>
            <w:tcBorders>
              <w:left w:val="single" w:sz="4" w:space="0" w:color="000000"/>
              <w:bottom w:val="single" w:sz="4" w:space="0" w:color="000000"/>
              <w:right w:val="single" w:sz="4" w:space="0" w:color="000000"/>
            </w:tcBorders>
          </w:tcPr>
          <w:p>
            <w:pPr/>
          </w:p>
        </w:tc>
      </w:tr>
    </w:tbl>
    <w:p>
      <w:pPr>
        <w:spacing w:after="0"/>
        <w:sectPr>
          <w:pgSz w:w="16840" w:h="11910" w:orient="landscape"/>
          <w:pgMar w:header="867" w:footer="979" w:top="1060" w:bottom="1160" w:left="900" w:right="880"/>
        </w:sectPr>
      </w:pPr>
    </w:p>
    <w:p>
      <w:pPr>
        <w:spacing w:line="240" w:lineRule="auto" w:before="4"/>
        <w:rPr>
          <w:rFonts w:ascii="Times New Roman" w:hAnsi="Times New Roman" w:cs="Times New Roman" w:eastAsia="Times New Roman" w:hint="default"/>
          <w:sz w:val="3"/>
          <w:szCs w:val="3"/>
        </w:rPr>
      </w:pPr>
      <w:r>
        <w:rPr/>
        <w:pict>
          <v:shape style="position:absolute;margin-left:423.140015pt;margin-top:57.180008pt;width:134.450pt;height:468.1pt;mso-position-horizontal-relative:page;mso-position-vertical-relative:page;z-index:-1222144" type="#_x0000_t202" filled="false" stroked="false">
            <v:textbox inset="0,0,0,0">
              <w:txbxContent>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4"/>
                    <w:rPr>
                      <w:rFonts w:ascii="Times New Roman" w:hAnsi="Times New Roman" w:cs="Times New Roman" w:eastAsia="Times New Roman" w:hint="default"/>
                      <w:sz w:val="21"/>
                      <w:szCs w:val="21"/>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不存在因拖欠税款、</w:t>
                  </w:r>
                </w:p>
              </w:txbxContent>
            </v:textbox>
            <w10:wrap type="none"/>
          </v:shape>
        </w:pict>
      </w:r>
    </w:p>
    <w:tbl>
      <w:tblPr>
        <w:tblW w:w="0" w:type="auto"/>
        <w:jc w:val="left"/>
        <w:tblInd w:w="109" w:type="dxa"/>
        <w:tblLayout w:type="fixed"/>
        <w:tblCellMar>
          <w:top w:w="0" w:type="dxa"/>
          <w:left w:w="0" w:type="dxa"/>
          <w:bottom w:w="0" w:type="dxa"/>
          <w:right w:w="0" w:type="dxa"/>
        </w:tblCellMar>
        <w:tblLook w:val="01E0"/>
      </w:tblPr>
      <w:tblGrid>
        <w:gridCol w:w="1702"/>
        <w:gridCol w:w="1277"/>
        <w:gridCol w:w="850"/>
        <w:gridCol w:w="5180"/>
        <w:gridCol w:w="1134"/>
        <w:gridCol w:w="1134"/>
        <w:gridCol w:w="3544"/>
      </w:tblGrid>
      <w:tr>
        <w:trPr>
          <w:trHeight w:val="332" w:hRule="exact"/>
        </w:trPr>
        <w:tc>
          <w:tcPr>
            <w:tcW w:w="1702" w:type="dxa"/>
            <w:vMerge w:val="restart"/>
            <w:tcBorders>
              <w:top w:val="single" w:sz="15" w:space="0" w:color="000000"/>
              <w:left w:val="single" w:sz="4" w:space="0" w:color="000000"/>
              <w:right w:val="single" w:sz="4" w:space="0" w:color="000000"/>
            </w:tcBorders>
            <w:shd w:val="clear" w:color="auto" w:fill="D2D2D2"/>
          </w:tcPr>
          <w:p>
            <w:pPr/>
          </w:p>
        </w:tc>
        <w:tc>
          <w:tcPr>
            <w:tcW w:w="1277" w:type="dxa"/>
            <w:vMerge w:val="restart"/>
            <w:tcBorders>
              <w:top w:val="single" w:sz="15" w:space="0" w:color="000000"/>
              <w:left w:val="single" w:sz="4" w:space="0" w:color="000000"/>
              <w:right w:val="single" w:sz="4" w:space="0" w:color="000000"/>
            </w:tcBorders>
          </w:tcPr>
          <w:p>
            <w:pPr/>
          </w:p>
        </w:tc>
        <w:tc>
          <w:tcPr>
            <w:tcW w:w="850" w:type="dxa"/>
            <w:vMerge w:val="restart"/>
            <w:tcBorders>
              <w:top w:val="single" w:sz="15" w:space="0" w:color="000000"/>
              <w:left w:val="single" w:sz="4" w:space="0" w:color="000000"/>
              <w:right w:val="single" w:sz="4" w:space="0" w:color="000000"/>
            </w:tcBorders>
          </w:tcPr>
          <w:p>
            <w:pPr/>
          </w:p>
        </w:tc>
        <w:tc>
          <w:tcPr>
            <w:tcW w:w="5180" w:type="dxa"/>
            <w:tcBorders>
              <w:top w:val="single" w:sz="15" w:space="0" w:color="000000"/>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树维及其分公司对与其主营业务相关的知识产权合法取得、有效</w:t>
            </w:r>
          </w:p>
        </w:tc>
        <w:tc>
          <w:tcPr>
            <w:tcW w:w="1134" w:type="dxa"/>
            <w:vMerge w:val="restart"/>
            <w:tcBorders>
              <w:top w:val="single" w:sz="15" w:space="0" w:color="000000"/>
              <w:left w:val="single" w:sz="4" w:space="0" w:color="000000"/>
              <w:right w:val="single" w:sz="4" w:space="0" w:color="000000"/>
            </w:tcBorders>
          </w:tcPr>
          <w:p>
            <w:pPr>
              <w:pStyle w:val="TableParagraph"/>
              <w:spacing w:line="9361" w:lineRule="exact"/>
              <w:ind w:right="-51"/>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86"/>
                <w:sz w:val="20"/>
                <w:szCs w:val="20"/>
              </w:rPr>
              <w:pict>
                <v:group style="width:56.25pt;height:468.1pt;mso-position-horizontal-relative:char;mso-position-vertical-relative:line" coordorigin="0,0" coordsize="1125,9362">
                  <v:group style="position:absolute;left:0;top:0;width:1125;height:9362" coordorigin="0,0" coordsize="1125,9362">
                    <v:shape style="position:absolute;left:0;top:0;width:1125;height:9362" coordorigin="0,0" coordsize="1125,9362" path="m0,9361l1124,9361,1124,0,0,0,0,9361xe" filled="true" fillcolor="#ffffff" stroked="false">
                      <v:path arrowok="t"/>
                      <v:fill type="solid"/>
                    </v:shape>
                  </v:group>
                </v:group>
              </w:pict>
            </w:r>
            <w:r>
              <w:rPr>
                <w:rFonts w:ascii="Times New Roman" w:hAnsi="Times New Roman" w:cs="Times New Roman" w:eastAsia="Times New Roman" w:hint="default"/>
                <w:position w:val="-186"/>
                <w:sz w:val="20"/>
                <w:szCs w:val="20"/>
              </w:rPr>
            </w:r>
          </w:p>
        </w:tc>
        <w:tc>
          <w:tcPr>
            <w:tcW w:w="1134" w:type="dxa"/>
            <w:vMerge w:val="restart"/>
            <w:tcBorders>
              <w:top w:val="single" w:sz="15" w:space="0" w:color="000000"/>
              <w:left w:val="single" w:sz="4" w:space="0" w:color="000000"/>
              <w:right w:val="single" w:sz="4" w:space="0" w:color="000000"/>
            </w:tcBorders>
          </w:tcPr>
          <w:p>
            <w:pPr/>
          </w:p>
        </w:tc>
        <w:tc>
          <w:tcPr>
            <w:tcW w:w="3544" w:type="dxa"/>
            <w:vMerge w:val="restart"/>
            <w:tcBorders>
              <w:top w:val="single" w:sz="15" w:space="0" w:color="000000"/>
              <w:left w:val="single" w:sz="4" w:space="0" w:color="000000"/>
              <w:right w:val="single" w:sz="4" w:space="0" w:color="000000"/>
            </w:tcBorders>
          </w:tcPr>
          <w:p>
            <w:pPr/>
          </w:p>
        </w:tc>
      </w:tr>
      <w:tr>
        <w:trPr>
          <w:trHeight w:val="31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拥有，未侵犯任何第三人合法权益的行为。</w:t>
            </w:r>
            <w:r>
              <w:rPr>
                <w:rFonts w:ascii="Times New Roman" w:hAnsi="Times New Roman" w:cs="Times New Roman" w:eastAsia="Times New Roman" w:hint="default"/>
                <w:sz w:val="18"/>
                <w:szCs w:val="18"/>
              </w:rPr>
              <w:t>9</w:t>
            </w:r>
            <w:r>
              <w:rPr>
                <w:rFonts w:ascii="宋体" w:hAnsi="宋体" w:cs="宋体" w:eastAsia="宋体" w:hint="default"/>
                <w:sz w:val="18"/>
                <w:szCs w:val="18"/>
              </w:rPr>
              <w:t>、上海树维及其分公</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0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司完全是依照《公司法》及有关法律法规经营、运作和管理的，</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不存在违反《公司法》及其他法律、法规的情况，也不存在因违</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反《公司法》及其他法律法规而导致的行政责任、民事责任或其</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他责任。</w:t>
            </w:r>
            <w:r>
              <w:rPr>
                <w:rFonts w:ascii="Times New Roman" w:hAnsi="Times New Roman" w:cs="Times New Roman" w:eastAsia="Times New Roman" w:hint="default"/>
                <w:sz w:val="18"/>
                <w:szCs w:val="18"/>
              </w:rPr>
              <w:t>10</w:t>
            </w:r>
            <w:r>
              <w:rPr>
                <w:rFonts w:ascii="宋体" w:hAnsi="宋体" w:cs="宋体" w:eastAsia="宋体" w:hint="default"/>
                <w:sz w:val="18"/>
                <w:szCs w:val="18"/>
              </w:rPr>
              <w:t>、上海树维及其分公司向新开普提供的各项财务报表</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0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及账目反映了上海树维及其分公司在相关报表日的真实的业务状</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况，并且包括了应当予以记录之全部信息的完整、准确且无误导</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的记录内容；除上海树维及其分公司向新开普提供的各项财务报</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表及账目反映的情况外，上海树维及其分公司没有任何其他的未</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偿还贷款、应付帐款、其他应付款或其他形式的负债（包括对实</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际控制人的负债</w:t>
            </w:r>
            <w:r>
              <w:rPr>
                <w:rFonts w:ascii="宋体" w:hAnsi="宋体" w:cs="宋体" w:eastAsia="宋体" w:hint="default"/>
                <w:spacing w:val="-90"/>
                <w:sz w:val="18"/>
                <w:szCs w:val="18"/>
              </w:rPr>
              <w:t>）</w:t>
            </w:r>
            <w:r>
              <w:rPr>
                <w:rFonts w:ascii="宋体" w:hAnsi="宋体" w:cs="宋体" w:eastAsia="宋体" w:hint="default"/>
                <w:spacing w:val="-3"/>
                <w:sz w:val="18"/>
                <w:szCs w:val="18"/>
              </w:rPr>
              <w:t>，</w:t>
            </w:r>
            <w:r>
              <w:rPr>
                <w:rFonts w:ascii="宋体" w:hAnsi="宋体" w:cs="宋体" w:eastAsia="宋体" w:hint="default"/>
                <w:sz w:val="18"/>
                <w:szCs w:val="18"/>
              </w:rPr>
              <w:t>没有无对价支出</w:t>
            </w:r>
            <w:r>
              <w:rPr>
                <w:rFonts w:ascii="宋体" w:hAnsi="宋体" w:cs="宋体" w:eastAsia="宋体" w:hint="default"/>
                <w:spacing w:val="-3"/>
                <w:sz w:val="18"/>
                <w:szCs w:val="18"/>
              </w:rPr>
              <w:t>、</w:t>
            </w:r>
            <w:r>
              <w:rPr>
                <w:rFonts w:ascii="宋体" w:hAnsi="宋体" w:cs="宋体" w:eastAsia="宋体" w:hint="default"/>
                <w:sz w:val="18"/>
                <w:szCs w:val="18"/>
              </w:rPr>
              <w:t>非公允性支出等</w:t>
            </w:r>
            <w:r>
              <w:rPr>
                <w:rFonts w:ascii="宋体" w:hAnsi="宋体" w:cs="宋体" w:eastAsia="宋体" w:hint="default"/>
                <w:spacing w:val="-3"/>
                <w:sz w:val="18"/>
                <w:szCs w:val="18"/>
              </w:rPr>
              <w:t>，</w:t>
            </w:r>
            <w:r>
              <w:rPr>
                <w:rFonts w:ascii="宋体" w:hAnsi="宋体" w:cs="宋体" w:eastAsia="宋体" w:hint="default"/>
                <w:sz w:val="18"/>
                <w:szCs w:val="18"/>
              </w:rPr>
              <w:t>没有任何</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其他的对外担保或任何其他形式的保证责任</w:t>
            </w:r>
            <w:r>
              <w:rPr>
                <w:rFonts w:ascii="Times New Roman" w:hAnsi="Times New Roman" w:cs="Times New Roman" w:eastAsia="Times New Roman" w:hint="default"/>
                <w:sz w:val="18"/>
                <w:szCs w:val="18"/>
              </w:rPr>
              <w:t>(</w:t>
            </w:r>
            <w:r>
              <w:rPr>
                <w:rFonts w:ascii="宋体" w:hAnsi="宋体" w:cs="宋体" w:eastAsia="宋体" w:hint="default"/>
                <w:sz w:val="18"/>
                <w:szCs w:val="18"/>
              </w:rPr>
              <w:t>但日常经营中与客户</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签订的合同、协议、备忘等类似文件中的相关保证除外</w:t>
            </w:r>
            <w:r>
              <w:rPr>
                <w:rFonts w:ascii="Times New Roman" w:hAnsi="Times New Roman" w:cs="Times New Roman" w:eastAsia="Times New Roman" w:hint="default"/>
                <w:sz w:val="18"/>
                <w:szCs w:val="18"/>
              </w:rPr>
              <w:t>)</w:t>
            </w:r>
            <w:r>
              <w:rPr>
                <w:rFonts w:ascii="宋体" w:hAnsi="宋体" w:cs="宋体" w:eastAsia="宋体" w:hint="default"/>
                <w:sz w:val="18"/>
                <w:szCs w:val="18"/>
              </w:rPr>
              <w:t>；自评估</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0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基准日至本协议签署日，上海树维及其分公司的财务或经营状况</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或前景均未曾发生任何重大不利变化，并且未曾发生可能引起任</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何该等变化的事件、事实或情况。</w:t>
            </w:r>
            <w:r>
              <w:rPr>
                <w:rFonts w:ascii="Times New Roman" w:hAnsi="Times New Roman" w:cs="Times New Roman" w:eastAsia="Times New Roman" w:hint="default"/>
                <w:sz w:val="18"/>
                <w:szCs w:val="18"/>
              </w:rPr>
              <w:t>11</w:t>
            </w:r>
            <w:r>
              <w:rPr>
                <w:rFonts w:ascii="宋体" w:hAnsi="宋体" w:cs="宋体" w:eastAsia="宋体" w:hint="default"/>
                <w:sz w:val="18"/>
                <w:szCs w:val="18"/>
              </w:rPr>
              <w:t>、上海树维及其分公司主要</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0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财务制度、账册管理、凭证和发票使用以及税务申报、代扣代缴</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均符合中国财务会计和税务法律法规的规定，</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迟缴税款、逃税、骗税、漏税、未完全或适时履行代扣代缴义务</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或其他违反税收法律法规的行为而被公开调查或处罚或可能被公</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开调查或处罚的情形；上海树维及其分公司亦不存在依据依国家</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及地方法律法规应交纳但尚未交纳或拖欠的各项费用、规费等，</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不存在可能被收回的政府补助；上海树维及其分公司不存在未依</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法缴纳的税款，如上海树维及其分公司因在交割日前未按规定缴</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纳任何税款而于交割日后被要求补缴和</w:t>
            </w:r>
            <w:r>
              <w:rPr>
                <w:rFonts w:ascii="Times New Roman" w:hAnsi="Times New Roman" w:cs="Times New Roman" w:eastAsia="Times New Roman" w:hint="default"/>
                <w:sz w:val="18"/>
                <w:szCs w:val="18"/>
              </w:rPr>
              <w:t>/</w:t>
            </w:r>
            <w:r>
              <w:rPr>
                <w:rFonts w:ascii="宋体" w:hAnsi="宋体" w:cs="宋体" w:eastAsia="宋体" w:hint="default"/>
                <w:sz w:val="18"/>
                <w:szCs w:val="18"/>
              </w:rPr>
              <w:t>或承担其他法律责任，交</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0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易对方应就上海树维及其分公司的该等损失承担赔偿责任；如该</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等损失由上海树维及其分公司先行承担，交易对方应在上海树维</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及其分公司承担该等损失之日起</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日内以除上海树维股权以外的</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3" w:hRule="exact"/>
        </w:trPr>
        <w:tc>
          <w:tcPr>
            <w:tcW w:w="1702" w:type="dxa"/>
            <w:vMerge/>
            <w:tcBorders>
              <w:left w:val="single" w:sz="4" w:space="0" w:color="000000"/>
              <w:bottom w:val="single" w:sz="4" w:space="0" w:color="000000"/>
              <w:right w:val="single" w:sz="4" w:space="0" w:color="000000"/>
            </w:tcBorders>
            <w:shd w:val="clear" w:color="auto" w:fill="D2D2D2"/>
          </w:tcPr>
          <w:p>
            <w:pPr/>
          </w:p>
        </w:tc>
        <w:tc>
          <w:tcPr>
            <w:tcW w:w="1277" w:type="dxa"/>
            <w:vMerge/>
            <w:tcBorders>
              <w:left w:val="single" w:sz="4" w:space="0" w:color="000000"/>
              <w:bottom w:val="single" w:sz="4" w:space="0" w:color="000000"/>
              <w:right w:val="single" w:sz="4" w:space="0" w:color="000000"/>
            </w:tcBorders>
          </w:tcPr>
          <w:p>
            <w:pPr/>
          </w:p>
        </w:tc>
        <w:tc>
          <w:tcPr>
            <w:tcW w:w="850" w:type="dxa"/>
            <w:vMerge/>
            <w:tcBorders>
              <w:left w:val="single" w:sz="4" w:space="0" w:color="000000"/>
              <w:bottom w:val="single" w:sz="4" w:space="0" w:color="000000"/>
              <w:right w:val="single" w:sz="4" w:space="0" w:color="000000"/>
            </w:tcBorders>
          </w:tcPr>
          <w:p>
            <w:pPr/>
          </w:p>
        </w:tc>
        <w:tc>
          <w:tcPr>
            <w:tcW w:w="518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其他合法财产对上海树维及其分公司承担全部补偿责任。</w:t>
            </w:r>
            <w:r>
              <w:rPr>
                <w:rFonts w:ascii="Times New Roman" w:hAnsi="Times New Roman" w:cs="Times New Roman" w:eastAsia="Times New Roman" w:hint="default"/>
                <w:sz w:val="18"/>
                <w:szCs w:val="18"/>
              </w:rPr>
              <w:t>12</w:t>
            </w:r>
            <w:r>
              <w:rPr>
                <w:rFonts w:ascii="宋体" w:hAnsi="宋体" w:cs="宋体" w:eastAsia="宋体" w:hint="default"/>
                <w:sz w:val="18"/>
                <w:szCs w:val="18"/>
              </w:rPr>
              <w:t>、截</w:t>
            </w:r>
          </w:p>
        </w:tc>
        <w:tc>
          <w:tcPr>
            <w:tcW w:w="1134" w:type="dxa"/>
            <w:vMerge/>
            <w:tcBorders>
              <w:left w:val="single" w:sz="4" w:space="0" w:color="000000"/>
              <w:bottom w:val="single" w:sz="4" w:space="0" w:color="000000"/>
              <w:right w:val="single" w:sz="4" w:space="0" w:color="000000"/>
            </w:tcBorders>
          </w:tcPr>
          <w:p>
            <w:pPr/>
          </w:p>
        </w:tc>
        <w:tc>
          <w:tcPr>
            <w:tcW w:w="1134" w:type="dxa"/>
            <w:vMerge/>
            <w:tcBorders>
              <w:left w:val="single" w:sz="4" w:space="0" w:color="000000"/>
              <w:bottom w:val="single" w:sz="4" w:space="0" w:color="000000"/>
              <w:right w:val="single" w:sz="4" w:space="0" w:color="000000"/>
            </w:tcBorders>
          </w:tcPr>
          <w:p>
            <w:pPr/>
          </w:p>
        </w:tc>
        <w:tc>
          <w:tcPr>
            <w:tcW w:w="3544" w:type="dxa"/>
            <w:vMerge/>
            <w:tcBorders>
              <w:left w:val="single" w:sz="4" w:space="0" w:color="000000"/>
              <w:bottom w:val="single" w:sz="4" w:space="0" w:color="000000"/>
              <w:right w:val="single" w:sz="4" w:space="0" w:color="000000"/>
            </w:tcBorders>
          </w:tcPr>
          <w:p>
            <w:pPr/>
          </w:p>
        </w:tc>
      </w:tr>
    </w:tbl>
    <w:p>
      <w:pPr>
        <w:spacing w:after="0"/>
        <w:sectPr>
          <w:pgSz w:w="16840" w:h="11910" w:orient="landscape"/>
          <w:pgMar w:header="867" w:footer="979" w:top="1060" w:bottom="1160" w:left="900" w:right="880"/>
        </w:sectPr>
      </w:pPr>
    </w:p>
    <w:p>
      <w:pPr>
        <w:spacing w:line="240" w:lineRule="auto" w:before="4"/>
        <w:rPr>
          <w:rFonts w:ascii="Times New Roman" w:hAnsi="Times New Roman" w:cs="Times New Roman" w:eastAsia="Times New Roman" w:hint="default"/>
          <w:sz w:val="3"/>
          <w:szCs w:val="3"/>
        </w:rPr>
      </w:pPr>
      <w:r>
        <w:rPr/>
        <w:pict>
          <v:shape style="position:absolute;margin-left:459.149017pt;margin-top:57.180008pt;width:98.45pt;height:468.1pt;mso-position-horizontal-relative:page;mso-position-vertical-relative:page;z-index:-1222096" type="#_x0000_t202" filled="false" stroked="false">
            <v:textbox inset="0,0,0,0">
              <w:txbxContent>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before="134"/>
                    <w:ind w:left="0" w:right="0" w:firstLine="0"/>
                    <w:jc w:val="left"/>
                    <w:rPr>
                      <w:rFonts w:ascii="宋体" w:hAnsi="宋体" w:cs="宋体" w:eastAsia="宋体" w:hint="default"/>
                      <w:sz w:val="18"/>
                      <w:szCs w:val="18"/>
                    </w:rPr>
                  </w:pPr>
                  <w:r>
                    <w:rPr>
                      <w:rFonts w:ascii="宋体" w:hAnsi="宋体" w:cs="宋体" w:eastAsia="宋体" w:hint="default"/>
                      <w:sz w:val="18"/>
                      <w:szCs w:val="18"/>
                    </w:rPr>
                    <w:t>管理人员、</w:t>
                  </w:r>
                </w:p>
              </w:txbxContent>
            </v:textbox>
            <w10:wrap type="none"/>
          </v:shape>
        </w:pict>
      </w:r>
    </w:p>
    <w:tbl>
      <w:tblPr>
        <w:tblW w:w="0" w:type="auto"/>
        <w:jc w:val="left"/>
        <w:tblInd w:w="109" w:type="dxa"/>
        <w:tblLayout w:type="fixed"/>
        <w:tblCellMar>
          <w:top w:w="0" w:type="dxa"/>
          <w:left w:w="0" w:type="dxa"/>
          <w:bottom w:w="0" w:type="dxa"/>
          <w:right w:w="0" w:type="dxa"/>
        </w:tblCellMar>
        <w:tblLook w:val="01E0"/>
      </w:tblPr>
      <w:tblGrid>
        <w:gridCol w:w="1702"/>
        <w:gridCol w:w="1277"/>
        <w:gridCol w:w="850"/>
        <w:gridCol w:w="5180"/>
        <w:gridCol w:w="1134"/>
        <w:gridCol w:w="1134"/>
        <w:gridCol w:w="3544"/>
      </w:tblGrid>
      <w:tr>
        <w:trPr>
          <w:trHeight w:val="332" w:hRule="exact"/>
        </w:trPr>
        <w:tc>
          <w:tcPr>
            <w:tcW w:w="1702" w:type="dxa"/>
            <w:vMerge w:val="restart"/>
            <w:tcBorders>
              <w:top w:val="single" w:sz="15" w:space="0" w:color="000000"/>
              <w:left w:val="single" w:sz="4" w:space="0" w:color="000000"/>
              <w:right w:val="single" w:sz="4" w:space="0" w:color="000000"/>
            </w:tcBorders>
            <w:shd w:val="clear" w:color="auto" w:fill="D2D2D2"/>
          </w:tcPr>
          <w:p>
            <w:pPr/>
          </w:p>
        </w:tc>
        <w:tc>
          <w:tcPr>
            <w:tcW w:w="1277" w:type="dxa"/>
            <w:vMerge w:val="restart"/>
            <w:tcBorders>
              <w:top w:val="single" w:sz="15" w:space="0" w:color="000000"/>
              <w:left w:val="single" w:sz="4" w:space="0" w:color="000000"/>
              <w:right w:val="single" w:sz="4" w:space="0" w:color="000000"/>
            </w:tcBorders>
          </w:tcPr>
          <w:p>
            <w:pPr/>
          </w:p>
        </w:tc>
        <w:tc>
          <w:tcPr>
            <w:tcW w:w="850" w:type="dxa"/>
            <w:vMerge w:val="restart"/>
            <w:tcBorders>
              <w:top w:val="single" w:sz="15" w:space="0" w:color="000000"/>
              <w:left w:val="single" w:sz="4" w:space="0" w:color="000000"/>
              <w:right w:val="single" w:sz="4" w:space="0" w:color="000000"/>
            </w:tcBorders>
          </w:tcPr>
          <w:p>
            <w:pPr/>
          </w:p>
        </w:tc>
        <w:tc>
          <w:tcPr>
            <w:tcW w:w="5180" w:type="dxa"/>
            <w:tcBorders>
              <w:top w:val="single" w:sz="15" w:space="0" w:color="000000"/>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至本协议签署日，除了正常的业务合作之外，上海树维及其分公</w:t>
            </w:r>
          </w:p>
        </w:tc>
        <w:tc>
          <w:tcPr>
            <w:tcW w:w="1134" w:type="dxa"/>
            <w:vMerge w:val="restart"/>
            <w:tcBorders>
              <w:top w:val="single" w:sz="15" w:space="0" w:color="000000"/>
              <w:left w:val="single" w:sz="4" w:space="0" w:color="000000"/>
              <w:right w:val="single" w:sz="4" w:space="0" w:color="000000"/>
            </w:tcBorders>
          </w:tcPr>
          <w:p>
            <w:pPr>
              <w:pStyle w:val="TableParagraph"/>
              <w:spacing w:line="9361" w:lineRule="exact"/>
              <w:ind w:right="-51"/>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86"/>
                <w:sz w:val="20"/>
                <w:szCs w:val="20"/>
              </w:rPr>
              <w:pict>
                <v:group style="width:56.25pt;height:468.1pt;mso-position-horizontal-relative:char;mso-position-vertical-relative:line" coordorigin="0,0" coordsize="1125,9362">
                  <v:group style="position:absolute;left:0;top:0;width:1125;height:9362" coordorigin="0,0" coordsize="1125,9362">
                    <v:shape style="position:absolute;left:0;top:0;width:1125;height:9362" coordorigin="0,0" coordsize="1125,9362" path="m0,9361l1124,9361,1124,0,0,0,0,9361xe" filled="true" fillcolor="#ffffff" stroked="false">
                      <v:path arrowok="t"/>
                      <v:fill type="solid"/>
                    </v:shape>
                  </v:group>
                </v:group>
              </w:pict>
            </w:r>
            <w:r>
              <w:rPr>
                <w:rFonts w:ascii="Times New Roman" w:hAnsi="Times New Roman" w:cs="Times New Roman" w:eastAsia="Times New Roman" w:hint="default"/>
                <w:position w:val="-186"/>
                <w:sz w:val="20"/>
                <w:szCs w:val="20"/>
              </w:rPr>
            </w:r>
          </w:p>
        </w:tc>
        <w:tc>
          <w:tcPr>
            <w:tcW w:w="1134" w:type="dxa"/>
            <w:vMerge w:val="restart"/>
            <w:tcBorders>
              <w:top w:val="single" w:sz="15" w:space="0" w:color="000000"/>
              <w:left w:val="single" w:sz="4" w:space="0" w:color="000000"/>
              <w:right w:val="single" w:sz="4" w:space="0" w:color="000000"/>
            </w:tcBorders>
          </w:tcPr>
          <w:p>
            <w:pPr/>
          </w:p>
        </w:tc>
        <w:tc>
          <w:tcPr>
            <w:tcW w:w="3544" w:type="dxa"/>
            <w:vMerge w:val="restart"/>
            <w:tcBorders>
              <w:top w:val="single" w:sz="15" w:space="0" w:color="000000"/>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司没有与任何第三方开展任何合资、合作及其他资本性交易等，</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或者通过口头或书面形式向第三方作出的准备合资、合作或类似</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行动的实质性承诺；上海树维及其分公司目前不存在拟进行的资</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产置换、资产剥离、资产出售或收购等重大资产变化情况。</w:t>
            </w: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上</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0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海树维及其分公司已向新开普提交了所有重要的正在履行的业务</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合同、合作合同，重要的正在履行的知识产权开发、许可或转让</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合同，所有的正在履行的借款、担保、抵押合同；该等合同均是</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真实、合法、有效的，并能得到有效执行。</w:t>
            </w:r>
            <w:r>
              <w:rPr>
                <w:rFonts w:ascii="Times New Roman" w:hAnsi="Times New Roman" w:cs="Times New Roman" w:eastAsia="Times New Roman" w:hint="default"/>
                <w:sz w:val="18"/>
                <w:szCs w:val="18"/>
              </w:rPr>
              <w:t>14</w:t>
            </w:r>
            <w:r>
              <w:rPr>
                <w:rFonts w:ascii="宋体" w:hAnsi="宋体" w:cs="宋体" w:eastAsia="宋体" w:hint="default"/>
                <w:sz w:val="18"/>
                <w:szCs w:val="18"/>
              </w:rPr>
              <w:t>、交易对方与上海</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0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树维及其分公司及其任何关联方（包括但不限于上海树维及其分</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公司董事、监事、管理人员、股东及上述人士以任何方式控制的</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其他自然人或实体）之间不存在任何损害上海树维及其分公司利</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益的关联交易。除向新开普已披露的或新开普已知悉的外，交易</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对方及其关联方（包括但不限于关联方的董事、监事、</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股东及上述人士以任何方式控制的其他自然人或实体）不存在以</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任何形式在任何地区从事或参与任何与上海树维及其分公司目前</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所实际经营业务相同、相似、构成或可能构成直接或间接竞争关</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系的业务或活动。</w:t>
            </w:r>
            <w:r>
              <w:rPr>
                <w:rFonts w:ascii="Times New Roman" w:hAnsi="Times New Roman" w:cs="Times New Roman" w:eastAsia="Times New Roman" w:hint="default"/>
                <w:sz w:val="18"/>
                <w:szCs w:val="18"/>
              </w:rPr>
              <w:t>15</w:t>
            </w:r>
            <w:r>
              <w:rPr>
                <w:rFonts w:ascii="宋体" w:hAnsi="宋体" w:cs="宋体" w:eastAsia="宋体" w:hint="default"/>
                <w:sz w:val="18"/>
                <w:szCs w:val="18"/>
              </w:rPr>
              <w:t>、截至本协议签署日，上海树维及其分公司</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0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不存在任何可能对上海树维及其分公司业务及经营情况产生重大</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不利影响的情形。</w:t>
            </w:r>
            <w:r>
              <w:rPr>
                <w:rFonts w:ascii="Times New Roman" w:hAnsi="Times New Roman" w:cs="Times New Roman" w:eastAsia="Times New Roman" w:hint="default"/>
                <w:sz w:val="18"/>
                <w:szCs w:val="18"/>
              </w:rPr>
              <w:t>16</w:t>
            </w:r>
            <w:r>
              <w:rPr>
                <w:rFonts w:ascii="宋体" w:hAnsi="宋体" w:cs="宋体" w:eastAsia="宋体" w:hint="default"/>
                <w:sz w:val="18"/>
                <w:szCs w:val="18"/>
              </w:rPr>
              <w:t>、上海树维及其分公司已及时与其在职员工</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0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依法签署了劳动合同；除上海树维及其分公司在本协议签署日前</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实际一直持续实施的常规性奖励方案或制度或已向新开普披露的</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或新开普已知悉的外，上海树维及其分公司不存在（或拟采取）</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为其所有或任何董事、高级管理人员或其他雇员的任何股权激励</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方案、股权期权方案或利润分享、佣金或其他该等奖励方案，经</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新开普书面同意的除外；如上海树维及其分公司因在交割日前未</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依法为员工缴纳社会保险费或住房公积金而在交割日后受到任何</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处罚、追索、索赔或受到任何损失（包括但不限于依法需为员工</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补缴的社会保险费、住房公积金及任何滞纳金、罚款、损害赔偿</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8" w:hRule="exact"/>
        </w:trPr>
        <w:tc>
          <w:tcPr>
            <w:tcW w:w="1702" w:type="dxa"/>
            <w:vMerge/>
            <w:tcBorders>
              <w:left w:val="single" w:sz="4" w:space="0" w:color="000000"/>
              <w:bottom w:val="single" w:sz="4" w:space="0" w:color="000000"/>
              <w:right w:val="single" w:sz="4" w:space="0" w:color="000000"/>
            </w:tcBorders>
            <w:shd w:val="clear" w:color="auto" w:fill="D2D2D2"/>
          </w:tcPr>
          <w:p>
            <w:pPr/>
          </w:p>
        </w:tc>
        <w:tc>
          <w:tcPr>
            <w:tcW w:w="1277" w:type="dxa"/>
            <w:vMerge/>
            <w:tcBorders>
              <w:left w:val="single" w:sz="4" w:space="0" w:color="000000"/>
              <w:bottom w:val="single" w:sz="4" w:space="0" w:color="000000"/>
              <w:right w:val="single" w:sz="4" w:space="0" w:color="000000"/>
            </w:tcBorders>
          </w:tcPr>
          <w:p>
            <w:pPr/>
          </w:p>
        </w:tc>
        <w:tc>
          <w:tcPr>
            <w:tcW w:w="850" w:type="dxa"/>
            <w:vMerge/>
            <w:tcBorders>
              <w:left w:val="single" w:sz="4" w:space="0" w:color="000000"/>
              <w:bottom w:val="single" w:sz="4" w:space="0" w:color="000000"/>
              <w:right w:val="single" w:sz="4" w:space="0" w:color="000000"/>
            </w:tcBorders>
          </w:tcPr>
          <w:p>
            <w:pPr/>
          </w:p>
        </w:tc>
        <w:tc>
          <w:tcPr>
            <w:tcW w:w="518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金和</w:t>
            </w:r>
            <w:r>
              <w:rPr>
                <w:rFonts w:ascii="Times New Roman" w:hAnsi="Times New Roman" w:cs="Times New Roman" w:eastAsia="Times New Roman" w:hint="default"/>
                <w:sz w:val="18"/>
                <w:szCs w:val="18"/>
              </w:rPr>
              <w:t>/</w:t>
            </w:r>
            <w:r>
              <w:rPr>
                <w:rFonts w:ascii="宋体" w:hAnsi="宋体" w:cs="宋体" w:eastAsia="宋体" w:hint="default"/>
                <w:sz w:val="18"/>
                <w:szCs w:val="18"/>
              </w:rPr>
              <w:t>或承担其他法律责任等</w:t>
            </w:r>
            <w:r>
              <w:rPr>
                <w:rFonts w:ascii="宋体" w:hAnsi="宋体" w:cs="宋体" w:eastAsia="宋体" w:hint="default"/>
                <w:spacing w:val="-90"/>
                <w:sz w:val="18"/>
                <w:szCs w:val="18"/>
              </w:rPr>
              <w:t>）</w:t>
            </w:r>
            <w:r>
              <w:rPr>
                <w:rFonts w:ascii="宋体" w:hAnsi="宋体" w:cs="宋体" w:eastAsia="宋体" w:hint="default"/>
                <w:spacing w:val="-58"/>
                <w:sz w:val="18"/>
                <w:szCs w:val="18"/>
              </w:rPr>
              <w:t>，</w:t>
            </w:r>
            <w:r>
              <w:rPr>
                <w:rFonts w:ascii="宋体" w:hAnsi="宋体" w:cs="宋体" w:eastAsia="宋体" w:hint="default"/>
                <w:sz w:val="18"/>
                <w:szCs w:val="18"/>
              </w:rPr>
              <w:t>交易对方应就上海树维及其分公司</w:t>
            </w:r>
          </w:p>
        </w:tc>
        <w:tc>
          <w:tcPr>
            <w:tcW w:w="1134" w:type="dxa"/>
            <w:vMerge/>
            <w:tcBorders>
              <w:left w:val="single" w:sz="4" w:space="0" w:color="000000"/>
              <w:bottom w:val="single" w:sz="4" w:space="0" w:color="000000"/>
              <w:right w:val="single" w:sz="4" w:space="0" w:color="000000"/>
            </w:tcBorders>
          </w:tcPr>
          <w:p>
            <w:pPr/>
          </w:p>
        </w:tc>
        <w:tc>
          <w:tcPr>
            <w:tcW w:w="1134" w:type="dxa"/>
            <w:vMerge/>
            <w:tcBorders>
              <w:left w:val="single" w:sz="4" w:space="0" w:color="000000"/>
              <w:bottom w:val="single" w:sz="4" w:space="0" w:color="000000"/>
              <w:right w:val="single" w:sz="4" w:space="0" w:color="000000"/>
            </w:tcBorders>
          </w:tcPr>
          <w:p>
            <w:pPr/>
          </w:p>
        </w:tc>
        <w:tc>
          <w:tcPr>
            <w:tcW w:w="3544" w:type="dxa"/>
            <w:vMerge/>
            <w:tcBorders>
              <w:left w:val="single" w:sz="4" w:space="0" w:color="000000"/>
              <w:bottom w:val="single" w:sz="4" w:space="0" w:color="000000"/>
              <w:right w:val="single" w:sz="4" w:space="0" w:color="000000"/>
            </w:tcBorders>
          </w:tcPr>
          <w:p>
            <w:pPr/>
          </w:p>
        </w:tc>
      </w:tr>
    </w:tbl>
    <w:p>
      <w:pPr>
        <w:spacing w:after="0"/>
        <w:sectPr>
          <w:pgSz w:w="16840" w:h="11910" w:orient="landscape"/>
          <w:pgMar w:header="867" w:footer="979" w:top="1060" w:bottom="1160" w:left="900" w:right="880"/>
        </w:sectPr>
      </w:pPr>
    </w:p>
    <w:p>
      <w:pPr>
        <w:spacing w:line="240" w:lineRule="auto" w:before="4"/>
        <w:rPr>
          <w:rFonts w:ascii="Times New Roman" w:hAnsi="Times New Roman" w:cs="Times New Roman" w:eastAsia="Times New Roman" w:hint="default"/>
          <w:sz w:val="3"/>
          <w:szCs w:val="3"/>
        </w:rPr>
      </w:pPr>
      <w:r>
        <w:rPr/>
        <w:pict>
          <v:shape style="position:absolute;margin-left:477.140015pt;margin-top:57.180008pt;width:80.45pt;height:468.1pt;mso-position-horizontal-relative:page;mso-position-vertical-relative:page;z-index:-1222048" type="#_x0000_t202" filled="false" stroked="false">
            <v:textbox inset="0,0,0,0">
              <w:txbxContent>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before="134"/>
                    <w:ind w:left="0" w:right="0" w:firstLine="0"/>
                    <w:jc w:val="left"/>
                    <w:rPr>
                      <w:rFonts w:ascii="宋体" w:hAnsi="宋体" w:cs="宋体" w:eastAsia="宋体" w:hint="default"/>
                      <w:sz w:val="18"/>
                      <w:szCs w:val="18"/>
                    </w:rPr>
                  </w:pPr>
                  <w:r>
                    <w:rPr>
                      <w:rFonts w:ascii="宋体" w:hAnsi="宋体" w:cs="宋体" w:eastAsia="宋体" w:hint="default"/>
                      <w:sz w:val="18"/>
                      <w:szCs w:val="18"/>
                    </w:rPr>
                    <w:t>仲裁、</w:t>
                  </w: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7"/>
                    <w:rPr>
                      <w:rFonts w:ascii="Times New Roman" w:hAnsi="Times New Roman" w:cs="Times New Roman" w:eastAsia="Times New Roman" w:hint="default"/>
                      <w:sz w:val="16"/>
                      <w:szCs w:val="16"/>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仲裁、</w:t>
                  </w:r>
                </w:p>
              </w:txbxContent>
            </v:textbox>
            <w10:wrap type="none"/>
          </v:shape>
        </w:pict>
      </w:r>
    </w:p>
    <w:tbl>
      <w:tblPr>
        <w:tblW w:w="0" w:type="auto"/>
        <w:jc w:val="left"/>
        <w:tblInd w:w="109" w:type="dxa"/>
        <w:tblLayout w:type="fixed"/>
        <w:tblCellMar>
          <w:top w:w="0" w:type="dxa"/>
          <w:left w:w="0" w:type="dxa"/>
          <w:bottom w:w="0" w:type="dxa"/>
          <w:right w:w="0" w:type="dxa"/>
        </w:tblCellMar>
        <w:tblLook w:val="01E0"/>
      </w:tblPr>
      <w:tblGrid>
        <w:gridCol w:w="1702"/>
        <w:gridCol w:w="1277"/>
        <w:gridCol w:w="850"/>
        <w:gridCol w:w="5180"/>
        <w:gridCol w:w="1134"/>
        <w:gridCol w:w="1134"/>
        <w:gridCol w:w="3544"/>
      </w:tblGrid>
      <w:tr>
        <w:trPr>
          <w:trHeight w:val="332" w:hRule="exact"/>
        </w:trPr>
        <w:tc>
          <w:tcPr>
            <w:tcW w:w="1702" w:type="dxa"/>
            <w:vMerge w:val="restart"/>
            <w:tcBorders>
              <w:top w:val="single" w:sz="15" w:space="0" w:color="000000"/>
              <w:left w:val="single" w:sz="4" w:space="0" w:color="000000"/>
              <w:right w:val="single" w:sz="4" w:space="0" w:color="000000"/>
            </w:tcBorders>
            <w:shd w:val="clear" w:color="auto" w:fill="D2D2D2"/>
          </w:tcPr>
          <w:p>
            <w:pPr/>
          </w:p>
        </w:tc>
        <w:tc>
          <w:tcPr>
            <w:tcW w:w="1277" w:type="dxa"/>
            <w:vMerge w:val="restart"/>
            <w:tcBorders>
              <w:top w:val="single" w:sz="15" w:space="0" w:color="000000"/>
              <w:left w:val="single" w:sz="4" w:space="0" w:color="000000"/>
              <w:right w:val="single" w:sz="4" w:space="0" w:color="000000"/>
            </w:tcBorders>
          </w:tcPr>
          <w:p>
            <w:pPr/>
          </w:p>
        </w:tc>
        <w:tc>
          <w:tcPr>
            <w:tcW w:w="850" w:type="dxa"/>
            <w:vMerge w:val="restart"/>
            <w:tcBorders>
              <w:top w:val="single" w:sz="15" w:space="0" w:color="000000"/>
              <w:left w:val="single" w:sz="4" w:space="0" w:color="000000"/>
              <w:right w:val="single" w:sz="4" w:space="0" w:color="000000"/>
            </w:tcBorders>
          </w:tcPr>
          <w:p>
            <w:pPr/>
          </w:p>
        </w:tc>
        <w:tc>
          <w:tcPr>
            <w:tcW w:w="5180" w:type="dxa"/>
            <w:tcBorders>
              <w:top w:val="single" w:sz="15" w:space="0" w:color="000000"/>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的该等损失承担赔偿责任；如该等损失由上海树维及其分公司先</w:t>
            </w:r>
          </w:p>
        </w:tc>
        <w:tc>
          <w:tcPr>
            <w:tcW w:w="1134" w:type="dxa"/>
            <w:vMerge w:val="restart"/>
            <w:tcBorders>
              <w:top w:val="single" w:sz="15" w:space="0" w:color="000000"/>
              <w:left w:val="single" w:sz="4" w:space="0" w:color="000000"/>
              <w:right w:val="single" w:sz="4" w:space="0" w:color="000000"/>
            </w:tcBorders>
          </w:tcPr>
          <w:p>
            <w:pPr>
              <w:pStyle w:val="TableParagraph"/>
              <w:spacing w:line="9361" w:lineRule="exact"/>
              <w:ind w:right="-51"/>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86"/>
                <w:sz w:val="20"/>
                <w:szCs w:val="20"/>
              </w:rPr>
              <w:pict>
                <v:group style="width:56.25pt;height:468.1pt;mso-position-horizontal-relative:char;mso-position-vertical-relative:line" coordorigin="0,0" coordsize="1125,9362">
                  <v:group style="position:absolute;left:0;top:0;width:1125;height:9362" coordorigin="0,0" coordsize="1125,9362">
                    <v:shape style="position:absolute;left:0;top:0;width:1125;height:9362" coordorigin="0,0" coordsize="1125,9362" path="m0,9361l1124,9361,1124,0,0,0,0,9361xe" filled="true" fillcolor="#ffffff" stroked="false">
                      <v:path arrowok="t"/>
                      <v:fill type="solid"/>
                    </v:shape>
                  </v:group>
                </v:group>
              </w:pict>
            </w:r>
            <w:r>
              <w:rPr>
                <w:rFonts w:ascii="Times New Roman" w:hAnsi="Times New Roman" w:cs="Times New Roman" w:eastAsia="Times New Roman" w:hint="default"/>
                <w:position w:val="-186"/>
                <w:sz w:val="20"/>
                <w:szCs w:val="20"/>
              </w:rPr>
            </w:r>
          </w:p>
        </w:tc>
        <w:tc>
          <w:tcPr>
            <w:tcW w:w="1134" w:type="dxa"/>
            <w:vMerge w:val="restart"/>
            <w:tcBorders>
              <w:top w:val="single" w:sz="15" w:space="0" w:color="000000"/>
              <w:left w:val="single" w:sz="4" w:space="0" w:color="000000"/>
              <w:right w:val="single" w:sz="4" w:space="0" w:color="000000"/>
            </w:tcBorders>
          </w:tcPr>
          <w:p>
            <w:pPr/>
          </w:p>
        </w:tc>
        <w:tc>
          <w:tcPr>
            <w:tcW w:w="3544" w:type="dxa"/>
            <w:vMerge w:val="restart"/>
            <w:tcBorders>
              <w:top w:val="single" w:sz="15" w:space="0" w:color="000000"/>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行承担，交易对方应在上海树维及其分公司承担该等损失之日起</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日内以除上海树维股权以外的其他合法财产对上海树维及其分</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公司承担全部补偿责任。</w:t>
            </w:r>
            <w:r>
              <w:rPr>
                <w:rFonts w:ascii="Times New Roman" w:hAnsi="Times New Roman" w:cs="Times New Roman" w:eastAsia="Times New Roman" w:hint="default"/>
                <w:sz w:val="18"/>
                <w:szCs w:val="18"/>
              </w:rPr>
              <w:t>17</w:t>
            </w:r>
            <w:r>
              <w:rPr>
                <w:rFonts w:ascii="宋体" w:hAnsi="宋体" w:cs="宋体" w:eastAsia="宋体" w:hint="default"/>
                <w:sz w:val="18"/>
                <w:szCs w:val="18"/>
              </w:rPr>
              <w:t>、上海树维及其分公司的经营活动符</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0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合相关法律法规的规定；上海树维及其分公司不存在严重违反工</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商、税务、海关、外汇、房产、土地使用和管理、环保、劳动及</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社会保障等方面法律法规和规范性文件的情形（前述所称</w:t>
            </w:r>
            <w:r>
              <w:rPr>
                <w:rFonts w:ascii="Times New Roman" w:hAnsi="Times New Roman" w:cs="Times New Roman" w:eastAsia="Times New Roman" w:hint="default"/>
                <w:sz w:val="18"/>
                <w:szCs w:val="18"/>
              </w:rPr>
              <w:t>"</w:t>
            </w:r>
            <w:r>
              <w:rPr>
                <w:rFonts w:ascii="宋体" w:hAnsi="宋体" w:cs="宋体" w:eastAsia="宋体" w:hint="default"/>
                <w:sz w:val="18"/>
                <w:szCs w:val="18"/>
              </w:rPr>
              <w:t>严重违</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反</w:t>
            </w:r>
            <w:r>
              <w:rPr>
                <w:rFonts w:ascii="Times New Roman" w:hAnsi="Times New Roman" w:cs="Times New Roman" w:eastAsia="Times New Roman" w:hint="default"/>
                <w:sz w:val="18"/>
                <w:szCs w:val="18"/>
              </w:rPr>
              <w:t>"</w:t>
            </w:r>
            <w:r>
              <w:rPr>
                <w:rFonts w:ascii="宋体" w:hAnsi="宋体" w:cs="宋体" w:eastAsia="宋体" w:hint="default"/>
                <w:sz w:val="18"/>
                <w:szCs w:val="18"/>
              </w:rPr>
              <w:t>是指依据前述相关法律法规或被主管部门认定为</w:t>
            </w:r>
            <w:r>
              <w:rPr>
                <w:rFonts w:ascii="Times New Roman" w:hAnsi="Times New Roman" w:cs="Times New Roman" w:eastAsia="Times New Roman" w:hint="default"/>
                <w:sz w:val="18"/>
                <w:szCs w:val="18"/>
              </w:rPr>
              <w:t>"</w:t>
            </w:r>
            <w:r>
              <w:rPr>
                <w:rFonts w:ascii="宋体" w:hAnsi="宋体" w:cs="宋体" w:eastAsia="宋体" w:hint="default"/>
                <w:sz w:val="18"/>
                <w:szCs w:val="18"/>
              </w:rPr>
              <w:t>重大违法</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0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或违反前述法律法规和规范性文件的规定足以对上海树维及其分</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公司造成重大不利影响的情形</w:t>
            </w:r>
            <w:r>
              <w:rPr>
                <w:rFonts w:ascii="宋体" w:hAnsi="宋体" w:cs="宋体" w:eastAsia="宋体" w:hint="default"/>
                <w:spacing w:val="-90"/>
                <w:sz w:val="18"/>
                <w:szCs w:val="18"/>
              </w:rPr>
              <w:t>）</w:t>
            </w:r>
            <w:r>
              <w:rPr>
                <w:rFonts w:ascii="宋体" w:hAnsi="宋体" w:cs="宋体" w:eastAsia="宋体" w:hint="default"/>
                <w:sz w:val="18"/>
                <w:szCs w:val="18"/>
              </w:rPr>
              <w:t>；除已向新开普书面披露的情形</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pacing w:val="-4"/>
                <w:sz w:val="18"/>
                <w:szCs w:val="18"/>
              </w:rPr>
              <w:t>外，上海树维及其分公司不存在其他任何政府机关的行政处罚（包</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括但不限于工商、税务、海关、外汇、房产、土地使用和管理、</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环保</w:t>
            </w:r>
            <w:r>
              <w:rPr>
                <w:rFonts w:ascii="宋体" w:hAnsi="宋体" w:cs="宋体" w:eastAsia="宋体" w:hint="default"/>
                <w:spacing w:val="-4"/>
                <w:sz w:val="18"/>
                <w:szCs w:val="18"/>
              </w:rPr>
              <w:t>、</w:t>
            </w:r>
            <w:r>
              <w:rPr>
                <w:rFonts w:ascii="宋体" w:hAnsi="宋体" w:cs="宋体" w:eastAsia="宋体" w:hint="default"/>
                <w:sz w:val="18"/>
                <w:szCs w:val="18"/>
              </w:rPr>
              <w:t>劳动及社会保障等方面的行政处罚</w:t>
            </w:r>
            <w:r>
              <w:rPr>
                <w:rFonts w:ascii="宋体" w:hAnsi="宋体" w:cs="宋体" w:eastAsia="宋体" w:hint="default"/>
                <w:spacing w:val="-90"/>
                <w:sz w:val="18"/>
                <w:szCs w:val="18"/>
              </w:rPr>
              <w:t>）</w:t>
            </w:r>
            <w:r>
              <w:rPr>
                <w:rFonts w:ascii="宋体" w:hAnsi="宋体" w:cs="宋体" w:eastAsia="宋体" w:hint="default"/>
                <w:spacing w:val="-4"/>
                <w:sz w:val="18"/>
                <w:szCs w:val="18"/>
              </w:rPr>
              <w:t>，</w:t>
            </w:r>
            <w:r>
              <w:rPr>
                <w:rFonts w:ascii="宋体" w:hAnsi="宋体" w:cs="宋体" w:eastAsia="宋体" w:hint="default"/>
                <w:sz w:val="18"/>
                <w:szCs w:val="18"/>
              </w:rPr>
              <w:t>不存在任何正在进行</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的或将要发生的为一方（或以其财产或资产为标的）诉讼、</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争议及索赔；自交割日起，若因上海树维及其分公司在交割日前</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的经营过程中存在违法违规情形、侵权行为或未能及时获得相关</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资质或许可的等原因而导致的一切民事、行政或刑事责任而直接</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或间接致使新开普遭受损失，交易对方将对新开普承担连带赔偿</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责任。</w:t>
            </w:r>
            <w:r>
              <w:rPr>
                <w:rFonts w:ascii="Times New Roman" w:hAnsi="Times New Roman" w:cs="Times New Roman" w:eastAsia="Times New Roman" w:hint="default"/>
                <w:sz w:val="18"/>
                <w:szCs w:val="18"/>
              </w:rPr>
              <w:t>18</w:t>
            </w:r>
            <w:r>
              <w:rPr>
                <w:rFonts w:ascii="宋体" w:hAnsi="宋体" w:cs="宋体" w:eastAsia="宋体" w:hint="default"/>
                <w:sz w:val="18"/>
                <w:szCs w:val="18"/>
              </w:rPr>
              <w:t>、上海树维及其分公司不存在由于违反任何劳动和社会</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保障方面的法律法规而受到任何政府机关的处罚的情形。</w:t>
            </w:r>
            <w:r>
              <w:rPr>
                <w:rFonts w:ascii="Times New Roman" w:hAnsi="Times New Roman" w:cs="Times New Roman" w:eastAsia="Times New Roman" w:hint="default"/>
                <w:sz w:val="18"/>
                <w:szCs w:val="18"/>
              </w:rPr>
              <w:t>19</w:t>
            </w:r>
            <w:r>
              <w:rPr>
                <w:rFonts w:ascii="宋体" w:hAnsi="宋体" w:cs="宋体" w:eastAsia="宋体" w:hint="default"/>
                <w:sz w:val="18"/>
                <w:szCs w:val="18"/>
              </w:rPr>
              <w:t>、上</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0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海树维及其分公司不存在尚未了结的其所提起的、或以上海树维</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及其分公司作为相对方的或与之相关的任何进行中的诉讼、</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行政处罚、行政复议、申诉等法律程序，且上海树维及其分公司</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不存在依照法院、仲裁机构或其他司法、行政部门作出的判决、</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裁决或决定应承担法律责任或义务但尚未履行完毕的情况。</w:t>
            </w:r>
            <w:r>
              <w:rPr>
                <w:rFonts w:ascii="Times New Roman" w:hAnsi="Times New Roman" w:cs="Times New Roman" w:eastAsia="Times New Roman" w:hint="default"/>
                <w:sz w:val="18"/>
                <w:szCs w:val="18"/>
              </w:rPr>
              <w:t>20</w:t>
            </w:r>
            <w:r>
              <w:rPr>
                <w:rFonts w:ascii="宋体" w:hAnsi="宋体" w:cs="宋体" w:eastAsia="宋体" w:hint="default"/>
                <w:sz w:val="18"/>
                <w:szCs w:val="18"/>
              </w:rPr>
              <w:t>、</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0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交易对方已向新开普完全及正确披露了上海树维及其分公司截至</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本协议签署日的所有正在履行期限内的债务；交易对方及上海树</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维及其分公司不存在可能严重影响到按本协议项下条款和条件进</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行本次交易的未清偿债务和法律责任；并且，在未获得新开普事</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8" w:hRule="exact"/>
        </w:trPr>
        <w:tc>
          <w:tcPr>
            <w:tcW w:w="1702" w:type="dxa"/>
            <w:vMerge/>
            <w:tcBorders>
              <w:left w:val="single" w:sz="4" w:space="0" w:color="000000"/>
              <w:bottom w:val="single" w:sz="4" w:space="0" w:color="000000"/>
              <w:right w:val="single" w:sz="4" w:space="0" w:color="000000"/>
            </w:tcBorders>
            <w:shd w:val="clear" w:color="auto" w:fill="D2D2D2"/>
          </w:tcPr>
          <w:p>
            <w:pPr/>
          </w:p>
        </w:tc>
        <w:tc>
          <w:tcPr>
            <w:tcW w:w="1277" w:type="dxa"/>
            <w:vMerge/>
            <w:tcBorders>
              <w:left w:val="single" w:sz="4" w:space="0" w:color="000000"/>
              <w:bottom w:val="single" w:sz="4" w:space="0" w:color="000000"/>
              <w:right w:val="single" w:sz="4" w:space="0" w:color="000000"/>
            </w:tcBorders>
          </w:tcPr>
          <w:p>
            <w:pPr/>
          </w:p>
        </w:tc>
        <w:tc>
          <w:tcPr>
            <w:tcW w:w="850" w:type="dxa"/>
            <w:vMerge/>
            <w:tcBorders>
              <w:left w:val="single" w:sz="4" w:space="0" w:color="000000"/>
              <w:bottom w:val="single" w:sz="4" w:space="0" w:color="000000"/>
              <w:right w:val="single" w:sz="4" w:space="0" w:color="000000"/>
            </w:tcBorders>
          </w:tcPr>
          <w:p>
            <w:pPr/>
          </w:p>
        </w:tc>
        <w:tc>
          <w:tcPr>
            <w:tcW w:w="518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先书面同意之前，交易对方及上海树维及其分公司将不会发生该</w:t>
            </w:r>
          </w:p>
        </w:tc>
        <w:tc>
          <w:tcPr>
            <w:tcW w:w="1134" w:type="dxa"/>
            <w:vMerge/>
            <w:tcBorders>
              <w:left w:val="single" w:sz="4" w:space="0" w:color="000000"/>
              <w:bottom w:val="single" w:sz="4" w:space="0" w:color="000000"/>
              <w:right w:val="single" w:sz="4" w:space="0" w:color="000000"/>
            </w:tcBorders>
          </w:tcPr>
          <w:p>
            <w:pPr/>
          </w:p>
        </w:tc>
        <w:tc>
          <w:tcPr>
            <w:tcW w:w="1134" w:type="dxa"/>
            <w:vMerge/>
            <w:tcBorders>
              <w:left w:val="single" w:sz="4" w:space="0" w:color="000000"/>
              <w:bottom w:val="single" w:sz="4" w:space="0" w:color="000000"/>
              <w:right w:val="single" w:sz="4" w:space="0" w:color="000000"/>
            </w:tcBorders>
          </w:tcPr>
          <w:p>
            <w:pPr/>
          </w:p>
        </w:tc>
        <w:tc>
          <w:tcPr>
            <w:tcW w:w="3544" w:type="dxa"/>
            <w:vMerge/>
            <w:tcBorders>
              <w:left w:val="single" w:sz="4" w:space="0" w:color="000000"/>
              <w:bottom w:val="single" w:sz="4" w:space="0" w:color="000000"/>
              <w:right w:val="single" w:sz="4" w:space="0" w:color="000000"/>
            </w:tcBorders>
          </w:tcPr>
          <w:p>
            <w:pPr/>
          </w:p>
        </w:tc>
      </w:tr>
    </w:tbl>
    <w:p>
      <w:pPr>
        <w:spacing w:after="0"/>
        <w:sectPr>
          <w:pgSz w:w="16840" w:h="11910" w:orient="landscape"/>
          <w:pgMar w:header="867" w:footer="979" w:top="1060" w:bottom="1160" w:left="900" w:right="880"/>
        </w:sectPr>
      </w:pPr>
    </w:p>
    <w:p>
      <w:pPr>
        <w:spacing w:line="240" w:lineRule="auto" w:before="4"/>
        <w:rPr>
          <w:rFonts w:ascii="Times New Roman" w:hAnsi="Times New Roman" w:cs="Times New Roman" w:eastAsia="Times New Roman" w:hint="default"/>
          <w:sz w:val="3"/>
          <w:szCs w:val="3"/>
        </w:rPr>
      </w:pPr>
      <w:r>
        <w:rPr/>
        <w:pict>
          <v:shape style="position:absolute;margin-left:297.140015pt;margin-top:57.180008pt;width:260.45pt;height:298.5pt;mso-position-horizontal-relative:page;mso-position-vertical-relative:page;z-index:-1222000" type="#_x0000_t202" filled="false" stroked="false">
            <v:textbox inset="0,0,0,0">
              <w:txbxContent>
                <w:p>
                  <w:pPr>
                    <w:spacing w:line="240" w:lineRule="auto" w:before="0"/>
                    <w:rPr>
                      <w:rFonts w:ascii="Times New Roman" w:hAnsi="Times New Roman" w:cs="Times New Roman" w:eastAsia="Times New Roman" w:hint="default"/>
                      <w:sz w:val="18"/>
                      <w:szCs w:val="18"/>
                    </w:rPr>
                  </w:pPr>
                </w:p>
                <w:p>
                  <w:pPr>
                    <w:spacing w:line="316" w:lineRule="auto" w:before="116"/>
                    <w:ind w:left="0" w:right="1066" w:firstLine="1440"/>
                    <w:jc w:val="right"/>
                    <w:rPr>
                      <w:rFonts w:ascii="宋体" w:hAnsi="宋体" w:cs="宋体" w:eastAsia="宋体" w:hint="default"/>
                      <w:sz w:val="18"/>
                      <w:szCs w:val="18"/>
                    </w:rPr>
                  </w:pPr>
                  <w:r>
                    <w:rPr>
                      <w:rFonts w:ascii="宋体" w:hAnsi="宋体" w:cs="宋体" w:eastAsia="宋体" w:hint="default"/>
                      <w:sz w:val="18"/>
                      <w:szCs w:val="18"/>
                    </w:rPr>
                    <w:t>实际控制人及其控制的其他企业， 实际控制人及其控制的其他企业间不存在同业竞争，</w:t>
                  </w: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10"/>
                    <w:rPr>
                      <w:rFonts w:ascii="Times New Roman" w:hAnsi="Times New Roman" w:cs="Times New Roman" w:eastAsia="Times New Roman" w:hint="default"/>
                      <w:sz w:val="19"/>
                      <w:szCs w:val="19"/>
                    </w:rPr>
                  </w:pPr>
                </w:p>
                <w:p>
                  <w:pPr>
                    <w:spacing w:before="0"/>
                    <w:ind w:left="0" w:right="1067" w:firstLine="0"/>
                    <w:jc w:val="right"/>
                    <w:rPr>
                      <w:rFonts w:ascii="宋体" w:hAnsi="宋体" w:cs="宋体" w:eastAsia="宋体" w:hint="default"/>
                      <w:sz w:val="18"/>
                      <w:szCs w:val="18"/>
                    </w:rPr>
                  </w:pPr>
                  <w:r>
                    <w:rPr>
                      <w:rFonts w:ascii="宋体" w:hAnsi="宋体" w:cs="宋体" w:eastAsia="宋体" w:hint="default"/>
                      <w:sz w:val="18"/>
                      <w:szCs w:val="18"/>
                    </w:rPr>
                    <w:t>、</w:t>
                  </w:r>
                </w:p>
              </w:txbxContent>
            </v:textbox>
            <w10:wrap type="none"/>
          </v:shape>
        </w:pict>
      </w:r>
      <w:r>
        <w:rPr/>
        <w:pict>
          <v:group style="position:absolute;margin-left:502.480011pt;margin-top:425.339996pt;width:53.9pt;height:35.25pt;mso-position-horizontal-relative:page;mso-position-vertical-relative:page;z-index:-1221976" coordorigin="10050,8507" coordsize="1078,705">
            <v:group style="position:absolute;left:10050;top:8507;width:1078;height:353" coordorigin="10050,8507" coordsize="1078,353">
              <v:shape style="position:absolute;left:10050;top:8507;width:1078;height:353" coordorigin="10050,8507" coordsize="1078,353" path="m10050,8860l11127,8860,11127,8507,10050,8507,10050,8860xe" filled="true" fillcolor="#ffffff" stroked="false">
                <v:path arrowok="t"/>
                <v:fill type="solid"/>
              </v:shape>
            </v:group>
            <v:group style="position:absolute;left:10050;top:8860;width:1078;height:352" coordorigin="10050,8860" coordsize="1078,352">
              <v:shape style="position:absolute;left:10050;top:8860;width:1078;height:352" coordorigin="10050,8860" coordsize="1078,352" path="m10050,9211l11127,9211,11127,8860,10050,8860,10050,9211xe" filled="true" fillcolor="#ffffff" stroked="false">
                <v:path arrowok="t"/>
                <v:fill type="solid"/>
              </v:shape>
            </v:group>
            <w10:wrap type="none"/>
          </v:group>
        </w:pict>
      </w:r>
    </w:p>
    <w:tbl>
      <w:tblPr>
        <w:tblW w:w="0" w:type="auto"/>
        <w:jc w:val="left"/>
        <w:tblInd w:w="109" w:type="dxa"/>
        <w:tblLayout w:type="fixed"/>
        <w:tblCellMar>
          <w:top w:w="0" w:type="dxa"/>
          <w:left w:w="0" w:type="dxa"/>
          <w:bottom w:w="0" w:type="dxa"/>
          <w:right w:w="0" w:type="dxa"/>
        </w:tblCellMar>
        <w:tblLook w:val="01E0"/>
      </w:tblPr>
      <w:tblGrid>
        <w:gridCol w:w="1702"/>
        <w:gridCol w:w="1277"/>
        <w:gridCol w:w="850"/>
        <w:gridCol w:w="5180"/>
        <w:gridCol w:w="1134"/>
        <w:gridCol w:w="1134"/>
        <w:gridCol w:w="3544"/>
      </w:tblGrid>
      <w:tr>
        <w:trPr>
          <w:trHeight w:val="336" w:hRule="exact"/>
        </w:trPr>
        <w:tc>
          <w:tcPr>
            <w:tcW w:w="1702" w:type="dxa"/>
            <w:vMerge w:val="restart"/>
            <w:tcBorders>
              <w:top w:val="single" w:sz="15" w:space="0" w:color="000000"/>
              <w:left w:val="single" w:sz="4" w:space="0" w:color="000000"/>
              <w:right w:val="single" w:sz="4" w:space="0" w:color="000000"/>
            </w:tcBorders>
            <w:shd w:val="clear" w:color="auto" w:fill="D2D2D2"/>
          </w:tcPr>
          <w:p>
            <w:pPr/>
          </w:p>
        </w:tc>
        <w:tc>
          <w:tcPr>
            <w:tcW w:w="1277" w:type="dxa"/>
            <w:vMerge w:val="restart"/>
            <w:tcBorders>
              <w:top w:val="single" w:sz="15" w:space="0" w:color="000000"/>
              <w:left w:val="single" w:sz="4" w:space="0" w:color="000000"/>
              <w:right w:val="single" w:sz="4" w:space="0" w:color="000000"/>
            </w:tcBorders>
          </w:tcPr>
          <w:p>
            <w:pPr/>
          </w:p>
        </w:tc>
        <w:tc>
          <w:tcPr>
            <w:tcW w:w="850" w:type="dxa"/>
            <w:vMerge w:val="restart"/>
            <w:tcBorders>
              <w:top w:val="single" w:sz="15" w:space="0" w:color="000000"/>
              <w:left w:val="single" w:sz="4" w:space="0" w:color="000000"/>
              <w:right w:val="single" w:sz="4" w:space="0" w:color="000000"/>
            </w:tcBorders>
          </w:tcPr>
          <w:p>
            <w:pPr/>
          </w:p>
        </w:tc>
        <w:tc>
          <w:tcPr>
            <w:tcW w:w="5180" w:type="dxa"/>
            <w:tcBorders>
              <w:top w:val="single" w:sz="15" w:space="0" w:color="000000"/>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等未清偿债务和法律责任。</w:t>
            </w:r>
            <w:r>
              <w:rPr>
                <w:rFonts w:ascii="Times New Roman" w:hAnsi="Times New Roman" w:cs="Times New Roman" w:eastAsia="Times New Roman" w:hint="default"/>
                <w:sz w:val="18"/>
                <w:szCs w:val="18"/>
              </w:rPr>
              <w:t>21</w:t>
            </w:r>
            <w:r>
              <w:rPr>
                <w:rFonts w:ascii="宋体" w:hAnsi="宋体" w:cs="宋体" w:eastAsia="宋体" w:hint="default"/>
                <w:sz w:val="18"/>
                <w:szCs w:val="18"/>
              </w:rPr>
              <w:t>、截至本协议签署日，上海树维及</w:t>
            </w:r>
          </w:p>
        </w:tc>
        <w:tc>
          <w:tcPr>
            <w:tcW w:w="1134" w:type="dxa"/>
            <w:vMerge w:val="restart"/>
            <w:tcBorders>
              <w:top w:val="single" w:sz="15" w:space="0" w:color="000000"/>
              <w:left w:val="single" w:sz="4" w:space="0" w:color="000000"/>
              <w:right w:val="single" w:sz="4" w:space="0" w:color="000000"/>
            </w:tcBorders>
          </w:tcPr>
          <w:p>
            <w:pPr>
              <w:pStyle w:val="TableParagraph"/>
              <w:spacing w:line="5969" w:lineRule="exact"/>
              <w:ind w:right="-51"/>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18"/>
                <w:sz w:val="20"/>
                <w:szCs w:val="20"/>
              </w:rPr>
              <w:pict>
                <v:group style="width:56.25pt;height:298.5pt;mso-position-horizontal-relative:char;mso-position-vertical-relative:line" coordorigin="0,0" coordsize="1125,5970">
                  <v:group style="position:absolute;left:0;top:0;width:1125;height:5970" coordorigin="0,0" coordsize="1125,5970">
                    <v:shape style="position:absolute;left:0;top:0;width:1125;height:5970" coordorigin="0,0" coordsize="1125,5970" path="m0,5970l1124,5970,1124,0,0,0,0,5970xe" filled="true" fillcolor="#ffffff" stroked="false">
                      <v:path arrowok="t"/>
                      <v:fill type="solid"/>
                    </v:shape>
                  </v:group>
                </v:group>
              </w:pict>
            </w:r>
            <w:r>
              <w:rPr>
                <w:rFonts w:ascii="Times New Roman" w:hAnsi="Times New Roman" w:cs="Times New Roman" w:eastAsia="Times New Roman" w:hint="default"/>
                <w:position w:val="-118"/>
                <w:sz w:val="20"/>
                <w:szCs w:val="20"/>
              </w:rPr>
            </w:r>
          </w:p>
        </w:tc>
        <w:tc>
          <w:tcPr>
            <w:tcW w:w="1134" w:type="dxa"/>
            <w:vMerge w:val="restart"/>
            <w:tcBorders>
              <w:top w:val="single" w:sz="15" w:space="0" w:color="000000"/>
              <w:left w:val="single" w:sz="4" w:space="0" w:color="000000"/>
              <w:right w:val="single" w:sz="4" w:space="0" w:color="000000"/>
            </w:tcBorders>
          </w:tcPr>
          <w:p>
            <w:pPr/>
          </w:p>
        </w:tc>
        <w:tc>
          <w:tcPr>
            <w:tcW w:w="3544" w:type="dxa"/>
            <w:vMerge w:val="restart"/>
            <w:tcBorders>
              <w:top w:val="single" w:sz="15" w:space="0" w:color="000000"/>
              <w:left w:val="single" w:sz="4" w:space="0" w:color="000000"/>
              <w:right w:val="single" w:sz="4" w:space="0" w:color="000000"/>
            </w:tcBorders>
          </w:tcPr>
          <w:p>
            <w:pPr/>
          </w:p>
        </w:tc>
      </w:tr>
      <w:tr>
        <w:trPr>
          <w:trHeight w:val="30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其分公司业务独立于控股股东、</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与控股股东、</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以及严重影响上海树维及其分公司独立性或显失公允的关联交</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易。</w:t>
            </w:r>
            <w:r>
              <w:rPr>
                <w:rFonts w:ascii="Times New Roman" w:hAnsi="Times New Roman" w:cs="Times New Roman" w:eastAsia="Times New Roman" w:hint="default"/>
                <w:sz w:val="18"/>
                <w:szCs w:val="18"/>
              </w:rPr>
              <w:t>22</w:t>
            </w:r>
            <w:r>
              <w:rPr>
                <w:rFonts w:ascii="宋体" w:hAnsi="宋体" w:cs="宋体" w:eastAsia="宋体" w:hint="default"/>
                <w:sz w:val="18"/>
                <w:szCs w:val="18"/>
              </w:rPr>
              <w:t>、自本协议签署日起至交割日，上海树维及其分公司的财</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务、业务、生产和其他经营状况将不会发生实质性不利变化。</w:t>
            </w:r>
            <w:r>
              <w:rPr>
                <w:rFonts w:ascii="Times New Roman" w:hAnsi="Times New Roman" w:cs="Times New Roman" w:eastAsia="Times New Roman" w:hint="default"/>
                <w:sz w:val="18"/>
                <w:szCs w:val="18"/>
              </w:rPr>
              <w:t>23</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0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上海树维及其分公司作为协议一方的任何重大协议、合同和法律</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文件均合法有效并对相关方具有约束力；上海树维及其分公司不</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存在会导致重大不利影响的违约行为，并且不存在可能导致任何</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此类违约的情形。</w:t>
            </w:r>
            <w:r>
              <w:rPr>
                <w:rFonts w:ascii="Times New Roman" w:hAnsi="Times New Roman" w:cs="Times New Roman" w:eastAsia="Times New Roman" w:hint="default"/>
                <w:sz w:val="18"/>
                <w:szCs w:val="18"/>
              </w:rPr>
              <w:t>24</w:t>
            </w:r>
            <w:r>
              <w:rPr>
                <w:rFonts w:ascii="宋体" w:hAnsi="宋体" w:cs="宋体" w:eastAsia="宋体" w:hint="default"/>
                <w:sz w:val="18"/>
                <w:szCs w:val="18"/>
              </w:rPr>
              <w:t>、上海树维及其分公司之董事、监事、高级</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0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管理人员不存在任何违反法律、法规或规范性文件的行为，不存</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在任何影响上海树维及其分公司正常运营以及本协议项下交易的</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重大索赔、诉讼、仲裁、司法调查程序、行政调查或处罚。</w:t>
            </w:r>
            <w:r>
              <w:rPr>
                <w:rFonts w:ascii="Times New Roman" w:hAnsi="Times New Roman" w:cs="Times New Roman" w:eastAsia="Times New Roman" w:hint="default"/>
                <w:sz w:val="18"/>
                <w:szCs w:val="18"/>
              </w:rPr>
              <w:t>25</w:t>
            </w:r>
            <w:r>
              <w:rPr>
                <w:rFonts w:ascii="宋体" w:hAnsi="宋体" w:cs="宋体" w:eastAsia="宋体" w:hint="default"/>
                <w:sz w:val="18"/>
                <w:szCs w:val="18"/>
              </w:rPr>
              <w:t>、</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0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交易对方承诺并促使上海树维及其分公司自本协议签署之日起将</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不会从事任何对上海树维及其分公司的正常生产经营或本次交易</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具有实质性不利影响的行为。</w:t>
            </w:r>
            <w:r>
              <w:rPr>
                <w:rFonts w:ascii="Times New Roman" w:hAnsi="Times New Roman" w:cs="Times New Roman" w:eastAsia="Times New Roman" w:hint="default"/>
                <w:sz w:val="18"/>
                <w:szCs w:val="18"/>
              </w:rPr>
              <w:t>26</w:t>
            </w:r>
            <w:r>
              <w:rPr>
                <w:rFonts w:ascii="宋体" w:hAnsi="宋体" w:cs="宋体" w:eastAsia="宋体" w:hint="default"/>
                <w:sz w:val="18"/>
                <w:szCs w:val="18"/>
              </w:rPr>
              <w:t>、上海树维及其分公司不存在任</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0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何未向新开普披露的或有负债，且上海树维及其分公司没有为任</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3"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何实体和自然人作出任何形式的担保或保证（日常交易中的保证</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5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bottom w:val="single" w:sz="4" w:space="0" w:color="000000"/>
              <w:right w:val="single" w:sz="4" w:space="0" w:color="000000"/>
            </w:tcBorders>
          </w:tcPr>
          <w:p>
            <w:pPr/>
          </w:p>
        </w:tc>
        <w:tc>
          <w:tcPr>
            <w:tcW w:w="850" w:type="dxa"/>
            <w:vMerge/>
            <w:tcBorders>
              <w:left w:val="single" w:sz="4" w:space="0" w:color="000000"/>
              <w:bottom w:val="single" w:sz="4" w:space="0" w:color="000000"/>
              <w:right w:val="single" w:sz="4" w:space="0" w:color="000000"/>
            </w:tcBorders>
          </w:tcPr>
          <w:p>
            <w:pPr/>
          </w:p>
        </w:tc>
        <w:tc>
          <w:tcPr>
            <w:tcW w:w="518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除外</w:t>
            </w:r>
            <w:r>
              <w:rPr>
                <w:rFonts w:ascii="宋体" w:hAnsi="宋体" w:cs="宋体" w:eastAsia="宋体" w:hint="default"/>
                <w:spacing w:val="-90"/>
                <w:sz w:val="18"/>
                <w:szCs w:val="18"/>
              </w:rPr>
              <w:t>）</w:t>
            </w:r>
            <w:r>
              <w:rPr>
                <w:rFonts w:ascii="宋体" w:hAnsi="宋体" w:cs="宋体" w:eastAsia="宋体" w:hint="default"/>
                <w:sz w:val="18"/>
                <w:szCs w:val="18"/>
              </w:rPr>
              <w:t>。</w:t>
            </w:r>
          </w:p>
        </w:tc>
        <w:tc>
          <w:tcPr>
            <w:tcW w:w="1134" w:type="dxa"/>
            <w:vMerge/>
            <w:tcBorders>
              <w:left w:val="single" w:sz="4" w:space="0" w:color="000000"/>
              <w:bottom w:val="single" w:sz="4" w:space="0" w:color="000000"/>
              <w:right w:val="single" w:sz="4" w:space="0" w:color="000000"/>
            </w:tcBorders>
          </w:tcPr>
          <w:p>
            <w:pPr/>
          </w:p>
        </w:tc>
        <w:tc>
          <w:tcPr>
            <w:tcW w:w="1134" w:type="dxa"/>
            <w:vMerge/>
            <w:tcBorders>
              <w:left w:val="single" w:sz="4" w:space="0" w:color="000000"/>
              <w:bottom w:val="single" w:sz="4" w:space="0" w:color="000000"/>
              <w:right w:val="single" w:sz="4" w:space="0" w:color="000000"/>
            </w:tcBorders>
          </w:tcPr>
          <w:p>
            <w:pPr/>
          </w:p>
        </w:tc>
        <w:tc>
          <w:tcPr>
            <w:tcW w:w="3544" w:type="dxa"/>
            <w:vMerge/>
            <w:tcBorders>
              <w:left w:val="single" w:sz="4" w:space="0" w:color="000000"/>
              <w:bottom w:val="single" w:sz="4" w:space="0" w:color="000000"/>
              <w:right w:val="single" w:sz="4" w:space="0" w:color="000000"/>
            </w:tcBorders>
          </w:tcPr>
          <w:p>
            <w:pPr/>
          </w:p>
        </w:tc>
      </w:tr>
      <w:tr>
        <w:trPr>
          <w:trHeight w:val="362" w:hRule="exact"/>
        </w:trPr>
        <w:tc>
          <w:tcPr>
            <w:tcW w:w="1702" w:type="dxa"/>
            <w:vMerge/>
            <w:tcBorders>
              <w:left w:val="single" w:sz="4" w:space="0" w:color="000000"/>
              <w:right w:val="single" w:sz="4" w:space="0" w:color="000000"/>
            </w:tcBorders>
            <w:shd w:val="clear" w:color="auto" w:fill="D2D2D2"/>
          </w:tcPr>
          <w:p>
            <w:pPr/>
          </w:p>
        </w:tc>
        <w:tc>
          <w:tcPr>
            <w:tcW w:w="1277" w:type="dxa"/>
            <w:tcBorders>
              <w:top w:val="single" w:sz="4" w:space="0" w:color="000000"/>
              <w:left w:val="single" w:sz="4" w:space="0" w:color="000000"/>
              <w:bottom w:val="nil" w:sz="6" w:space="0" w:color="auto"/>
              <w:right w:val="single" w:sz="4" w:space="0" w:color="000000"/>
            </w:tcBorders>
          </w:tcPr>
          <w:p>
            <w:pPr/>
          </w:p>
        </w:tc>
        <w:tc>
          <w:tcPr>
            <w:tcW w:w="850" w:type="dxa"/>
            <w:tcBorders>
              <w:top w:val="single" w:sz="4" w:space="0" w:color="000000"/>
              <w:left w:val="single" w:sz="4" w:space="0" w:color="000000"/>
              <w:bottom w:val="nil" w:sz="6" w:space="0" w:color="auto"/>
              <w:right w:val="single" w:sz="4" w:space="0" w:color="000000"/>
            </w:tcBorders>
          </w:tcPr>
          <w:p>
            <w:pPr/>
          </w:p>
        </w:tc>
        <w:tc>
          <w:tcPr>
            <w:tcW w:w="518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本次交易的交易对方承诺：</w:t>
            </w:r>
            <w:r>
              <w:rPr>
                <w:rFonts w:ascii="Times New Roman" w:hAnsi="Times New Roman" w:cs="Times New Roman" w:eastAsia="Times New Roman" w:hint="default"/>
                <w:sz w:val="18"/>
                <w:szCs w:val="18"/>
              </w:rPr>
              <w:t>1</w:t>
            </w:r>
            <w:r>
              <w:rPr>
                <w:rFonts w:ascii="宋体" w:hAnsi="宋体" w:cs="宋体" w:eastAsia="宋体" w:hint="default"/>
                <w:sz w:val="18"/>
                <w:szCs w:val="18"/>
              </w:rPr>
              <w:t>、本协议约定的内容并不违反上海树</w:t>
            </w:r>
          </w:p>
        </w:tc>
        <w:tc>
          <w:tcPr>
            <w:tcW w:w="1134" w:type="dxa"/>
            <w:vMerge w:val="restart"/>
            <w:tcBorders>
              <w:top w:val="single" w:sz="4" w:space="0" w:color="000000"/>
              <w:left w:val="single" w:sz="9" w:space="0" w:color="FFFFFF"/>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16"/>
                <w:szCs w:val="16"/>
              </w:rPr>
            </w:pPr>
          </w:p>
          <w:p>
            <w:pPr>
              <w:pStyle w:val="TableParagraph"/>
              <w:spacing w:line="212" w:lineRule="exact"/>
              <w:ind w:left="1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150" w:lineRule="exact"/>
              <w:ind w:left="-131" w:right="0"/>
              <w:jc w:val="left"/>
              <w:rPr>
                <w:rFonts w:ascii="宋体" w:hAnsi="宋体" w:cs="宋体" w:eastAsia="宋体" w:hint="default"/>
                <w:sz w:val="18"/>
                <w:szCs w:val="18"/>
              </w:rPr>
            </w:pPr>
            <w:r>
              <w:rPr>
                <w:rFonts w:ascii="宋体" w:hAnsi="宋体" w:cs="宋体" w:eastAsia="宋体" w:hint="default"/>
                <w:sz w:val="18"/>
                <w:szCs w:val="18"/>
              </w:rPr>
              <w:t>、</w:t>
            </w:r>
          </w:p>
          <w:p>
            <w:pPr>
              <w:pStyle w:val="TableParagraph"/>
              <w:spacing w:line="200" w:lineRule="exact"/>
              <w:ind w:left="1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34" w:type="dxa"/>
            <w:tcBorders>
              <w:top w:val="single" w:sz="4" w:space="0" w:color="000000"/>
              <w:left w:val="single" w:sz="4" w:space="0" w:color="000000"/>
              <w:bottom w:val="nil" w:sz="6" w:space="0" w:color="auto"/>
              <w:right w:val="single" w:sz="4" w:space="0" w:color="000000"/>
            </w:tcBorders>
          </w:tcPr>
          <w:p>
            <w:pPr/>
          </w:p>
        </w:tc>
        <w:tc>
          <w:tcPr>
            <w:tcW w:w="3544" w:type="dxa"/>
            <w:tcBorders>
              <w:top w:val="single" w:sz="4" w:space="0" w:color="000000"/>
              <w:left w:val="single" w:sz="4" w:space="0" w:color="000000"/>
              <w:bottom w:val="nil" w:sz="6" w:space="0" w:color="auto"/>
              <w:right w:val="single" w:sz="4" w:space="0" w:color="000000"/>
            </w:tcBorders>
          </w:tcPr>
          <w:p>
            <w:pPr/>
          </w:p>
        </w:tc>
      </w:tr>
      <w:tr>
        <w:trPr>
          <w:trHeight w:val="2803" w:hRule="exact"/>
        </w:trPr>
        <w:tc>
          <w:tcPr>
            <w:tcW w:w="1702" w:type="dxa"/>
            <w:vMerge/>
            <w:tcBorders>
              <w:left w:val="single" w:sz="4" w:space="0" w:color="000000"/>
              <w:right w:val="single" w:sz="4" w:space="0" w:color="000000"/>
            </w:tcBorders>
            <w:shd w:val="clear" w:color="auto" w:fill="D2D2D2"/>
          </w:tcPr>
          <w:p>
            <w:pP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319" w:lineRule="auto" w:before="141"/>
              <w:ind w:left="23" w:right="21"/>
              <w:jc w:val="left"/>
              <w:rPr>
                <w:rFonts w:ascii="宋体" w:hAnsi="宋体" w:cs="宋体" w:eastAsia="宋体" w:hint="default"/>
                <w:sz w:val="18"/>
                <w:szCs w:val="18"/>
              </w:rPr>
            </w:pPr>
            <w:r>
              <w:rPr>
                <w:rFonts w:ascii="宋体" w:hAnsi="宋体" w:cs="宋体" w:eastAsia="宋体" w:hint="default"/>
                <w:sz w:val="18"/>
                <w:szCs w:val="18"/>
              </w:rPr>
              <w:t>现金购买资产 的交易对方何 </w:t>
            </w:r>
            <w:r>
              <w:rPr>
                <w:rFonts w:ascii="宋体" w:hAnsi="宋体" w:cs="宋体" w:eastAsia="宋体" w:hint="default"/>
                <w:spacing w:val="-6"/>
                <w:sz w:val="18"/>
                <w:szCs w:val="18"/>
              </w:rPr>
              <w:t>伟、乔志刚、杨</w:t>
            </w:r>
            <w:r>
              <w:rPr>
                <w:rFonts w:ascii="宋体" w:hAnsi="宋体" w:cs="宋体" w:eastAsia="宋体" w:hint="default"/>
                <w:sz w:val="18"/>
                <w:szCs w:val="18"/>
              </w:rPr>
              <w:t> </w:t>
            </w:r>
            <w:r>
              <w:rPr>
                <w:rFonts w:ascii="宋体" w:hAnsi="宋体" w:cs="宋体" w:eastAsia="宋体" w:hint="default"/>
                <w:spacing w:val="-6"/>
                <w:sz w:val="18"/>
                <w:szCs w:val="18"/>
              </w:rPr>
              <w:t>宏生、周华、王</w:t>
            </w:r>
            <w:r>
              <w:rPr>
                <w:rFonts w:ascii="宋体" w:hAnsi="宋体" w:cs="宋体" w:eastAsia="宋体" w:hint="default"/>
                <w:sz w:val="18"/>
                <w:szCs w:val="18"/>
              </w:rPr>
              <w:t> </w:t>
            </w:r>
            <w:r>
              <w:rPr>
                <w:rFonts w:ascii="宋体" w:hAnsi="宋体" w:cs="宋体" w:eastAsia="宋体" w:hint="default"/>
                <w:spacing w:val="-6"/>
                <w:sz w:val="18"/>
                <w:szCs w:val="18"/>
              </w:rPr>
              <w:t>建成、吴琼、上</w:t>
            </w:r>
            <w:r>
              <w:rPr>
                <w:rFonts w:ascii="宋体" w:hAnsi="宋体" w:cs="宋体" w:eastAsia="宋体" w:hint="default"/>
                <w:sz w:val="18"/>
                <w:szCs w:val="18"/>
              </w:rPr>
              <w:t> 海君略投资管 </w:t>
            </w:r>
            <w:r>
              <w:rPr>
                <w:rFonts w:ascii="宋体" w:hAnsi="宋体" w:cs="宋体" w:eastAsia="宋体" w:hint="default"/>
                <w:spacing w:val="-6"/>
                <w:sz w:val="18"/>
                <w:szCs w:val="18"/>
              </w:rPr>
              <w:t>理合伙企业（有</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限合伙）</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7"/>
                <w:szCs w:val="17"/>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其他承诺</w:t>
            </w:r>
          </w:p>
        </w:tc>
        <w:tc>
          <w:tcPr>
            <w:tcW w:w="5180" w:type="dxa"/>
            <w:tcBorders>
              <w:top w:val="nil" w:sz="6" w:space="0" w:color="auto"/>
              <w:left w:val="single" w:sz="4" w:space="0" w:color="000000"/>
              <w:bottom w:val="nil" w:sz="6" w:space="0" w:color="auto"/>
              <w:right w:val="single" w:sz="9" w:space="0" w:color="FFFFFF"/>
            </w:tcBorders>
          </w:tcPr>
          <w:p>
            <w:pPr>
              <w:pStyle w:val="TableParagraph"/>
              <w:spacing w:line="316" w:lineRule="auto" w:before="5"/>
              <w:ind w:left="22" w:right="98"/>
              <w:jc w:val="both"/>
              <w:rPr>
                <w:rFonts w:ascii="宋体" w:hAnsi="宋体" w:cs="宋体" w:eastAsia="宋体" w:hint="default"/>
                <w:sz w:val="18"/>
                <w:szCs w:val="18"/>
              </w:rPr>
            </w:pPr>
            <w:r>
              <w:rPr>
                <w:rFonts w:ascii="宋体" w:hAnsi="宋体" w:cs="宋体" w:eastAsia="宋体" w:hint="default"/>
                <w:sz w:val="18"/>
                <w:szCs w:val="18"/>
              </w:rPr>
              <w:t>维及其分公司的章程或其他形式的文件或应适用于上海树维及其 分公司及其股东的法律、法规和政府机关的行政命令，或其他任 何上海树维及其分公司及其股东为其中一方订立的合同或法律文 件。本协议约定的内容并不会解除任何第三方的义务或者授予其 </w:t>
            </w:r>
            <w:r>
              <w:rPr>
                <w:rFonts w:ascii="宋体" w:hAnsi="宋体" w:cs="宋体" w:eastAsia="宋体" w:hint="default"/>
                <w:spacing w:val="-4"/>
                <w:sz w:val="18"/>
                <w:szCs w:val="18"/>
              </w:rPr>
              <w:t>行使任何权利（包括任何终止权、优先取得权或其他选择权）。</w:t>
            </w:r>
            <w:r>
              <w:rPr>
                <w:rFonts w:ascii="Times New Roman" w:hAnsi="Times New Roman" w:cs="Times New Roman" w:eastAsia="Times New Roman" w:hint="default"/>
                <w:spacing w:val="-4"/>
                <w:sz w:val="18"/>
                <w:szCs w:val="18"/>
              </w:rPr>
              <w:t>2</w:t>
            </w:r>
            <w:r>
              <w:rPr>
                <w:rFonts w:ascii="Times New Roman" w:hAnsi="Times New Roman" w:cs="Times New Roman" w:eastAsia="Times New Roman" w:hint="default"/>
                <w:spacing w:val="-28"/>
                <w:sz w:val="18"/>
                <w:szCs w:val="18"/>
              </w:rPr>
              <w:t> </w:t>
            </w:r>
            <w:r>
              <w:rPr>
                <w:rFonts w:ascii="宋体" w:hAnsi="宋体" w:cs="宋体" w:eastAsia="宋体" w:hint="default"/>
                <w:sz w:val="18"/>
                <w:szCs w:val="18"/>
              </w:rPr>
              <w:t>交易对方及上海树维及其分公司未从事或达成任何可能严重影响 到依本协议项下条款和条件所达成预期交易之合同、协议、文件 或安排；如存在前述合同、协议、文件或安排，交易对方承诺并 保证相关合同、协议、文件或安排已经被依法终止、解除或已经</w:t>
            </w:r>
          </w:p>
        </w:tc>
        <w:tc>
          <w:tcPr>
            <w:tcW w:w="1134" w:type="dxa"/>
            <w:vMerge/>
            <w:tcBorders>
              <w:left w:val="single" w:sz="9" w:space="0" w:color="FFFFFF"/>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1"/>
                <w:szCs w:val="21"/>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r>
              <w:rPr>
                <w:rFonts w:ascii="Times New Roman" w:hAnsi="Times New Roman" w:cs="Times New Roman" w:eastAsia="Times New Roman" w:hint="default"/>
                <w:sz w:val="18"/>
                <w:szCs w:val="18"/>
              </w:rPr>
              <w:t>-</w:t>
            </w:r>
            <w:r>
              <w:rPr>
                <w:rFonts w:ascii="宋体" w:hAnsi="宋体" w:cs="宋体" w:eastAsia="宋体" w:hint="default"/>
                <w:sz w:val="18"/>
                <w:szCs w:val="18"/>
              </w:rPr>
              <w:t>长期有效</w:t>
            </w:r>
          </w:p>
        </w:tc>
        <w:tc>
          <w:tcPr>
            <w:tcW w:w="354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1"/>
                <w:szCs w:val="21"/>
              </w:rPr>
            </w:pPr>
          </w:p>
          <w:p>
            <w:pPr>
              <w:pStyle w:val="TableParagraph"/>
              <w:spacing w:line="319" w:lineRule="auto"/>
              <w:ind w:left="22" w:right="89"/>
              <w:jc w:val="left"/>
              <w:rPr>
                <w:rFonts w:ascii="宋体" w:hAnsi="宋体" w:cs="宋体" w:eastAsia="宋体" w:hint="default"/>
                <w:sz w:val="18"/>
                <w:szCs w:val="18"/>
              </w:rPr>
            </w:pPr>
            <w:r>
              <w:rPr>
                <w:rFonts w:ascii="宋体" w:hAnsi="宋体" w:cs="宋体" w:eastAsia="宋体" w:hint="default"/>
                <w:sz w:val="18"/>
                <w:szCs w:val="18"/>
              </w:rPr>
              <w:t>截至报告期末，上述承诺人严格信守承诺， 未发生违反承诺的情况。</w:t>
            </w:r>
          </w:p>
        </w:tc>
      </w:tr>
      <w:tr>
        <w:trPr>
          <w:trHeight w:val="318" w:hRule="exact"/>
        </w:trPr>
        <w:tc>
          <w:tcPr>
            <w:tcW w:w="1702" w:type="dxa"/>
            <w:vMerge/>
            <w:tcBorders>
              <w:left w:val="single" w:sz="4" w:space="0" w:color="000000"/>
              <w:bottom w:val="single" w:sz="4" w:space="0" w:color="000000"/>
              <w:right w:val="single" w:sz="4" w:space="0" w:color="000000"/>
            </w:tcBorders>
            <w:shd w:val="clear" w:color="auto" w:fill="D2D2D2"/>
          </w:tcPr>
          <w:p>
            <w:pPr/>
          </w:p>
        </w:tc>
        <w:tc>
          <w:tcPr>
            <w:tcW w:w="1277" w:type="dxa"/>
            <w:tcBorders>
              <w:top w:val="nil" w:sz="6" w:space="0" w:color="auto"/>
              <w:left w:val="single" w:sz="4" w:space="0" w:color="000000"/>
              <w:bottom w:val="single" w:sz="4" w:space="0" w:color="000000"/>
              <w:right w:val="single" w:sz="4" w:space="0" w:color="000000"/>
            </w:tcBorders>
          </w:tcPr>
          <w:p>
            <w:pPr/>
          </w:p>
        </w:tc>
        <w:tc>
          <w:tcPr>
            <w:tcW w:w="850" w:type="dxa"/>
            <w:tcBorders>
              <w:top w:val="nil" w:sz="6" w:space="0" w:color="auto"/>
              <w:left w:val="single" w:sz="4" w:space="0" w:color="000000"/>
              <w:bottom w:val="single" w:sz="4" w:space="0" w:color="000000"/>
              <w:right w:val="single" w:sz="4" w:space="0" w:color="000000"/>
            </w:tcBorders>
          </w:tcPr>
          <w:p>
            <w:pPr/>
          </w:p>
        </w:tc>
        <w:tc>
          <w:tcPr>
            <w:tcW w:w="518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采取其他有效措施以避免前述合同、协议、文件或安排影响本协</w:t>
            </w:r>
          </w:p>
        </w:tc>
        <w:tc>
          <w:tcPr>
            <w:tcW w:w="1134" w:type="dxa"/>
            <w:vMerge/>
            <w:tcBorders>
              <w:left w:val="single" w:sz="9" w:space="0" w:color="FFFFFF"/>
              <w:bottom w:val="single" w:sz="4" w:space="0" w:color="000000"/>
              <w:right w:val="single" w:sz="4" w:space="0" w:color="000000"/>
            </w:tcBorders>
          </w:tcPr>
          <w:p>
            <w:pPr/>
          </w:p>
        </w:tc>
        <w:tc>
          <w:tcPr>
            <w:tcW w:w="1134" w:type="dxa"/>
            <w:tcBorders>
              <w:top w:val="nil" w:sz="6" w:space="0" w:color="auto"/>
              <w:left w:val="single" w:sz="4" w:space="0" w:color="000000"/>
              <w:bottom w:val="single" w:sz="4" w:space="0" w:color="000000"/>
              <w:right w:val="single" w:sz="4" w:space="0" w:color="000000"/>
            </w:tcBorders>
          </w:tcPr>
          <w:p>
            <w:pPr/>
          </w:p>
        </w:tc>
        <w:tc>
          <w:tcPr>
            <w:tcW w:w="3544" w:type="dxa"/>
            <w:tcBorders>
              <w:top w:val="nil" w:sz="6" w:space="0" w:color="auto"/>
              <w:left w:val="single" w:sz="4" w:space="0" w:color="000000"/>
              <w:bottom w:val="single" w:sz="4" w:space="0" w:color="000000"/>
              <w:right w:val="single" w:sz="4" w:space="0" w:color="000000"/>
            </w:tcBorders>
          </w:tcPr>
          <w:p>
            <w:pPr/>
          </w:p>
        </w:tc>
      </w:tr>
    </w:tbl>
    <w:p>
      <w:pPr>
        <w:spacing w:after="0"/>
        <w:sectPr>
          <w:pgSz w:w="16840" w:h="11910" w:orient="landscape"/>
          <w:pgMar w:header="867" w:footer="979" w:top="1060" w:bottom="1160" w:left="900" w:right="880"/>
        </w:sectPr>
      </w:pPr>
    </w:p>
    <w:p>
      <w:pPr>
        <w:spacing w:line="240" w:lineRule="auto" w:before="11"/>
        <w:rPr>
          <w:rFonts w:ascii="Times New Roman" w:hAnsi="Times New Roman" w:cs="Times New Roman" w:eastAsia="Times New Roman" w:hint="default"/>
          <w:sz w:val="4"/>
          <w:szCs w:val="4"/>
        </w:rPr>
      </w:pPr>
      <w:r>
        <w:rPr/>
        <w:pict>
          <v:shape style="position:absolute;margin-left:459.131012pt;margin-top:57.180008pt;width:98.45pt;height:298.5pt;mso-position-horizontal-relative:page;mso-position-vertical-relative:page;z-index:-1221928" type="#_x0000_t202" filled="false" stroked="false">
            <v:textbox inset="0,0,0,0">
              <w:txbxContent>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before="128"/>
                    <w:ind w:left="0" w:right="0" w:firstLine="0"/>
                    <w:jc w:val="left"/>
                    <w:rPr>
                      <w:rFonts w:ascii="宋体" w:hAnsi="宋体" w:cs="宋体" w:eastAsia="宋体" w:hint="default"/>
                      <w:sz w:val="18"/>
                      <w:szCs w:val="18"/>
                    </w:rPr>
                  </w:pPr>
                  <w:r>
                    <w:rPr>
                      <w:rFonts w:ascii="宋体" w:hAnsi="宋体" w:cs="宋体" w:eastAsia="宋体" w:hint="default"/>
                      <w:sz w:val="18"/>
                      <w:szCs w:val="18"/>
                    </w:rPr>
                    <w:t>和可靠的。</w:t>
                  </w:r>
                </w:p>
              </w:txbxContent>
            </v:textbox>
            <w10:wrap type="none"/>
          </v:shape>
        </w:pict>
      </w:r>
    </w:p>
    <w:tbl>
      <w:tblPr>
        <w:tblW w:w="0" w:type="auto"/>
        <w:jc w:val="left"/>
        <w:tblInd w:w="109" w:type="dxa"/>
        <w:tblLayout w:type="fixed"/>
        <w:tblCellMar>
          <w:top w:w="0" w:type="dxa"/>
          <w:left w:w="0" w:type="dxa"/>
          <w:bottom w:w="0" w:type="dxa"/>
          <w:right w:w="0" w:type="dxa"/>
        </w:tblCellMar>
        <w:tblLook w:val="01E0"/>
      </w:tblPr>
      <w:tblGrid>
        <w:gridCol w:w="1702"/>
        <w:gridCol w:w="1277"/>
        <w:gridCol w:w="850"/>
        <w:gridCol w:w="5180"/>
        <w:gridCol w:w="1134"/>
        <w:gridCol w:w="1134"/>
        <w:gridCol w:w="3546"/>
      </w:tblGrid>
      <w:tr>
        <w:trPr>
          <w:trHeight w:val="5994" w:hRule="exact"/>
        </w:trPr>
        <w:tc>
          <w:tcPr>
            <w:tcW w:w="1702" w:type="dxa"/>
            <w:vMerge w:val="restart"/>
            <w:tcBorders>
              <w:top w:val="single" w:sz="15" w:space="0" w:color="000000"/>
              <w:left w:val="single" w:sz="4" w:space="0" w:color="000000"/>
              <w:right w:val="single" w:sz="4" w:space="0" w:color="000000"/>
            </w:tcBorders>
            <w:shd w:val="clear" w:color="auto" w:fill="D2D2D2"/>
          </w:tcPr>
          <w:p>
            <w:pPr/>
          </w:p>
        </w:tc>
        <w:tc>
          <w:tcPr>
            <w:tcW w:w="1277" w:type="dxa"/>
            <w:tcBorders>
              <w:top w:val="single" w:sz="15" w:space="0" w:color="000000"/>
              <w:left w:val="single" w:sz="4" w:space="0" w:color="000000"/>
              <w:bottom w:val="single" w:sz="4" w:space="0" w:color="000000"/>
              <w:right w:val="single" w:sz="4" w:space="0" w:color="000000"/>
            </w:tcBorders>
          </w:tcPr>
          <w:p>
            <w:pPr/>
          </w:p>
        </w:tc>
        <w:tc>
          <w:tcPr>
            <w:tcW w:w="850" w:type="dxa"/>
            <w:tcBorders>
              <w:top w:val="single" w:sz="15" w:space="0" w:color="000000"/>
              <w:left w:val="single" w:sz="4" w:space="0" w:color="000000"/>
              <w:bottom w:val="single" w:sz="4" w:space="0" w:color="000000"/>
              <w:right w:val="single" w:sz="4" w:space="0" w:color="000000"/>
            </w:tcBorders>
          </w:tcPr>
          <w:p>
            <w:pPr/>
          </w:p>
        </w:tc>
        <w:tc>
          <w:tcPr>
            <w:tcW w:w="5180" w:type="dxa"/>
            <w:tcBorders>
              <w:top w:val="single" w:sz="15" w:space="0" w:color="000000"/>
              <w:left w:val="single" w:sz="4" w:space="0" w:color="000000"/>
              <w:bottom w:val="single" w:sz="4" w:space="0" w:color="000000"/>
              <w:right w:val="single" w:sz="4" w:space="0" w:color="000000"/>
            </w:tcBorders>
          </w:tcPr>
          <w:p>
            <w:pPr>
              <w:pStyle w:val="TableParagraph"/>
              <w:spacing w:line="312" w:lineRule="auto" w:before="10"/>
              <w:ind w:left="22" w:right="21"/>
              <w:jc w:val="left"/>
              <w:rPr>
                <w:rFonts w:ascii="宋体" w:hAnsi="宋体" w:cs="宋体" w:eastAsia="宋体" w:hint="default"/>
                <w:sz w:val="18"/>
                <w:szCs w:val="18"/>
              </w:rPr>
            </w:pPr>
            <w:r>
              <w:rPr>
                <w:rFonts w:ascii="宋体" w:hAnsi="宋体" w:cs="宋体" w:eastAsia="宋体" w:hint="default"/>
                <w:sz w:val="18"/>
                <w:szCs w:val="18"/>
              </w:rPr>
              <w:t>议项下条款和条件的达成。</w:t>
            </w:r>
            <w:r>
              <w:rPr>
                <w:rFonts w:ascii="Times New Roman" w:hAnsi="Times New Roman" w:cs="Times New Roman" w:eastAsia="Times New Roman" w:hint="default"/>
                <w:sz w:val="18"/>
                <w:szCs w:val="18"/>
              </w:rPr>
              <w:t>3</w:t>
            </w:r>
            <w:r>
              <w:rPr>
                <w:rFonts w:ascii="宋体" w:hAnsi="宋体" w:cs="宋体" w:eastAsia="宋体" w:hint="default"/>
                <w:sz w:val="18"/>
                <w:szCs w:val="18"/>
              </w:rPr>
              <w:t>、交易对方及上海树维及其分公司向 新开普及其聘请的中介机构提供的与本协议所述交易有关的所有 文件、资料和信息是真实、准确、完整和有效的，不存在任何重 大遗漏或误导，并已经向新开普披露了新开普于交割日后正常行 使标的资产所有权所需的关于标的资产及上海树维及其分公司的 信息，并未保留任何一经披露便会影响本协议签署、履行或新开 普决策的信息；所有提交文件的复印件与其原件均是一致的；所 有文件均由相关当事方合法授权、签署和递交且文件上的签字、 印章均是真实的；交易对方及上海树维及其分公司对新开普做出 的有关事实的阐述、声明、保证均为真实、准确、完整 </w:t>
            </w:r>
            <w:r>
              <w:rPr>
                <w:rFonts w:ascii="Times New Roman" w:hAnsi="Times New Roman" w:cs="Times New Roman" w:eastAsia="Times New Roman" w:hint="default"/>
                <w:sz w:val="18"/>
                <w:szCs w:val="18"/>
              </w:rPr>
              <w:t>4</w:t>
            </w:r>
            <w:r>
              <w:rPr>
                <w:rFonts w:ascii="宋体" w:hAnsi="宋体" w:cs="宋体" w:eastAsia="宋体" w:hint="default"/>
                <w:sz w:val="18"/>
                <w:szCs w:val="18"/>
              </w:rPr>
              <w:t>、交易对方保证将切实履行本协议约定的其在过渡期内的各项义 务和责任，并承担应当由其承担的相关税项和费用；</w:t>
            </w:r>
            <w:r>
              <w:rPr>
                <w:rFonts w:ascii="Times New Roman" w:hAnsi="Times New Roman" w:cs="Times New Roman" w:eastAsia="Times New Roman" w:hint="default"/>
                <w:sz w:val="18"/>
                <w:szCs w:val="18"/>
              </w:rPr>
              <w:t>5</w:t>
            </w:r>
            <w:r>
              <w:rPr>
                <w:rFonts w:ascii="宋体" w:hAnsi="宋体" w:cs="宋体" w:eastAsia="宋体" w:hint="default"/>
                <w:sz w:val="18"/>
                <w:szCs w:val="18"/>
              </w:rPr>
              <w:t>、交易对方 保证承担并促使上海树维及其分公司承担本协议约定的相关义务 和责任，并在新开普提出与本协议所述交易事项有关的其他合理 要求时给予必要的协助。</w:t>
            </w:r>
            <w:r>
              <w:rPr>
                <w:rFonts w:ascii="Times New Roman" w:hAnsi="Times New Roman" w:cs="Times New Roman" w:eastAsia="Times New Roman" w:hint="default"/>
                <w:sz w:val="18"/>
                <w:szCs w:val="18"/>
              </w:rPr>
              <w:t>6</w:t>
            </w:r>
            <w:r>
              <w:rPr>
                <w:rFonts w:ascii="宋体" w:hAnsi="宋体" w:cs="宋体" w:eastAsia="宋体" w:hint="default"/>
                <w:sz w:val="18"/>
                <w:szCs w:val="18"/>
              </w:rPr>
              <w:t>、交易对方保证不存在假借订立本协议 进行恶意磋商或其他违背诚实信用原则的情形。</w:t>
            </w:r>
            <w:r>
              <w:rPr>
                <w:rFonts w:ascii="Times New Roman" w:hAnsi="Times New Roman" w:cs="Times New Roman" w:eastAsia="Times New Roman" w:hint="default"/>
                <w:sz w:val="18"/>
                <w:szCs w:val="18"/>
              </w:rPr>
              <w:t>7</w:t>
            </w:r>
            <w:r>
              <w:rPr>
                <w:rFonts w:ascii="宋体" w:hAnsi="宋体" w:cs="宋体" w:eastAsia="宋体" w:hint="default"/>
                <w:sz w:val="18"/>
                <w:szCs w:val="18"/>
              </w:rPr>
              <w:t>、截至本协议签 署日，除已向各方披露的情形外，交易对方均不存在针对其自身 任何可能影响其签署或履行本协议及本协议项下交易能力的诉 讼、仲裁或行政处罚。</w:t>
            </w:r>
          </w:p>
        </w:tc>
        <w:tc>
          <w:tcPr>
            <w:tcW w:w="1134" w:type="dxa"/>
            <w:tcBorders>
              <w:top w:val="single" w:sz="15" w:space="0" w:color="000000"/>
              <w:left w:val="single" w:sz="4" w:space="0" w:color="000000"/>
              <w:bottom w:val="single" w:sz="4" w:space="0" w:color="000000"/>
              <w:right w:val="single" w:sz="4" w:space="0" w:color="000000"/>
            </w:tcBorders>
          </w:tcPr>
          <w:p>
            <w:pPr>
              <w:pStyle w:val="TableParagraph"/>
              <w:spacing w:line="5969" w:lineRule="exact"/>
              <w:ind w:right="-51"/>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18"/>
                <w:sz w:val="20"/>
                <w:szCs w:val="20"/>
              </w:rPr>
              <w:pict>
                <v:group style="width:56.25pt;height:298.5pt;mso-position-horizontal-relative:char;mso-position-vertical-relative:line" coordorigin="0,0" coordsize="1125,5970">
                  <v:group style="position:absolute;left:0;top:0;width:1125;height:5970" coordorigin="0,0" coordsize="1125,5970">
                    <v:shape style="position:absolute;left:0;top:0;width:1125;height:5970" coordorigin="0,0" coordsize="1125,5970" path="m0,5970l1124,5970,1124,0,0,0,0,5970xe" filled="true" fillcolor="#ffffff" stroked="false">
                      <v:path arrowok="t"/>
                      <v:fill type="solid"/>
                    </v:shape>
                  </v:group>
                </v:group>
              </w:pict>
            </w:r>
            <w:r>
              <w:rPr>
                <w:rFonts w:ascii="Times New Roman" w:hAnsi="Times New Roman" w:cs="Times New Roman" w:eastAsia="Times New Roman" w:hint="default"/>
                <w:position w:val="-118"/>
                <w:sz w:val="20"/>
                <w:szCs w:val="20"/>
              </w:rPr>
            </w:r>
          </w:p>
        </w:tc>
        <w:tc>
          <w:tcPr>
            <w:tcW w:w="1134" w:type="dxa"/>
            <w:tcBorders>
              <w:top w:val="single" w:sz="15" w:space="0" w:color="000000"/>
              <w:left w:val="single" w:sz="4" w:space="0" w:color="000000"/>
              <w:bottom w:val="single" w:sz="4" w:space="0" w:color="000000"/>
              <w:right w:val="single" w:sz="4" w:space="0" w:color="000000"/>
            </w:tcBorders>
          </w:tcPr>
          <w:p>
            <w:pPr/>
          </w:p>
        </w:tc>
        <w:tc>
          <w:tcPr>
            <w:tcW w:w="3546" w:type="dxa"/>
            <w:tcBorders>
              <w:top w:val="single" w:sz="15" w:space="0" w:color="000000"/>
              <w:left w:val="single" w:sz="4" w:space="0" w:color="000000"/>
              <w:bottom w:val="single" w:sz="4" w:space="0" w:color="000000"/>
              <w:right w:val="single" w:sz="4" w:space="0" w:color="000000"/>
            </w:tcBorders>
          </w:tcPr>
          <w:p>
            <w:pPr/>
          </w:p>
        </w:tc>
      </w:tr>
      <w:tr>
        <w:trPr>
          <w:trHeight w:val="3483" w:hRule="exact"/>
        </w:trPr>
        <w:tc>
          <w:tcPr>
            <w:tcW w:w="1702" w:type="dxa"/>
            <w:vMerge/>
            <w:tcBorders>
              <w:left w:val="single" w:sz="4" w:space="0" w:color="000000"/>
              <w:bottom w:val="single" w:sz="4" w:space="0" w:color="000000"/>
              <w:right w:val="single" w:sz="4" w:space="0" w:color="000000"/>
            </w:tcBorders>
            <w:shd w:val="clear" w:color="auto" w:fill="D2D2D2"/>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5"/>
                <w:szCs w:val="25"/>
              </w:rPr>
            </w:pPr>
          </w:p>
          <w:p>
            <w:pPr>
              <w:pStyle w:val="TableParagraph"/>
              <w:spacing w:line="319" w:lineRule="auto"/>
              <w:ind w:left="23" w:right="22"/>
              <w:jc w:val="left"/>
              <w:rPr>
                <w:rFonts w:ascii="宋体" w:hAnsi="宋体" w:cs="宋体" w:eastAsia="宋体" w:hint="default"/>
                <w:sz w:val="18"/>
                <w:szCs w:val="18"/>
              </w:rPr>
            </w:pPr>
            <w:r>
              <w:rPr>
                <w:rFonts w:ascii="宋体" w:hAnsi="宋体" w:cs="宋体" w:eastAsia="宋体" w:hint="default"/>
                <w:sz w:val="18"/>
                <w:szCs w:val="18"/>
              </w:rPr>
              <w:t>现金购买资产 的交易对方何 </w:t>
            </w:r>
            <w:r>
              <w:rPr>
                <w:rFonts w:ascii="宋体" w:hAnsi="宋体" w:cs="宋体" w:eastAsia="宋体" w:hint="default"/>
                <w:spacing w:val="-6"/>
                <w:sz w:val="18"/>
                <w:szCs w:val="18"/>
              </w:rPr>
              <w:t>伟、杨宏生、王</w:t>
            </w:r>
            <w:r>
              <w:rPr>
                <w:rFonts w:ascii="宋体" w:hAnsi="宋体" w:cs="宋体" w:eastAsia="宋体" w:hint="default"/>
                <w:sz w:val="18"/>
                <w:szCs w:val="18"/>
              </w:rPr>
              <w:t> 建成</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319" w:lineRule="auto"/>
              <w:ind w:left="22" w:right="95"/>
              <w:jc w:val="both"/>
              <w:rPr>
                <w:rFonts w:ascii="宋体" w:hAnsi="宋体" w:cs="宋体" w:eastAsia="宋体" w:hint="default"/>
                <w:sz w:val="18"/>
                <w:szCs w:val="18"/>
              </w:rPr>
            </w:pPr>
            <w:r>
              <w:rPr>
                <w:rFonts w:ascii="宋体" w:hAnsi="宋体" w:cs="宋体" w:eastAsia="宋体" w:hint="default"/>
                <w:sz w:val="18"/>
                <w:szCs w:val="18"/>
              </w:rPr>
              <w:t>关于同业 竞争、关 联交易、 资金占用 方面的承 诺</w:t>
            </w:r>
          </w:p>
        </w:tc>
        <w:tc>
          <w:tcPr>
            <w:tcW w:w="5180"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2" w:right="22"/>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、为保证上海树维持续发展和持续竞争优势，本人承诺，自本承 诺函签署之日起至本次交易完成期间在上海树维或其下属公司任 职，自本次交易完成之日起至少在上海树维或其下属公司任职</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48 </w:t>
            </w:r>
            <w:r>
              <w:rPr>
                <w:rFonts w:ascii="宋体" w:hAnsi="宋体" w:cs="宋体" w:eastAsia="宋体" w:hint="default"/>
                <w:sz w:val="18"/>
                <w:szCs w:val="18"/>
              </w:rPr>
              <w:t>个月，且在上海树维或其下属公司任职期限内未经新开普同意， 不得在新开普及其关联公司、上海树维及其下属公司以外的单位 </w:t>
            </w:r>
            <w:r>
              <w:rPr>
                <w:rFonts w:ascii="宋体" w:hAnsi="宋体" w:cs="宋体" w:eastAsia="宋体" w:hint="default"/>
                <w:spacing w:val="-4"/>
                <w:sz w:val="18"/>
                <w:szCs w:val="18"/>
              </w:rPr>
              <w:t>任职或担任任何形式的顾问（不包括担任董事职务），或从事与新</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开普及其关联公司、上海树维及其下属公司相同或类似的业务或 通过直接或间接控制的其他经营主体从事该等业务，不得在其他 与新开普及其关联公司、上海树维及其下属公司有竞争关系的公 </w:t>
            </w:r>
            <w:r>
              <w:rPr>
                <w:rFonts w:ascii="宋体" w:hAnsi="宋体" w:cs="宋体" w:eastAsia="宋体" w:hint="default"/>
                <w:spacing w:val="-4"/>
                <w:sz w:val="18"/>
                <w:szCs w:val="18"/>
              </w:rPr>
              <w:t>司任职或担任任何形式的顾问（不包括担任董事职务），违反前述</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承诺将承担因此给新开普和上海树维造成的一切损失，但是，本</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16"/>
                <w:szCs w:val="16"/>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4"/>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1"/>
                <w:szCs w:val="21"/>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w:t>
            </w:r>
          </w:p>
          <w:p>
            <w:pPr>
              <w:pStyle w:val="TableParagraph"/>
              <w:spacing w:line="240" w:lineRule="auto" w:before="63"/>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日</w:t>
            </w:r>
            <w:r>
              <w:rPr>
                <w:rFonts w:ascii="Times New Roman" w:hAnsi="Times New Roman" w:cs="Times New Roman" w:eastAsia="Times New Roman" w:hint="default"/>
                <w:sz w:val="18"/>
                <w:szCs w:val="18"/>
              </w:rPr>
              <w:t>-2020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8</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3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16"/>
                <w:szCs w:val="16"/>
              </w:rPr>
            </w:pPr>
          </w:p>
          <w:p>
            <w:pPr>
              <w:pStyle w:val="TableParagraph"/>
              <w:spacing w:line="319" w:lineRule="auto"/>
              <w:ind w:left="22" w:right="92"/>
              <w:jc w:val="left"/>
              <w:rPr>
                <w:rFonts w:ascii="宋体" w:hAnsi="宋体" w:cs="宋体" w:eastAsia="宋体" w:hint="default"/>
                <w:sz w:val="18"/>
                <w:szCs w:val="18"/>
              </w:rPr>
            </w:pPr>
            <w:r>
              <w:rPr>
                <w:rFonts w:ascii="宋体" w:hAnsi="宋体" w:cs="宋体" w:eastAsia="宋体" w:hint="default"/>
                <w:sz w:val="18"/>
                <w:szCs w:val="18"/>
              </w:rPr>
              <w:t>截至报告期末，上述承诺人严格信守承诺， 未发生违反承诺的情况。</w:t>
            </w:r>
          </w:p>
        </w:tc>
      </w:tr>
    </w:tbl>
    <w:p>
      <w:pPr>
        <w:spacing w:after="0" w:line="319" w:lineRule="auto"/>
        <w:jc w:val="left"/>
        <w:rPr>
          <w:rFonts w:ascii="宋体" w:hAnsi="宋体" w:cs="宋体" w:eastAsia="宋体" w:hint="default"/>
          <w:sz w:val="18"/>
          <w:szCs w:val="18"/>
        </w:rPr>
        <w:sectPr>
          <w:pgSz w:w="16840" w:h="11910" w:orient="landscape"/>
          <w:pgMar w:header="867" w:footer="979" w:top="1060" w:bottom="1160" w:left="900" w:right="880"/>
        </w:sectPr>
      </w:pPr>
    </w:p>
    <w:p>
      <w:pPr>
        <w:spacing w:line="240" w:lineRule="auto" w:before="4"/>
        <w:rPr>
          <w:rFonts w:ascii="Times New Roman" w:hAnsi="Times New Roman" w:cs="Times New Roman" w:eastAsia="Times New Roman" w:hint="default"/>
          <w:sz w:val="3"/>
          <w:szCs w:val="3"/>
        </w:rPr>
      </w:pPr>
      <w:r>
        <w:rPr/>
        <w:pict>
          <v:shape style="position:absolute;margin-left:324.140015pt;margin-top:57.180008pt;width:233.45pt;height:468.1pt;mso-position-horizontal-relative:page;mso-position-vertical-relative:page;z-index:-1221880" type="#_x0000_t202" filled="false" stroked="false">
            <v:textbox inset="0,0,0,0">
              <w:txbxContent>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before="122"/>
                    <w:ind w:left="540" w:right="0" w:firstLine="0"/>
                    <w:jc w:val="left"/>
                    <w:rPr>
                      <w:rFonts w:ascii="宋体" w:hAnsi="宋体" w:cs="宋体" w:eastAsia="宋体" w:hint="default"/>
                      <w:sz w:val="18"/>
                      <w:szCs w:val="18"/>
                    </w:rPr>
                  </w:pPr>
                  <w:r>
                    <w:rPr>
                      <w:rFonts w:ascii="宋体" w:hAnsi="宋体" w:cs="宋体" w:eastAsia="宋体" w:hint="default"/>
                      <w:sz w:val="18"/>
                      <w:szCs w:val="18"/>
                    </w:rPr>
                    <w:t>不在主营业务同新开普及其关联公司、</w:t>
                  </w: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7"/>
                    <w:rPr>
                      <w:rFonts w:ascii="Times New Roman" w:hAnsi="Times New Roman" w:cs="Times New Roman" w:eastAsia="Times New Roman" w:hint="default"/>
                      <w:sz w:val="16"/>
                      <w:szCs w:val="16"/>
                    </w:rPr>
                  </w:pPr>
                </w:p>
                <w:p>
                  <w:pPr>
                    <w:spacing w:before="0"/>
                    <w:ind w:left="0" w:right="0" w:firstLine="3421"/>
                    <w:jc w:val="left"/>
                    <w:rPr>
                      <w:rFonts w:ascii="宋体" w:hAnsi="宋体" w:cs="宋体" w:eastAsia="宋体" w:hint="default"/>
                      <w:sz w:val="18"/>
                      <w:szCs w:val="18"/>
                    </w:rPr>
                  </w:pPr>
                  <w:r>
                    <w:rPr>
                      <w:rFonts w:ascii="宋体" w:hAnsi="宋体" w:cs="宋体" w:eastAsia="宋体" w:hint="default"/>
                      <w:sz w:val="18"/>
                      <w:szCs w:val="18"/>
                    </w:rPr>
                    <w:t>）</w:t>
                  </w: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1"/>
                    <w:rPr>
                      <w:rFonts w:ascii="Times New Roman" w:hAnsi="Times New Roman" w:cs="Times New Roman" w:eastAsia="Times New Roman" w:hint="default"/>
                      <w:sz w:val="16"/>
                      <w:szCs w:val="16"/>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或因新开普或上海树维调动本人的工作城市、</w:t>
                  </w: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10"/>
                    <w:rPr>
                      <w:rFonts w:ascii="Times New Roman" w:hAnsi="Times New Roman" w:cs="Times New Roman" w:eastAsia="Times New Roman" w:hint="default"/>
                      <w:sz w:val="16"/>
                      <w:szCs w:val="16"/>
                    </w:rPr>
                  </w:pPr>
                </w:p>
                <w:p>
                  <w:pPr>
                    <w:spacing w:before="0"/>
                    <w:ind w:left="2160" w:right="0" w:firstLine="0"/>
                    <w:jc w:val="left"/>
                    <w:rPr>
                      <w:rFonts w:ascii="宋体" w:hAnsi="宋体" w:cs="宋体" w:eastAsia="宋体" w:hint="default"/>
                      <w:sz w:val="18"/>
                      <w:szCs w:val="18"/>
                    </w:rPr>
                  </w:pPr>
                  <w:r>
                    <w:rPr>
                      <w:rFonts w:ascii="宋体" w:hAnsi="宋体" w:cs="宋体" w:eastAsia="宋体" w:hint="default"/>
                      <w:sz w:val="18"/>
                      <w:szCs w:val="18"/>
                    </w:rPr>
                    <w:t>绩效等全部收入）</w:t>
                  </w:r>
                </w:p>
              </w:txbxContent>
            </v:textbox>
            <w10:wrap type="none"/>
          </v:shape>
        </w:pict>
      </w:r>
    </w:p>
    <w:tbl>
      <w:tblPr>
        <w:tblW w:w="0" w:type="auto"/>
        <w:jc w:val="left"/>
        <w:tblInd w:w="109" w:type="dxa"/>
        <w:tblLayout w:type="fixed"/>
        <w:tblCellMar>
          <w:top w:w="0" w:type="dxa"/>
          <w:left w:w="0" w:type="dxa"/>
          <w:bottom w:w="0" w:type="dxa"/>
          <w:right w:w="0" w:type="dxa"/>
        </w:tblCellMar>
        <w:tblLook w:val="01E0"/>
      </w:tblPr>
      <w:tblGrid>
        <w:gridCol w:w="1702"/>
        <w:gridCol w:w="1277"/>
        <w:gridCol w:w="850"/>
        <w:gridCol w:w="5180"/>
        <w:gridCol w:w="1134"/>
        <w:gridCol w:w="1134"/>
        <w:gridCol w:w="3544"/>
      </w:tblGrid>
      <w:tr>
        <w:trPr>
          <w:trHeight w:val="332" w:hRule="exact"/>
        </w:trPr>
        <w:tc>
          <w:tcPr>
            <w:tcW w:w="1702" w:type="dxa"/>
            <w:vMerge w:val="restart"/>
            <w:tcBorders>
              <w:top w:val="single" w:sz="15" w:space="0" w:color="000000"/>
              <w:left w:val="single" w:sz="4" w:space="0" w:color="000000"/>
              <w:right w:val="single" w:sz="4" w:space="0" w:color="000000"/>
            </w:tcBorders>
            <w:shd w:val="clear" w:color="auto" w:fill="D2D2D2"/>
          </w:tcPr>
          <w:p>
            <w:pPr/>
          </w:p>
        </w:tc>
        <w:tc>
          <w:tcPr>
            <w:tcW w:w="1277" w:type="dxa"/>
            <w:vMerge w:val="restart"/>
            <w:tcBorders>
              <w:top w:val="single" w:sz="15" w:space="0" w:color="000000"/>
              <w:left w:val="single" w:sz="4" w:space="0" w:color="000000"/>
              <w:right w:val="single" w:sz="4" w:space="0" w:color="000000"/>
            </w:tcBorders>
          </w:tcPr>
          <w:p>
            <w:pPr/>
          </w:p>
        </w:tc>
        <w:tc>
          <w:tcPr>
            <w:tcW w:w="850" w:type="dxa"/>
            <w:vMerge w:val="restart"/>
            <w:tcBorders>
              <w:top w:val="single" w:sz="15" w:space="0" w:color="000000"/>
              <w:left w:val="single" w:sz="4" w:space="0" w:color="000000"/>
              <w:right w:val="single" w:sz="4" w:space="0" w:color="000000"/>
            </w:tcBorders>
          </w:tcPr>
          <w:p>
            <w:pPr/>
          </w:p>
        </w:tc>
        <w:tc>
          <w:tcPr>
            <w:tcW w:w="5180" w:type="dxa"/>
            <w:tcBorders>
              <w:top w:val="single" w:sz="15" w:space="0" w:color="000000"/>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人有权对与新开普无竞争关系的相关公司进行投资，且不构成对</w:t>
            </w:r>
          </w:p>
        </w:tc>
        <w:tc>
          <w:tcPr>
            <w:tcW w:w="1134" w:type="dxa"/>
            <w:vMerge w:val="restart"/>
            <w:tcBorders>
              <w:top w:val="single" w:sz="15" w:space="0" w:color="000000"/>
              <w:left w:val="single" w:sz="4" w:space="0" w:color="000000"/>
              <w:right w:val="single" w:sz="4" w:space="0" w:color="000000"/>
            </w:tcBorders>
          </w:tcPr>
          <w:p>
            <w:pPr>
              <w:pStyle w:val="TableParagraph"/>
              <w:spacing w:line="9361" w:lineRule="exact"/>
              <w:ind w:right="-51"/>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86"/>
                <w:sz w:val="20"/>
                <w:szCs w:val="20"/>
              </w:rPr>
              <w:pict>
                <v:group style="width:56.25pt;height:468.1pt;mso-position-horizontal-relative:char;mso-position-vertical-relative:line" coordorigin="0,0" coordsize="1125,9362">
                  <v:group style="position:absolute;left:0;top:0;width:1125;height:9362" coordorigin="0,0" coordsize="1125,9362">
                    <v:shape style="position:absolute;left:0;top:0;width:1125;height:9362" coordorigin="0,0" coordsize="1125,9362" path="m0,9361l1124,9361,1124,0,0,0,0,9361xe" filled="true" fillcolor="#ffffff" stroked="false">
                      <v:path arrowok="t"/>
                      <v:fill type="solid"/>
                    </v:shape>
                  </v:group>
                </v:group>
              </w:pict>
            </w:r>
            <w:r>
              <w:rPr>
                <w:rFonts w:ascii="Times New Roman" w:hAnsi="Times New Roman" w:cs="Times New Roman" w:eastAsia="Times New Roman" w:hint="default"/>
                <w:position w:val="-186"/>
                <w:sz w:val="20"/>
                <w:szCs w:val="20"/>
              </w:rPr>
            </w:r>
          </w:p>
        </w:tc>
        <w:tc>
          <w:tcPr>
            <w:tcW w:w="1134" w:type="dxa"/>
            <w:vMerge w:val="restart"/>
            <w:tcBorders>
              <w:top w:val="single" w:sz="15" w:space="0" w:color="000000"/>
              <w:left w:val="single" w:sz="4" w:space="0" w:color="000000"/>
              <w:right w:val="single" w:sz="4" w:space="0" w:color="000000"/>
            </w:tcBorders>
          </w:tcPr>
          <w:p>
            <w:pPr/>
          </w:p>
        </w:tc>
        <w:tc>
          <w:tcPr>
            <w:tcW w:w="3544" w:type="dxa"/>
            <w:vMerge w:val="restart"/>
            <w:tcBorders>
              <w:top w:val="single" w:sz="15" w:space="0" w:color="000000"/>
              <w:left w:val="single" w:sz="4" w:space="0" w:color="000000"/>
              <w:right w:val="single" w:sz="4" w:space="0" w:color="000000"/>
            </w:tcBorders>
          </w:tcPr>
          <w:p>
            <w:pPr/>
          </w:p>
        </w:tc>
      </w:tr>
      <w:tr>
        <w:trPr>
          <w:trHeight w:val="31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本承诺的违反。</w:t>
            </w:r>
            <w:r>
              <w:rPr>
                <w:rFonts w:ascii="Times New Roman" w:hAnsi="Times New Roman" w:cs="Times New Roman" w:eastAsia="Times New Roman" w:hint="default"/>
                <w:sz w:val="18"/>
                <w:szCs w:val="18"/>
              </w:rPr>
              <w:t>2</w:t>
            </w:r>
            <w:r>
              <w:rPr>
                <w:rFonts w:ascii="宋体" w:hAnsi="宋体" w:cs="宋体" w:eastAsia="宋体" w:hint="default"/>
                <w:sz w:val="18"/>
                <w:szCs w:val="18"/>
              </w:rPr>
              <w:t>、本人承诺，自上海树维或其子公司离职后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36</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0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个月内不得在新开普及其关联公司以及、上海树维及其下属公司</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以外，从事主营业务与新开普及其关联公司、上海树维及其下属</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公司于离职时相同或类似的经营业务或通过直接或间接控制的其</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他经营主体从事该等业务；</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上海树维及其下属公司于离职时存在相同或类似的经营业务的单</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位任职或者担任任何形式的顾</w:t>
            </w:r>
            <w:r>
              <w:rPr>
                <w:rFonts w:ascii="宋体" w:hAnsi="宋体" w:cs="宋体" w:eastAsia="宋体" w:hint="default"/>
                <w:spacing w:val="-4"/>
                <w:sz w:val="18"/>
                <w:szCs w:val="18"/>
              </w:rPr>
              <w:t>问</w:t>
            </w:r>
            <w:r>
              <w:rPr>
                <w:rFonts w:ascii="宋体" w:hAnsi="宋体" w:cs="宋体" w:eastAsia="宋体" w:hint="default"/>
                <w:sz w:val="18"/>
                <w:szCs w:val="18"/>
              </w:rPr>
              <w:t>（不包括担任董事职务</w:t>
            </w:r>
            <w:r>
              <w:rPr>
                <w:rFonts w:ascii="宋体" w:hAnsi="宋体" w:cs="宋体" w:eastAsia="宋体" w:hint="default"/>
                <w:spacing w:val="-90"/>
                <w:sz w:val="18"/>
                <w:szCs w:val="18"/>
              </w:rPr>
              <w:t>）</w:t>
            </w:r>
            <w:r>
              <w:rPr>
                <w:rFonts w:ascii="宋体" w:hAnsi="宋体" w:cs="宋体" w:eastAsia="宋体" w:hint="default"/>
                <w:spacing w:val="-4"/>
                <w:sz w:val="18"/>
                <w:szCs w:val="18"/>
              </w:rPr>
              <w:t>；</w:t>
            </w:r>
            <w:r>
              <w:rPr>
                <w:rFonts w:ascii="宋体" w:hAnsi="宋体" w:cs="宋体" w:eastAsia="宋体" w:hint="default"/>
                <w:sz w:val="18"/>
                <w:szCs w:val="18"/>
              </w:rPr>
              <w:t>不以上</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海树维及其下属公司以外的名义为上海树维及其下属公司现有及</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潜在客户提供与于离职时上海树维及其下属公司所从事的相同或</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类似的经营业务，违反前述承诺将承担因此给新开普和上海树维</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造成的一切损失。</w:t>
            </w:r>
            <w:r>
              <w:rPr>
                <w:rFonts w:ascii="Times New Roman" w:hAnsi="Times New Roman" w:cs="Times New Roman" w:eastAsia="Times New Roman" w:hint="default"/>
                <w:sz w:val="18"/>
                <w:szCs w:val="18"/>
              </w:rPr>
              <w:t>3</w:t>
            </w:r>
            <w:r>
              <w:rPr>
                <w:rFonts w:ascii="宋体" w:hAnsi="宋体" w:cs="宋体" w:eastAsia="宋体" w:hint="default"/>
                <w:sz w:val="18"/>
                <w:szCs w:val="18"/>
              </w:rPr>
              <w:t>、本人承诺，严格遵守劳动合同的约定，尽责</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0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为上海树维提供相应的服务，并严格遵守新开普及上海树维的相</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关规章制度</w:t>
            </w:r>
            <w:r>
              <w:rPr>
                <w:rFonts w:ascii="宋体" w:hAnsi="宋体" w:cs="宋体" w:eastAsia="宋体" w:hint="default"/>
                <w:spacing w:val="-24"/>
                <w:sz w:val="18"/>
                <w:szCs w:val="18"/>
              </w:rPr>
              <w:t>。</w:t>
            </w:r>
            <w:r>
              <w:rPr>
                <w:rFonts w:ascii="Times New Roman" w:hAnsi="Times New Roman" w:cs="Times New Roman" w:eastAsia="Times New Roman" w:hint="default"/>
                <w:sz w:val="18"/>
                <w:szCs w:val="18"/>
              </w:rPr>
              <w:t>4</w:t>
            </w:r>
            <w:r>
              <w:rPr>
                <w:rFonts w:ascii="宋体" w:hAnsi="宋体" w:cs="宋体" w:eastAsia="宋体" w:hint="default"/>
                <w:spacing w:val="-24"/>
                <w:sz w:val="18"/>
                <w:szCs w:val="18"/>
              </w:rPr>
              <w:t>、</w:t>
            </w:r>
            <w:r>
              <w:rPr>
                <w:rFonts w:ascii="宋体" w:hAnsi="宋体" w:cs="宋体" w:eastAsia="宋体" w:hint="default"/>
                <w:sz w:val="18"/>
                <w:szCs w:val="18"/>
              </w:rPr>
              <w:t>存在以下情形的</w:t>
            </w:r>
            <w:r>
              <w:rPr>
                <w:rFonts w:ascii="宋体" w:hAnsi="宋体" w:cs="宋体" w:eastAsia="宋体" w:hint="default"/>
                <w:spacing w:val="-24"/>
                <w:sz w:val="18"/>
                <w:szCs w:val="18"/>
              </w:rPr>
              <w:t>，</w:t>
            </w:r>
            <w:r>
              <w:rPr>
                <w:rFonts w:ascii="宋体" w:hAnsi="宋体" w:cs="宋体" w:eastAsia="宋体" w:hint="default"/>
                <w:sz w:val="18"/>
                <w:szCs w:val="18"/>
              </w:rPr>
              <w:t>不视为本人违反本承诺函</w:t>
            </w:r>
            <w:r>
              <w:rPr>
                <w:rFonts w:ascii="宋体" w:hAnsi="宋体" w:cs="宋体" w:eastAsia="宋体" w:hint="default"/>
                <w:spacing w:val="-114"/>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1</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0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本人丧失或部分丧失民事行为能力、被宣告失踪、死亡或被宣告</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死亡而当然与新开普或上海树维及其下属公司终止劳动关系的；</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）因新开普或上海树维及其下属公司自身原因主动解聘本人或</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0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者批准本人离职的，</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减少薪酬导致劳动关系终止的，不视为本人违反本承诺函约定的</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任职期限承诺</w:t>
            </w:r>
            <w:r>
              <w:rPr>
                <w:rFonts w:ascii="宋体" w:hAnsi="宋体" w:cs="宋体" w:eastAsia="宋体" w:hint="default"/>
                <w:spacing w:val="-90"/>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）新开普书面同意修改本承诺函约定的任职期</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限及竞业禁止承诺的。</w:t>
            </w:r>
            <w:r>
              <w:rPr>
                <w:rFonts w:ascii="Times New Roman" w:hAnsi="Times New Roman" w:cs="Times New Roman" w:eastAsia="Times New Roman" w:hint="default"/>
                <w:sz w:val="18"/>
                <w:szCs w:val="18"/>
              </w:rPr>
              <w:t>5</w:t>
            </w:r>
            <w:r>
              <w:rPr>
                <w:rFonts w:ascii="宋体" w:hAnsi="宋体" w:cs="宋体" w:eastAsia="宋体" w:hint="default"/>
                <w:sz w:val="18"/>
                <w:szCs w:val="18"/>
              </w:rPr>
              <w:t>、本人承诺，截至本承诺函签署日，在上</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0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海树维及其子公司任职不存在违反上海树维的任何规章制度、不</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存在与其他单位签署的任何劳动合同的情形。</w:t>
            </w:r>
            <w:r>
              <w:rPr>
                <w:rFonts w:ascii="Times New Roman" w:hAnsi="Times New Roman" w:cs="Times New Roman" w:eastAsia="Times New Roman" w:hint="default"/>
                <w:sz w:val="18"/>
                <w:szCs w:val="18"/>
              </w:rPr>
              <w:t>6</w:t>
            </w:r>
            <w:r>
              <w:rPr>
                <w:rFonts w:ascii="宋体" w:hAnsi="宋体" w:cs="宋体" w:eastAsia="宋体" w:hint="default"/>
                <w:sz w:val="18"/>
                <w:szCs w:val="18"/>
              </w:rPr>
              <w:t>、自本承诺函签署</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0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之日起，如本人自上海树维或其下属企业单方离职的，本人应当</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向新开普支付违约金，应支付的违约金为：本人任职未满承诺任</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职期限（自本承诺函签署之日起至本次交易完成届满四十八个月</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的期间的差额）月度数量</w:t>
            </w:r>
            <w:r>
              <w:rPr>
                <w:rFonts w:ascii="Times New Roman" w:hAnsi="Times New Roman" w:cs="Times New Roman" w:eastAsia="Times New Roman" w:hint="default"/>
                <w:sz w:val="18"/>
                <w:szCs w:val="18"/>
              </w:rPr>
              <w:t>×</w:t>
            </w:r>
            <w:r>
              <w:rPr>
                <w:rFonts w:ascii="宋体" w:hAnsi="宋体" w:cs="宋体" w:eastAsia="宋体" w:hint="default"/>
                <w:sz w:val="18"/>
                <w:szCs w:val="18"/>
              </w:rPr>
              <w:t>本人离职前一年从上海树维或其下属公</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0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司取得的平均年收入（包括但不限工资、奖金、</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宋体" w:hAnsi="宋体" w:cs="宋体" w:eastAsia="宋体" w:hint="default"/>
                <w:sz w:val="18"/>
                <w:szCs w:val="18"/>
              </w:rPr>
              <w:t>；同时，本人承诺本人或本人控制的其他公司、企业或其他经</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3" w:hRule="exact"/>
        </w:trPr>
        <w:tc>
          <w:tcPr>
            <w:tcW w:w="1702" w:type="dxa"/>
            <w:vMerge/>
            <w:tcBorders>
              <w:left w:val="single" w:sz="4" w:space="0" w:color="000000"/>
              <w:bottom w:val="single" w:sz="4" w:space="0" w:color="000000"/>
              <w:right w:val="single" w:sz="4" w:space="0" w:color="000000"/>
            </w:tcBorders>
            <w:shd w:val="clear" w:color="auto" w:fill="D2D2D2"/>
          </w:tcPr>
          <w:p>
            <w:pPr/>
          </w:p>
        </w:tc>
        <w:tc>
          <w:tcPr>
            <w:tcW w:w="1277" w:type="dxa"/>
            <w:vMerge/>
            <w:tcBorders>
              <w:left w:val="single" w:sz="4" w:space="0" w:color="000000"/>
              <w:bottom w:val="single" w:sz="4" w:space="0" w:color="000000"/>
              <w:right w:val="single" w:sz="4" w:space="0" w:color="000000"/>
            </w:tcBorders>
          </w:tcPr>
          <w:p>
            <w:pPr/>
          </w:p>
        </w:tc>
        <w:tc>
          <w:tcPr>
            <w:tcW w:w="850" w:type="dxa"/>
            <w:vMerge/>
            <w:tcBorders>
              <w:left w:val="single" w:sz="4" w:space="0" w:color="000000"/>
              <w:bottom w:val="single" w:sz="4" w:space="0" w:color="000000"/>
              <w:right w:val="single" w:sz="4" w:space="0" w:color="000000"/>
            </w:tcBorders>
          </w:tcPr>
          <w:p>
            <w:pPr/>
          </w:p>
        </w:tc>
        <w:tc>
          <w:tcPr>
            <w:tcW w:w="518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营实体因违反上述声明与承诺所得的收入全部归新开普、上海树</w:t>
            </w:r>
          </w:p>
        </w:tc>
        <w:tc>
          <w:tcPr>
            <w:tcW w:w="1134" w:type="dxa"/>
            <w:vMerge/>
            <w:tcBorders>
              <w:left w:val="single" w:sz="4" w:space="0" w:color="000000"/>
              <w:bottom w:val="single" w:sz="4" w:space="0" w:color="000000"/>
              <w:right w:val="single" w:sz="4" w:space="0" w:color="000000"/>
            </w:tcBorders>
          </w:tcPr>
          <w:p>
            <w:pPr/>
          </w:p>
        </w:tc>
        <w:tc>
          <w:tcPr>
            <w:tcW w:w="1134" w:type="dxa"/>
            <w:vMerge/>
            <w:tcBorders>
              <w:left w:val="single" w:sz="4" w:space="0" w:color="000000"/>
              <w:bottom w:val="single" w:sz="4" w:space="0" w:color="000000"/>
              <w:right w:val="single" w:sz="4" w:space="0" w:color="000000"/>
            </w:tcBorders>
          </w:tcPr>
          <w:p>
            <w:pPr/>
          </w:p>
        </w:tc>
        <w:tc>
          <w:tcPr>
            <w:tcW w:w="3544" w:type="dxa"/>
            <w:vMerge/>
            <w:tcBorders>
              <w:left w:val="single" w:sz="4" w:space="0" w:color="000000"/>
              <w:bottom w:val="single" w:sz="4" w:space="0" w:color="000000"/>
              <w:right w:val="single" w:sz="4" w:space="0" w:color="000000"/>
            </w:tcBorders>
          </w:tcPr>
          <w:p>
            <w:pPr/>
          </w:p>
        </w:tc>
      </w:tr>
    </w:tbl>
    <w:p>
      <w:pPr>
        <w:spacing w:after="0"/>
        <w:sectPr>
          <w:pgSz w:w="16840" w:h="11910" w:orient="landscape"/>
          <w:pgMar w:header="867" w:footer="979" w:top="1060" w:bottom="1160" w:left="900" w:right="880"/>
        </w:sectPr>
      </w:pPr>
    </w:p>
    <w:p>
      <w:pPr>
        <w:spacing w:line="240" w:lineRule="auto" w:before="4"/>
        <w:rPr>
          <w:rFonts w:ascii="Times New Roman" w:hAnsi="Times New Roman" w:cs="Times New Roman" w:eastAsia="Times New Roman" w:hint="default"/>
          <w:sz w:val="3"/>
          <w:szCs w:val="3"/>
        </w:rPr>
      </w:pPr>
    </w:p>
    <w:tbl>
      <w:tblPr>
        <w:tblW w:w="0" w:type="auto"/>
        <w:jc w:val="left"/>
        <w:tblInd w:w="109" w:type="dxa"/>
        <w:tblLayout w:type="fixed"/>
        <w:tblCellMar>
          <w:top w:w="0" w:type="dxa"/>
          <w:left w:w="0" w:type="dxa"/>
          <w:bottom w:w="0" w:type="dxa"/>
          <w:right w:w="0" w:type="dxa"/>
        </w:tblCellMar>
        <w:tblLook w:val="01E0"/>
      </w:tblPr>
      <w:tblGrid>
        <w:gridCol w:w="1702"/>
        <w:gridCol w:w="1277"/>
        <w:gridCol w:w="850"/>
        <w:gridCol w:w="5180"/>
        <w:gridCol w:w="1134"/>
        <w:gridCol w:w="1134"/>
        <w:gridCol w:w="3544"/>
      </w:tblGrid>
      <w:tr>
        <w:trPr>
          <w:trHeight w:val="377" w:hRule="exact"/>
        </w:trPr>
        <w:tc>
          <w:tcPr>
            <w:tcW w:w="1702" w:type="dxa"/>
            <w:vMerge w:val="restart"/>
            <w:tcBorders>
              <w:top w:val="single" w:sz="15" w:space="0" w:color="000000"/>
              <w:left w:val="single" w:sz="4" w:space="0" w:color="000000"/>
              <w:right w:val="single" w:sz="4" w:space="0" w:color="000000"/>
            </w:tcBorders>
            <w:shd w:val="clear" w:color="auto" w:fill="D2D2D2"/>
          </w:tcPr>
          <w:p>
            <w:pPr/>
          </w:p>
        </w:tc>
        <w:tc>
          <w:tcPr>
            <w:tcW w:w="1277" w:type="dxa"/>
            <w:tcBorders>
              <w:top w:val="single" w:sz="15" w:space="0" w:color="000000"/>
              <w:left w:val="single" w:sz="4" w:space="0" w:color="000000"/>
              <w:bottom w:val="single" w:sz="4" w:space="0" w:color="000000"/>
              <w:right w:val="single" w:sz="4" w:space="0" w:color="000000"/>
            </w:tcBorders>
          </w:tcPr>
          <w:p>
            <w:pPr/>
          </w:p>
        </w:tc>
        <w:tc>
          <w:tcPr>
            <w:tcW w:w="850" w:type="dxa"/>
            <w:tcBorders>
              <w:top w:val="single" w:sz="15" w:space="0" w:color="000000"/>
              <w:left w:val="single" w:sz="4" w:space="0" w:color="000000"/>
              <w:bottom w:val="single" w:sz="4" w:space="0" w:color="000000"/>
              <w:right w:val="single" w:sz="4" w:space="0" w:color="000000"/>
            </w:tcBorders>
          </w:tcPr>
          <w:p>
            <w:pPr/>
          </w:p>
        </w:tc>
        <w:tc>
          <w:tcPr>
            <w:tcW w:w="5180"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维所有，并赔偿新开普及上海树维因此遭受的全部损失。</w:t>
            </w:r>
          </w:p>
        </w:tc>
        <w:tc>
          <w:tcPr>
            <w:tcW w:w="1134" w:type="dxa"/>
            <w:tcBorders>
              <w:top w:val="single" w:sz="15" w:space="0" w:color="000000"/>
              <w:left w:val="single" w:sz="4" w:space="0" w:color="000000"/>
              <w:bottom w:val="single" w:sz="4" w:space="0" w:color="000000"/>
              <w:right w:val="single" w:sz="4" w:space="0" w:color="000000"/>
            </w:tcBorders>
          </w:tcPr>
          <w:p>
            <w:pPr/>
          </w:p>
        </w:tc>
        <w:tc>
          <w:tcPr>
            <w:tcW w:w="1134" w:type="dxa"/>
            <w:tcBorders>
              <w:top w:val="single" w:sz="15" w:space="0" w:color="000000"/>
              <w:left w:val="single" w:sz="4" w:space="0" w:color="000000"/>
              <w:bottom w:val="single" w:sz="4" w:space="0" w:color="000000"/>
              <w:right w:val="single" w:sz="4" w:space="0" w:color="000000"/>
            </w:tcBorders>
          </w:tcPr>
          <w:p>
            <w:pPr/>
          </w:p>
        </w:tc>
        <w:tc>
          <w:tcPr>
            <w:tcW w:w="3544" w:type="dxa"/>
            <w:tcBorders>
              <w:top w:val="single" w:sz="15" w:space="0" w:color="000000"/>
              <w:left w:val="single" w:sz="4" w:space="0" w:color="000000"/>
              <w:bottom w:val="single" w:sz="4" w:space="0" w:color="000000"/>
              <w:right w:val="single" w:sz="4" w:space="0" w:color="000000"/>
            </w:tcBorders>
          </w:tcPr>
          <w:p>
            <w:pPr/>
          </w:p>
        </w:tc>
      </w:tr>
      <w:tr>
        <w:trPr>
          <w:trHeight w:val="2898" w:hRule="exact"/>
        </w:trPr>
        <w:tc>
          <w:tcPr>
            <w:tcW w:w="1702" w:type="dxa"/>
            <w:vMerge/>
            <w:tcBorders>
              <w:left w:val="single" w:sz="4" w:space="0" w:color="000000"/>
              <w:bottom w:val="single" w:sz="4" w:space="0" w:color="000000"/>
              <w:right w:val="single" w:sz="4" w:space="0" w:color="000000"/>
            </w:tcBorders>
            <w:shd w:val="clear" w:color="auto" w:fill="D2D2D2"/>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60"/>
              <w:ind w:left="23" w:right="161"/>
              <w:jc w:val="both"/>
              <w:rPr>
                <w:rFonts w:ascii="宋体" w:hAnsi="宋体" w:cs="宋体" w:eastAsia="宋体" w:hint="default"/>
                <w:sz w:val="18"/>
                <w:szCs w:val="18"/>
              </w:rPr>
            </w:pPr>
            <w:r>
              <w:rPr>
                <w:rFonts w:ascii="宋体" w:hAnsi="宋体" w:cs="宋体" w:eastAsia="宋体" w:hint="default"/>
                <w:sz w:val="18"/>
                <w:szCs w:val="18"/>
              </w:rPr>
              <w:t>现金购买资产 的交易对方乔 志刚、吴琼</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06"/>
              <w:ind w:left="22" w:right="95"/>
              <w:jc w:val="both"/>
              <w:rPr>
                <w:rFonts w:ascii="宋体" w:hAnsi="宋体" w:cs="宋体" w:eastAsia="宋体" w:hint="default"/>
                <w:sz w:val="18"/>
                <w:szCs w:val="18"/>
              </w:rPr>
            </w:pPr>
            <w:r>
              <w:rPr>
                <w:rFonts w:ascii="宋体" w:hAnsi="宋体" w:cs="宋体" w:eastAsia="宋体" w:hint="default"/>
                <w:sz w:val="18"/>
                <w:szCs w:val="18"/>
              </w:rPr>
              <w:t>关于同业 竞争、关 联交易、 资金占用 方面的承 诺</w:t>
            </w:r>
          </w:p>
        </w:tc>
        <w:tc>
          <w:tcPr>
            <w:tcW w:w="5180"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51"/>
              <w:ind w:left="22" w:right="22"/>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、自本承诺函签署日起五年内，本人不再从事主营业务（包括直 接和间接）与上海树维在本协议签署日所从事业务（上海树维在 本协议签署日所从事的业务为：高校一卡通、高校数字化校园与 教务管理系统软件及服务）相竞争的业务。</w:t>
            </w:r>
            <w:r>
              <w:rPr>
                <w:rFonts w:ascii="Times New Roman" w:hAnsi="Times New Roman" w:cs="Times New Roman" w:eastAsia="Times New Roman" w:hint="default"/>
                <w:sz w:val="18"/>
                <w:szCs w:val="18"/>
              </w:rPr>
              <w:t>2</w:t>
            </w:r>
            <w:r>
              <w:rPr>
                <w:rFonts w:ascii="宋体" w:hAnsi="宋体" w:cs="宋体" w:eastAsia="宋体" w:hint="default"/>
                <w:sz w:val="18"/>
                <w:szCs w:val="18"/>
              </w:rPr>
              <w:t>、 自本承诺函签署 日起五年内，本人不得投资主营业务与竞争业务相同的企业、公 </w:t>
            </w:r>
            <w:r>
              <w:rPr>
                <w:rFonts w:ascii="宋体" w:hAnsi="宋体" w:cs="宋体" w:eastAsia="宋体" w:hint="default"/>
                <w:spacing w:val="-4"/>
                <w:sz w:val="18"/>
                <w:szCs w:val="18"/>
              </w:rPr>
              <w:t>司或其他组织（不包括二级市场购买股票）。以上承诺均有效期</w:t>
            </w:r>
            <w:r>
              <w:rPr>
                <w:rFonts w:ascii="宋体" w:hAnsi="宋体" w:cs="宋体" w:eastAsia="宋体" w:hint="default"/>
                <w:spacing w:val="-3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34"/>
                <w:sz w:val="18"/>
                <w:szCs w:val="18"/>
              </w:rPr>
              <w:t> </w:t>
            </w:r>
            <w:r>
              <w:rPr>
                <w:rFonts w:ascii="宋体" w:hAnsi="宋体" w:cs="宋体" w:eastAsia="宋体" w:hint="default"/>
                <w:sz w:val="18"/>
                <w:szCs w:val="18"/>
              </w:rPr>
              <w:t>年，如违反上述承诺，本人愿意赔偿新开普及其关联公司、上海 树维及其下属企业所遭受的一切经济损失及因此而支出的额外费 用并承担相应的法律责任。</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3"/>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60"/>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日</w:t>
            </w:r>
            <w:r>
              <w:rPr>
                <w:rFonts w:ascii="Times New Roman" w:hAnsi="Times New Roman" w:cs="Times New Roman" w:eastAsia="Times New Roman" w:hint="default"/>
                <w:sz w:val="18"/>
                <w:szCs w:val="18"/>
              </w:rPr>
              <w:t>-2020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8</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35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09"/>
              <w:ind w:left="22" w:right="89"/>
              <w:jc w:val="left"/>
              <w:rPr>
                <w:rFonts w:ascii="宋体" w:hAnsi="宋体" w:cs="宋体" w:eastAsia="宋体" w:hint="default"/>
                <w:sz w:val="18"/>
                <w:szCs w:val="18"/>
              </w:rPr>
            </w:pPr>
            <w:r>
              <w:rPr>
                <w:rFonts w:ascii="宋体" w:hAnsi="宋体" w:cs="宋体" w:eastAsia="宋体" w:hint="default"/>
                <w:sz w:val="18"/>
                <w:szCs w:val="18"/>
              </w:rPr>
              <w:t>截至报告期末，上述承诺人严格信守承诺， 未发生违反承诺的情况。</w:t>
            </w:r>
          </w:p>
        </w:tc>
      </w:tr>
      <w:tr>
        <w:trPr>
          <w:trHeight w:val="1962" w:hRule="exact"/>
        </w:trPr>
        <w:tc>
          <w:tcPr>
            <w:tcW w:w="170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6"/>
                <w:szCs w:val="26"/>
              </w:rPr>
            </w:pPr>
          </w:p>
          <w:p>
            <w:pPr>
              <w:pStyle w:val="TableParagraph"/>
              <w:spacing w:line="316" w:lineRule="auto"/>
              <w:ind w:left="22" w:right="47"/>
              <w:jc w:val="left"/>
              <w:rPr>
                <w:rFonts w:ascii="宋体" w:hAnsi="宋体" w:cs="宋体" w:eastAsia="宋体" w:hint="default"/>
                <w:sz w:val="18"/>
                <w:szCs w:val="18"/>
              </w:rPr>
            </w:pPr>
            <w:r>
              <w:rPr>
                <w:rFonts w:ascii="宋体" w:hAnsi="宋体" w:cs="宋体" w:eastAsia="宋体" w:hint="default"/>
                <w:sz w:val="18"/>
                <w:szCs w:val="18"/>
              </w:rPr>
              <w:t>首次公开发行或再融 资时所作承诺</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2"/>
                <w:szCs w:val="22"/>
              </w:rPr>
            </w:pPr>
          </w:p>
          <w:p>
            <w:pPr>
              <w:pStyle w:val="TableParagraph"/>
              <w:spacing w:line="316" w:lineRule="auto"/>
              <w:ind w:left="23" w:right="161"/>
              <w:jc w:val="left"/>
              <w:rPr>
                <w:rFonts w:ascii="宋体" w:hAnsi="宋体" w:cs="宋体" w:eastAsia="宋体" w:hint="default"/>
                <w:sz w:val="18"/>
                <w:szCs w:val="18"/>
              </w:rPr>
            </w:pPr>
            <w:r>
              <w:rPr>
                <w:rFonts w:ascii="宋体" w:hAnsi="宋体" w:cs="宋体" w:eastAsia="宋体" w:hint="default"/>
                <w:sz w:val="18"/>
                <w:szCs w:val="18"/>
              </w:rPr>
              <w:t>新开普电子股 份有限公司</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2"/>
                <w:szCs w:val="22"/>
              </w:rPr>
            </w:pPr>
          </w:p>
          <w:p>
            <w:pPr>
              <w:pStyle w:val="TableParagraph"/>
              <w:spacing w:line="316" w:lineRule="auto"/>
              <w:ind w:left="22" w:right="95"/>
              <w:jc w:val="left"/>
              <w:rPr>
                <w:rFonts w:ascii="宋体" w:hAnsi="宋体" w:cs="宋体" w:eastAsia="宋体" w:hint="default"/>
                <w:sz w:val="18"/>
                <w:szCs w:val="18"/>
              </w:rPr>
            </w:pPr>
            <w:r>
              <w:rPr>
                <w:rFonts w:ascii="宋体" w:hAnsi="宋体" w:cs="宋体" w:eastAsia="宋体" w:hint="default"/>
                <w:sz w:val="18"/>
                <w:szCs w:val="18"/>
              </w:rPr>
              <w:t>募集资金 使用承诺</w:t>
            </w:r>
          </w:p>
        </w:tc>
        <w:tc>
          <w:tcPr>
            <w:tcW w:w="5180"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51"/>
              <w:ind w:left="22" w:right="85"/>
              <w:jc w:val="both"/>
              <w:rPr>
                <w:rFonts w:ascii="宋体" w:hAnsi="宋体" w:cs="宋体" w:eastAsia="宋体" w:hint="default"/>
                <w:sz w:val="18"/>
                <w:szCs w:val="18"/>
              </w:rPr>
            </w:pPr>
            <w:r>
              <w:rPr>
                <w:rFonts w:ascii="宋体" w:hAnsi="宋体" w:cs="宋体" w:eastAsia="宋体" w:hint="default"/>
                <w:sz w:val="18"/>
                <w:szCs w:val="18"/>
              </w:rPr>
              <w:t>公司的所有募集资金将存放于专户管理，并用于公司主营业务。 </w:t>
            </w:r>
            <w:r>
              <w:rPr>
                <w:rFonts w:ascii="宋体" w:hAnsi="宋体" w:cs="宋体" w:eastAsia="宋体" w:hint="default"/>
                <w:spacing w:val="-5"/>
                <w:sz w:val="18"/>
                <w:szCs w:val="18"/>
              </w:rPr>
              <w:t>对于尚没有具体使用项目的</w:t>
            </w:r>
            <w:r>
              <w:rPr>
                <w:rFonts w:ascii="Times New Roman" w:hAnsi="Times New Roman" w:cs="Times New Roman" w:eastAsia="Times New Roman" w:hint="default"/>
                <w:spacing w:val="-5"/>
                <w:sz w:val="18"/>
                <w:szCs w:val="18"/>
              </w:rPr>
              <w:t>"</w:t>
            </w:r>
            <w:r>
              <w:rPr>
                <w:rFonts w:ascii="宋体" w:hAnsi="宋体" w:cs="宋体" w:eastAsia="宋体" w:hint="default"/>
                <w:spacing w:val="-5"/>
                <w:sz w:val="18"/>
                <w:szCs w:val="18"/>
              </w:rPr>
              <w:t>其他与主营业务相关的营运资金</w:t>
            </w:r>
            <w:r>
              <w:rPr>
                <w:rFonts w:ascii="Times New Roman" w:hAnsi="Times New Roman" w:cs="Times New Roman" w:eastAsia="Times New Roman" w:hint="default"/>
                <w:spacing w:val="-5"/>
                <w:sz w:val="18"/>
                <w:szCs w:val="18"/>
              </w:rPr>
              <w:t>"</w:t>
            </w:r>
            <w:r>
              <w:rPr>
                <w:rFonts w:ascii="宋体" w:hAnsi="宋体" w:cs="宋体" w:eastAsia="宋体" w:hint="default"/>
                <w:spacing w:val="-5"/>
                <w:sz w:val="18"/>
                <w:szCs w:val="18"/>
              </w:rPr>
              <w:t>，本</w:t>
            </w:r>
            <w:r>
              <w:rPr>
                <w:rFonts w:ascii="宋体" w:hAnsi="宋体" w:cs="宋体" w:eastAsia="宋体" w:hint="default"/>
                <w:spacing w:val="-71"/>
                <w:sz w:val="18"/>
                <w:szCs w:val="18"/>
              </w:rPr>
              <w:t> </w:t>
            </w:r>
            <w:r>
              <w:rPr>
                <w:rFonts w:ascii="宋体" w:hAnsi="宋体" w:cs="宋体" w:eastAsia="宋体" w:hint="default"/>
                <w:sz w:val="18"/>
                <w:szCs w:val="18"/>
              </w:rPr>
              <w:t>公司最晚于募集资金到帐后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个月内，根据公司的发展规划及实 际生产经营需求，妥善安排该部分资金的使用计划，提交董事会 审议通过后及时披露。公司实际使用该部分资金前，将履行相应 的董事会或股东大会审议程序，并及时披露。</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2"/>
                <w:szCs w:val="22"/>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p>
          <w:p>
            <w:pPr>
              <w:pStyle w:val="TableParagraph"/>
              <w:spacing w:line="240" w:lineRule="auto" w:before="63"/>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34" w:type="dxa"/>
            <w:tcBorders>
              <w:top w:val="single" w:sz="4" w:space="0" w:color="000000"/>
              <w:left w:val="single" w:sz="4" w:space="0" w:color="000000"/>
              <w:bottom w:val="single" w:sz="4" w:space="0" w:color="000000"/>
              <w:right w:val="single" w:sz="13" w:space="0" w:color="FFFFFF"/>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2"/>
                <w:szCs w:val="22"/>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28</w:t>
            </w:r>
          </w:p>
          <w:p>
            <w:pPr>
              <w:pStyle w:val="TableParagraph"/>
              <w:spacing w:line="240" w:lineRule="auto" w:before="63"/>
              <w:ind w:left="22" w:right="-50"/>
              <w:jc w:val="left"/>
              <w:rPr>
                <w:rFonts w:ascii="宋体" w:hAnsi="宋体" w:cs="宋体" w:eastAsia="宋体" w:hint="default"/>
                <w:sz w:val="18"/>
                <w:szCs w:val="18"/>
              </w:rPr>
            </w:pPr>
            <w:r>
              <w:rPr>
                <w:rFonts w:ascii="宋体" w:hAnsi="宋体" w:cs="宋体" w:eastAsia="宋体" w:hint="default"/>
                <w:sz w:val="18"/>
                <w:szCs w:val="18"/>
              </w:rPr>
              <w:t>日</w:t>
            </w:r>
            <w:r>
              <w:rPr>
                <w:rFonts w:ascii="Times New Roman" w:hAnsi="Times New Roman" w:cs="Times New Roman" w:eastAsia="Times New Roman" w:hint="default"/>
                <w:sz w:val="18"/>
                <w:szCs w:val="18"/>
              </w:rPr>
              <w:t>-</w:t>
            </w:r>
            <w:r>
              <w:rPr>
                <w:rFonts w:ascii="宋体" w:hAnsi="宋体" w:cs="宋体" w:eastAsia="宋体" w:hint="default"/>
                <w:sz w:val="18"/>
                <w:szCs w:val="18"/>
              </w:rPr>
              <w:t>长期有效。</w:t>
            </w:r>
          </w:p>
        </w:tc>
        <w:tc>
          <w:tcPr>
            <w:tcW w:w="3544" w:type="dxa"/>
            <w:tcBorders>
              <w:top w:val="single" w:sz="4" w:space="0" w:color="000000"/>
              <w:left w:val="single" w:sz="13" w:space="0" w:color="FFFFFF"/>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2"/>
                <w:szCs w:val="22"/>
              </w:rPr>
            </w:pPr>
          </w:p>
          <w:p>
            <w:pPr>
              <w:pStyle w:val="TableParagraph"/>
              <w:spacing w:line="316" w:lineRule="auto"/>
              <w:ind w:left="11" w:right="89"/>
              <w:jc w:val="left"/>
              <w:rPr>
                <w:rFonts w:ascii="宋体" w:hAnsi="宋体" w:cs="宋体" w:eastAsia="宋体" w:hint="default"/>
                <w:sz w:val="18"/>
                <w:szCs w:val="18"/>
              </w:rPr>
            </w:pPr>
            <w:r>
              <w:rPr>
                <w:rFonts w:ascii="宋体" w:hAnsi="宋体" w:cs="宋体" w:eastAsia="宋体" w:hint="default"/>
                <w:sz w:val="18"/>
                <w:szCs w:val="18"/>
              </w:rPr>
              <w:t>截至报告期末，公司首次公开发行募集资金 已经使用完毕，未发生违反承诺的情况。</w:t>
            </w:r>
          </w:p>
        </w:tc>
      </w:tr>
      <w:tr>
        <w:trPr>
          <w:trHeight w:val="3210" w:hRule="exact"/>
        </w:trPr>
        <w:tc>
          <w:tcPr>
            <w:tcW w:w="1702" w:type="dxa"/>
            <w:vMerge/>
            <w:tcBorders>
              <w:left w:val="single" w:sz="4" w:space="0" w:color="000000"/>
              <w:right w:val="single" w:sz="4" w:space="0" w:color="000000"/>
            </w:tcBorders>
            <w:shd w:val="clear" w:color="auto" w:fill="D2D2D2"/>
          </w:tcPr>
          <w:p>
            <w:pPr/>
          </w:p>
        </w:tc>
        <w:tc>
          <w:tcPr>
            <w:tcW w:w="1277" w:type="dxa"/>
            <w:tcBorders>
              <w:top w:val="single" w:sz="4" w:space="0" w:color="000000"/>
              <w:left w:val="single" w:sz="4" w:space="0" w:color="000000"/>
              <w:bottom w:val="single" w:sz="4" w:space="0" w:color="000000"/>
              <w:right w:val="single" w:sz="9" w:space="0" w:color="FFFFFF"/>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314" w:lineRule="auto"/>
              <w:ind w:left="23" w:right="-24"/>
              <w:jc w:val="left"/>
              <w:rPr>
                <w:rFonts w:ascii="宋体" w:hAnsi="宋体" w:cs="宋体" w:eastAsia="宋体" w:hint="default"/>
                <w:sz w:val="18"/>
                <w:szCs w:val="18"/>
              </w:rPr>
            </w:pPr>
            <w:r>
              <w:rPr>
                <w:rFonts w:ascii="宋体" w:hAnsi="宋体" w:cs="宋体" w:eastAsia="宋体" w:hint="default"/>
                <w:sz w:val="18"/>
                <w:szCs w:val="18"/>
              </w:rPr>
              <w:t>杨维国、尚卫 </w:t>
            </w:r>
            <w:r>
              <w:rPr>
                <w:rFonts w:ascii="宋体" w:hAnsi="宋体" w:cs="宋体" w:eastAsia="宋体" w:hint="default"/>
                <w:spacing w:val="-6"/>
                <w:sz w:val="18"/>
                <w:szCs w:val="18"/>
              </w:rPr>
              <w:t>国、付秋生、赵</w:t>
            </w:r>
            <w:r>
              <w:rPr>
                <w:rFonts w:ascii="宋体" w:hAnsi="宋体" w:cs="宋体" w:eastAsia="宋体" w:hint="default"/>
                <w:sz w:val="18"/>
                <w:szCs w:val="18"/>
              </w:rPr>
              <w:t> 利宾、华梦阳、 </w:t>
            </w:r>
            <w:r>
              <w:rPr>
                <w:rFonts w:ascii="宋体" w:hAnsi="宋体" w:cs="宋体" w:eastAsia="宋体" w:hint="default"/>
                <w:spacing w:val="-6"/>
                <w:sz w:val="18"/>
                <w:szCs w:val="18"/>
              </w:rPr>
              <w:t>刘恩臣、王葆玲</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等</w:t>
            </w:r>
            <w:r>
              <w:rPr>
                <w:rFonts w:ascii="宋体" w:hAnsi="宋体" w:cs="宋体" w:eastAsia="宋体" w:hint="default"/>
                <w:spacing w:val="-65"/>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名自然人股 东。</w:t>
            </w:r>
          </w:p>
        </w:tc>
        <w:tc>
          <w:tcPr>
            <w:tcW w:w="850" w:type="dxa"/>
            <w:tcBorders>
              <w:top w:val="single" w:sz="4" w:space="0" w:color="000000"/>
              <w:left w:val="single" w:sz="9" w:space="0" w:color="FFFFFF"/>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18"/>
                <w:szCs w:val="18"/>
              </w:rPr>
            </w:pPr>
          </w:p>
          <w:p>
            <w:pPr>
              <w:pStyle w:val="TableParagraph"/>
              <w:spacing w:line="240" w:lineRule="auto"/>
              <w:ind w:left="16" w:right="0"/>
              <w:jc w:val="left"/>
              <w:rPr>
                <w:rFonts w:ascii="宋体" w:hAnsi="宋体" w:cs="宋体" w:eastAsia="宋体" w:hint="default"/>
                <w:sz w:val="18"/>
                <w:szCs w:val="18"/>
              </w:rPr>
            </w:pPr>
            <w:r>
              <w:rPr>
                <w:rFonts w:ascii="宋体" w:hAnsi="宋体" w:cs="宋体" w:eastAsia="宋体" w:hint="default"/>
                <w:sz w:val="18"/>
                <w:szCs w:val="18"/>
              </w:rPr>
              <w:t>其他承诺</w:t>
            </w:r>
          </w:p>
        </w:tc>
        <w:tc>
          <w:tcPr>
            <w:tcW w:w="518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05"/>
              <w:jc w:val="left"/>
              <w:rPr>
                <w:rFonts w:ascii="宋体" w:hAnsi="宋体" w:cs="宋体" w:eastAsia="宋体" w:hint="default"/>
                <w:sz w:val="18"/>
                <w:szCs w:val="18"/>
              </w:rPr>
            </w:pPr>
            <w:r>
              <w:rPr>
                <w:rFonts w:ascii="宋体" w:hAnsi="宋体" w:cs="宋体" w:eastAsia="宋体" w:hint="default"/>
                <w:sz w:val="18"/>
                <w:szCs w:val="18"/>
              </w:rPr>
              <w:t>严格遵守《公司法》和深圳证券交易所关于上市公司董事、监事 与高级管理人员买卖本公司股份行为的相关规定，在任职期间每 年转让的股份不超过本人所持有发行人股份总数的百分之二十 五；所持发行人股份自发行人股票上市交易之日起十二个月内不 得转让；在公司首次公开发行股票上市之日起六个月内申报离职 的，自申报离职之日起十八个月内不转让本人直接持有的发行人 股份；在公司首次公开发行股票上市之日起第七个月至第十二个 月之间申报离职的，自申报离职之日起十二个月内不转让本人直 接持有的发行人股份；在离职后六个月内，不转让本人所持有的 发行人股份。</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2"/>
                <w:szCs w:val="22"/>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3"/>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302" w:lineRule="auto" w:before="61"/>
              <w:ind w:left="22" w:right="95"/>
              <w:jc w:val="left"/>
              <w:rPr>
                <w:rFonts w:ascii="宋体" w:hAnsi="宋体" w:cs="宋体" w:eastAsia="宋体" w:hint="default"/>
                <w:sz w:val="18"/>
                <w:szCs w:val="18"/>
              </w:rPr>
            </w:pP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r>
              <w:rPr>
                <w:rFonts w:ascii="Times New Roman" w:hAnsi="Times New Roman" w:cs="Times New Roman" w:eastAsia="Times New Roman" w:hint="default"/>
                <w:sz w:val="18"/>
                <w:szCs w:val="18"/>
              </w:rPr>
              <w:t>-</w:t>
            </w:r>
            <w:r>
              <w:rPr>
                <w:rFonts w:ascii="宋体" w:hAnsi="宋体" w:cs="宋体" w:eastAsia="宋体" w:hint="default"/>
                <w:sz w:val="18"/>
                <w:szCs w:val="18"/>
              </w:rPr>
              <w:t>长期有 效。</w:t>
            </w:r>
          </w:p>
        </w:tc>
        <w:tc>
          <w:tcPr>
            <w:tcW w:w="35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2"/>
                <w:szCs w:val="22"/>
              </w:rPr>
            </w:pPr>
          </w:p>
          <w:p>
            <w:pPr>
              <w:pStyle w:val="TableParagraph"/>
              <w:spacing w:line="319" w:lineRule="auto"/>
              <w:ind w:left="22" w:right="89"/>
              <w:jc w:val="left"/>
              <w:rPr>
                <w:rFonts w:ascii="宋体" w:hAnsi="宋体" w:cs="宋体" w:eastAsia="宋体" w:hint="default"/>
                <w:sz w:val="18"/>
                <w:szCs w:val="18"/>
              </w:rPr>
            </w:pPr>
            <w:r>
              <w:rPr>
                <w:rFonts w:ascii="宋体" w:hAnsi="宋体" w:cs="宋体" w:eastAsia="宋体" w:hint="default"/>
                <w:sz w:val="18"/>
                <w:szCs w:val="18"/>
              </w:rPr>
              <w:t>截至报告期末，上述承诺人严格信守承诺， 未发生违反承诺的情况。</w:t>
            </w:r>
          </w:p>
        </w:tc>
      </w:tr>
      <w:tr>
        <w:trPr>
          <w:trHeight w:val="1026" w:hRule="exact"/>
        </w:trPr>
        <w:tc>
          <w:tcPr>
            <w:tcW w:w="1702" w:type="dxa"/>
            <w:vMerge/>
            <w:tcBorders>
              <w:left w:val="single" w:sz="4" w:space="0" w:color="000000"/>
              <w:bottom w:val="single" w:sz="4" w:space="0" w:color="000000"/>
              <w:right w:val="single" w:sz="4" w:space="0" w:color="000000"/>
            </w:tcBorders>
            <w:shd w:val="clear" w:color="auto" w:fill="D2D2D2"/>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3" w:right="161"/>
              <w:jc w:val="both"/>
              <w:rPr>
                <w:rFonts w:ascii="宋体" w:hAnsi="宋体" w:cs="宋体" w:eastAsia="宋体" w:hint="default"/>
                <w:sz w:val="18"/>
                <w:szCs w:val="18"/>
              </w:rPr>
            </w:pPr>
            <w:r>
              <w:rPr>
                <w:rFonts w:ascii="宋体" w:hAnsi="宋体" w:cs="宋体" w:eastAsia="宋体" w:hint="default"/>
                <w:sz w:val="18"/>
                <w:szCs w:val="18"/>
              </w:rPr>
              <w:t>公司控股股东 暨实际控制人 杨维国</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71"/>
              <w:ind w:left="22" w:right="95"/>
              <w:jc w:val="both"/>
              <w:rPr>
                <w:rFonts w:ascii="宋体" w:hAnsi="宋体" w:cs="宋体" w:eastAsia="宋体" w:hint="default"/>
                <w:sz w:val="18"/>
                <w:szCs w:val="18"/>
              </w:rPr>
            </w:pPr>
            <w:r>
              <w:rPr>
                <w:rFonts w:ascii="宋体" w:hAnsi="宋体" w:cs="宋体" w:eastAsia="宋体" w:hint="default"/>
                <w:sz w:val="18"/>
                <w:szCs w:val="18"/>
              </w:rPr>
              <w:t>关于同业 竞争、关 联交易、</w:t>
            </w:r>
          </w:p>
        </w:tc>
        <w:tc>
          <w:tcPr>
            <w:tcW w:w="5180"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71"/>
              <w:ind w:left="22" w:right="22"/>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、截至本承诺函出具日，本人未控制任何与新开普存在有相同或 类似业务的公司、企业或其他经营实体，未经营也没有为他人经 营与新开普相同或类似的产品或业务；本人与新开普不存在同业</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3"/>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302" w:lineRule="auto" w:before="61"/>
              <w:ind w:left="22" w:right="95"/>
              <w:jc w:val="left"/>
              <w:rPr>
                <w:rFonts w:ascii="宋体" w:hAnsi="宋体" w:cs="宋体" w:eastAsia="宋体" w:hint="default"/>
                <w:sz w:val="18"/>
                <w:szCs w:val="18"/>
              </w:rPr>
            </w:pP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r>
              <w:rPr>
                <w:rFonts w:ascii="Times New Roman" w:hAnsi="Times New Roman" w:cs="Times New Roman" w:eastAsia="Times New Roman" w:hint="default"/>
                <w:sz w:val="18"/>
                <w:szCs w:val="18"/>
              </w:rPr>
              <w:t>-</w:t>
            </w:r>
            <w:r>
              <w:rPr>
                <w:rFonts w:ascii="宋体" w:hAnsi="宋体" w:cs="宋体" w:eastAsia="宋体" w:hint="default"/>
                <w:sz w:val="18"/>
                <w:szCs w:val="18"/>
              </w:rPr>
              <w:t>长期有 效。</w:t>
            </w:r>
          </w:p>
        </w:tc>
        <w:tc>
          <w:tcPr>
            <w:tcW w:w="35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6" w:lineRule="auto"/>
              <w:ind w:left="22" w:right="89"/>
              <w:jc w:val="left"/>
              <w:rPr>
                <w:rFonts w:ascii="宋体" w:hAnsi="宋体" w:cs="宋体" w:eastAsia="宋体" w:hint="default"/>
                <w:sz w:val="18"/>
                <w:szCs w:val="18"/>
              </w:rPr>
            </w:pPr>
            <w:r>
              <w:rPr>
                <w:rFonts w:ascii="宋体" w:hAnsi="宋体" w:cs="宋体" w:eastAsia="宋体" w:hint="default"/>
                <w:sz w:val="18"/>
                <w:szCs w:val="18"/>
              </w:rPr>
              <w:t>截至报告期末，上述承诺人严格信守承诺， 未发生违反承诺的情况。</w:t>
            </w:r>
          </w:p>
        </w:tc>
      </w:tr>
    </w:tbl>
    <w:p>
      <w:pPr>
        <w:spacing w:after="0" w:line="316" w:lineRule="auto"/>
        <w:jc w:val="left"/>
        <w:rPr>
          <w:rFonts w:ascii="宋体" w:hAnsi="宋体" w:cs="宋体" w:eastAsia="宋体" w:hint="default"/>
          <w:sz w:val="18"/>
          <w:szCs w:val="18"/>
        </w:rPr>
        <w:sectPr>
          <w:pgSz w:w="16840" w:h="11910" w:orient="landscape"/>
          <w:pgMar w:header="867" w:footer="979" w:top="1060" w:bottom="1160" w:left="900" w:right="880"/>
        </w:sectPr>
      </w:pPr>
    </w:p>
    <w:p>
      <w:pPr>
        <w:spacing w:line="240" w:lineRule="auto" w:before="4"/>
        <w:rPr>
          <w:rFonts w:ascii="Times New Roman" w:hAnsi="Times New Roman" w:cs="Times New Roman" w:eastAsia="Times New Roman" w:hint="default"/>
          <w:sz w:val="3"/>
          <w:szCs w:val="3"/>
        </w:rPr>
      </w:pPr>
      <w:r>
        <w:rPr/>
        <w:pict>
          <v:shape style="position:absolute;margin-left:405.140015pt;margin-top:57.180008pt;width:152.450pt;height:236.1pt;mso-position-horizontal-relative:page;mso-position-vertical-relative:page;z-index:-1221856" type="#_x0000_t202" filled="false" stroked="false">
            <v:textbox inset="0,0,0,0">
              <w:txbxContent>
                <w:p>
                  <w:pPr>
                    <w:spacing w:before="10"/>
                    <w:ind w:left="0" w:right="0" w:firstLine="0"/>
                    <w:jc w:val="left"/>
                    <w:rPr>
                      <w:rFonts w:ascii="宋体" w:hAnsi="宋体" w:cs="宋体" w:eastAsia="宋体" w:hint="default"/>
                      <w:sz w:val="18"/>
                      <w:szCs w:val="18"/>
                    </w:rPr>
                  </w:pPr>
                  <w:r>
                    <w:rPr>
                      <w:rFonts w:ascii="宋体" w:hAnsi="宋体" w:cs="宋体" w:eastAsia="宋体" w:hint="default"/>
                      <w:sz w:val="18"/>
                      <w:szCs w:val="18"/>
                    </w:rPr>
                    <w:t>将不在中国境内外投资、</w:t>
                  </w:r>
                </w:p>
              </w:txbxContent>
            </v:textbox>
            <w10:wrap type="none"/>
          </v:shape>
        </w:pict>
      </w:r>
      <w:r>
        <w:rPr/>
        <w:pict>
          <v:shape style="position:absolute;margin-left:468.122009pt;margin-top:293.740021pt;width:89.45pt;height:100.4pt;mso-position-horizontal-relative:page;mso-position-vertical-relative:page;z-index:-1221832" type="#_x0000_t202" filled="false" stroked="false">
            <v:textbox inset="0,0,0,0">
              <w:txbxContent>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7"/>
                    <w:rPr>
                      <w:rFonts w:ascii="Times New Roman" w:hAnsi="Times New Roman" w:cs="Times New Roman" w:eastAsia="Times New Roman" w:hint="default"/>
                      <w:sz w:val="22"/>
                      <w:szCs w:val="22"/>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郎金文、</w:t>
                  </w:r>
                </w:p>
              </w:txbxContent>
            </v:textbox>
            <w10:wrap type="none"/>
          </v:shape>
        </w:pict>
      </w:r>
      <w:r>
        <w:rPr/>
        <w:pict>
          <v:group style="position:absolute;margin-left:501.339996pt;margin-top:57.180008pt;width:56.25pt;height:336.95pt;mso-position-horizontal-relative:page;mso-position-vertical-relative:page;z-index:-1221808" coordorigin="10027,1144" coordsize="1125,6739">
            <v:group style="position:absolute;left:10027;top:1144;width:1125;height:4722" coordorigin="10027,1144" coordsize="1125,4722">
              <v:shape style="position:absolute;left:10027;top:1144;width:1125;height:4722" coordorigin="10027,1144" coordsize="1125,4722" path="m10027,5865l11151,5865,11151,1144,10027,1144,10027,5865xe" filled="true" fillcolor="#ffffff" stroked="false">
                <v:path arrowok="t"/>
                <v:fill type="solid"/>
              </v:shape>
            </v:group>
            <v:group style="position:absolute;left:10027;top:5875;width:1125;height:2008" coordorigin="10027,5875" coordsize="1125,2008">
              <v:shape style="position:absolute;left:10027;top:5875;width:1125;height:2008" coordorigin="10027,5875" coordsize="1125,2008" path="m10027,7882l11151,7882,11151,5875,10027,5875,10027,7882xe" filled="true" fillcolor="#ffffff" stroked="false">
                <v:path arrowok="t"/>
                <v:fill type="solid"/>
              </v:shape>
            </v:group>
            <w10:wrap type="none"/>
          </v:group>
        </w:pict>
      </w:r>
    </w:p>
    <w:tbl>
      <w:tblPr>
        <w:tblW w:w="0" w:type="auto"/>
        <w:jc w:val="left"/>
        <w:tblInd w:w="109" w:type="dxa"/>
        <w:tblLayout w:type="fixed"/>
        <w:tblCellMar>
          <w:top w:w="0" w:type="dxa"/>
          <w:left w:w="0" w:type="dxa"/>
          <w:bottom w:w="0" w:type="dxa"/>
          <w:right w:w="0" w:type="dxa"/>
        </w:tblCellMar>
        <w:tblLook w:val="01E0"/>
      </w:tblPr>
      <w:tblGrid>
        <w:gridCol w:w="1702"/>
        <w:gridCol w:w="1277"/>
        <w:gridCol w:w="850"/>
        <w:gridCol w:w="5180"/>
        <w:gridCol w:w="1134"/>
        <w:gridCol w:w="1134"/>
        <w:gridCol w:w="3544"/>
      </w:tblGrid>
      <w:tr>
        <w:trPr>
          <w:trHeight w:val="336" w:hRule="exact"/>
        </w:trPr>
        <w:tc>
          <w:tcPr>
            <w:tcW w:w="1702" w:type="dxa"/>
            <w:vMerge w:val="restart"/>
            <w:tcBorders>
              <w:top w:val="single" w:sz="15" w:space="0" w:color="000000"/>
              <w:left w:val="single" w:sz="4" w:space="0" w:color="000000"/>
              <w:right w:val="single" w:sz="4" w:space="0" w:color="000000"/>
            </w:tcBorders>
            <w:shd w:val="clear" w:color="auto" w:fill="D2D2D2"/>
          </w:tcPr>
          <w:p>
            <w:pPr/>
          </w:p>
        </w:tc>
        <w:tc>
          <w:tcPr>
            <w:tcW w:w="1277" w:type="dxa"/>
            <w:vMerge w:val="restart"/>
            <w:tcBorders>
              <w:top w:val="single" w:sz="15" w:space="0" w:color="000000"/>
              <w:left w:val="single" w:sz="4" w:space="0" w:color="000000"/>
              <w:right w:val="single" w:sz="4" w:space="0" w:color="000000"/>
            </w:tcBorders>
          </w:tcPr>
          <w:p>
            <w:pPr/>
          </w:p>
        </w:tc>
        <w:tc>
          <w:tcPr>
            <w:tcW w:w="850" w:type="dxa"/>
            <w:tcBorders>
              <w:top w:val="single" w:sz="15" w:space="0" w:color="000000"/>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资金占用</w:t>
            </w:r>
          </w:p>
        </w:tc>
        <w:tc>
          <w:tcPr>
            <w:tcW w:w="5180" w:type="dxa"/>
            <w:tcBorders>
              <w:top w:val="single" w:sz="15" w:space="0" w:color="000000"/>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pacing w:val="-4"/>
                <w:sz w:val="18"/>
                <w:szCs w:val="18"/>
              </w:rPr>
              <w:t>竞争。</w:t>
            </w:r>
            <w:r>
              <w:rPr>
                <w:rFonts w:ascii="Times New Roman" w:hAnsi="Times New Roman" w:cs="Times New Roman" w:eastAsia="Times New Roman" w:hint="default"/>
                <w:spacing w:val="-4"/>
                <w:sz w:val="18"/>
                <w:szCs w:val="18"/>
              </w:rPr>
              <w:t>2</w:t>
            </w:r>
            <w:r>
              <w:rPr>
                <w:rFonts w:ascii="宋体" w:hAnsi="宋体" w:cs="宋体" w:eastAsia="宋体" w:hint="default"/>
                <w:spacing w:val="-4"/>
                <w:sz w:val="18"/>
                <w:szCs w:val="18"/>
              </w:rPr>
              <w:t>、本人保证自本承诺函出具日起，</w:t>
            </w:r>
          </w:p>
        </w:tc>
        <w:tc>
          <w:tcPr>
            <w:tcW w:w="1134" w:type="dxa"/>
            <w:vMerge w:val="restart"/>
            <w:tcBorders>
              <w:top w:val="single" w:sz="15" w:space="0" w:color="000000"/>
              <w:left w:val="single" w:sz="4" w:space="0" w:color="000000"/>
              <w:right w:val="single" w:sz="4" w:space="0" w:color="000000"/>
            </w:tcBorders>
          </w:tcPr>
          <w:p>
            <w:pPr/>
          </w:p>
        </w:tc>
        <w:tc>
          <w:tcPr>
            <w:tcW w:w="1134" w:type="dxa"/>
            <w:vMerge w:val="restart"/>
            <w:tcBorders>
              <w:top w:val="single" w:sz="15" w:space="0" w:color="000000"/>
              <w:left w:val="single" w:sz="4" w:space="0" w:color="000000"/>
              <w:right w:val="single" w:sz="4" w:space="0" w:color="000000"/>
            </w:tcBorders>
          </w:tcPr>
          <w:p>
            <w:pPr/>
          </w:p>
        </w:tc>
        <w:tc>
          <w:tcPr>
            <w:tcW w:w="3544" w:type="dxa"/>
            <w:vMerge w:val="restart"/>
            <w:tcBorders>
              <w:top w:val="single" w:sz="15" w:space="0" w:color="000000"/>
              <w:left w:val="single" w:sz="4" w:space="0" w:color="000000"/>
              <w:right w:val="single" w:sz="4" w:space="0" w:color="000000"/>
            </w:tcBorders>
          </w:tcPr>
          <w:p>
            <w:pPr/>
          </w:p>
        </w:tc>
      </w:tr>
      <w:tr>
        <w:trPr>
          <w:trHeight w:val="30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方面的承</w:t>
            </w: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收购、兼并、经营与新开普生产、经营存在有相同或类似业务的</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3"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诺</w:t>
            </w: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公司、企业或其他经营实体，不在中国境内外从事任何与新开普</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1"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业务直接竞争或可能竞争的任何活动，以避免对新开普的生产经</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营构成直接或间接的业务竞争。</w:t>
            </w:r>
            <w:r>
              <w:rPr>
                <w:rFonts w:ascii="Times New Roman" w:hAnsi="Times New Roman" w:cs="Times New Roman" w:eastAsia="Times New Roman" w:hint="default"/>
                <w:sz w:val="18"/>
                <w:szCs w:val="18"/>
              </w:rPr>
              <w:t>3</w:t>
            </w:r>
            <w:r>
              <w:rPr>
                <w:rFonts w:ascii="宋体" w:hAnsi="宋体" w:cs="宋体" w:eastAsia="宋体" w:hint="default"/>
                <w:sz w:val="18"/>
                <w:szCs w:val="18"/>
              </w:rPr>
              <w:t>、本人承诺不会利用新开普的控</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0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股股东和实际控制人地位损害新开普及新开普其他股东的合法权</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益。</w:t>
            </w:r>
            <w:r>
              <w:rPr>
                <w:rFonts w:ascii="Times New Roman" w:hAnsi="Times New Roman" w:cs="Times New Roman" w:eastAsia="Times New Roman" w:hint="default"/>
                <w:sz w:val="18"/>
                <w:szCs w:val="18"/>
              </w:rPr>
              <w:t>4</w:t>
            </w:r>
            <w:r>
              <w:rPr>
                <w:rFonts w:ascii="宋体" w:hAnsi="宋体" w:cs="宋体" w:eastAsia="宋体" w:hint="default"/>
                <w:sz w:val="18"/>
                <w:szCs w:val="18"/>
              </w:rPr>
              <w:t>、本人保证自本承诺函出具日起，若本人控制的公司、企业</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0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或其他经营实体出现与新开普业务有竞争的经营业务情况时，新</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开普可以采取优先收购或委托经营的方式将相关公司、企业或其</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他经营实体的竞争业务集中到新开普经营。</w:t>
            </w:r>
            <w:r>
              <w:rPr>
                <w:rFonts w:ascii="Times New Roman" w:hAnsi="Times New Roman" w:cs="Times New Roman" w:eastAsia="Times New Roman" w:hint="default"/>
                <w:sz w:val="18"/>
                <w:szCs w:val="18"/>
              </w:rPr>
              <w:t>5</w:t>
            </w:r>
            <w:r>
              <w:rPr>
                <w:rFonts w:ascii="宋体" w:hAnsi="宋体" w:cs="宋体" w:eastAsia="宋体" w:hint="default"/>
                <w:sz w:val="18"/>
                <w:szCs w:val="18"/>
              </w:rPr>
              <w:t>、本人保证自本承诺</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0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函出具日起，若本人控制的公司、企业或其他经营实体在出售或</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2"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转让与新开普主营业务相关的资产、业务或权益时，在同等条件</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1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下给予新开普优先购买的权利。</w:t>
            </w:r>
            <w:r>
              <w:rPr>
                <w:rFonts w:ascii="Times New Roman" w:hAnsi="Times New Roman" w:cs="Times New Roman" w:eastAsia="Times New Roman" w:hint="default"/>
                <w:sz w:val="18"/>
                <w:szCs w:val="18"/>
              </w:rPr>
              <w:t>6</w:t>
            </w:r>
            <w:r>
              <w:rPr>
                <w:rFonts w:ascii="宋体" w:hAnsi="宋体" w:cs="宋体" w:eastAsia="宋体" w:hint="default"/>
                <w:sz w:val="18"/>
                <w:szCs w:val="18"/>
              </w:rPr>
              <w:t>、如本人及其控制的公司、企业</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08"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或其他经营实体有任何违反上述承诺的事项发生，本人将承担因</w:t>
            </w:r>
          </w:p>
        </w:tc>
        <w:tc>
          <w:tcPr>
            <w:tcW w:w="113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3544" w:type="dxa"/>
            <w:vMerge/>
            <w:tcBorders>
              <w:left w:val="single" w:sz="4" w:space="0" w:color="000000"/>
              <w:right w:val="single" w:sz="4" w:space="0" w:color="000000"/>
            </w:tcBorders>
          </w:tcPr>
          <w:p>
            <w:pPr/>
          </w:p>
        </w:tc>
      </w:tr>
      <w:tr>
        <w:trPr>
          <w:trHeight w:val="357" w:hRule="exact"/>
        </w:trPr>
        <w:tc>
          <w:tcPr>
            <w:tcW w:w="1702"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bottom w:val="single" w:sz="4" w:space="0" w:color="000000"/>
              <w:right w:val="single" w:sz="4" w:space="0" w:color="000000"/>
            </w:tcBorders>
          </w:tcPr>
          <w:p>
            <w:pPr/>
          </w:p>
        </w:tc>
        <w:tc>
          <w:tcPr>
            <w:tcW w:w="850" w:type="dxa"/>
            <w:tcBorders>
              <w:top w:val="nil" w:sz="6" w:space="0" w:color="auto"/>
              <w:left w:val="single" w:sz="4" w:space="0" w:color="000000"/>
              <w:bottom w:val="single" w:sz="4" w:space="0" w:color="000000"/>
              <w:right w:val="single" w:sz="4" w:space="0" w:color="000000"/>
            </w:tcBorders>
          </w:tcPr>
          <w:p>
            <w:pPr/>
          </w:p>
        </w:tc>
        <w:tc>
          <w:tcPr>
            <w:tcW w:w="518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此给新开普造成的一切损失（含直接损失和间接损失</w:t>
            </w:r>
            <w:r>
              <w:rPr>
                <w:rFonts w:ascii="宋体" w:hAnsi="宋体" w:cs="宋体" w:eastAsia="宋体" w:hint="default"/>
                <w:spacing w:val="-90"/>
                <w:sz w:val="18"/>
                <w:szCs w:val="18"/>
              </w:rPr>
              <w:t>）</w:t>
            </w:r>
            <w:r>
              <w:rPr>
                <w:rFonts w:ascii="宋体" w:hAnsi="宋体" w:cs="宋体" w:eastAsia="宋体" w:hint="default"/>
                <w:sz w:val="18"/>
                <w:szCs w:val="18"/>
              </w:rPr>
              <w:t>。</w:t>
            </w:r>
          </w:p>
        </w:tc>
        <w:tc>
          <w:tcPr>
            <w:tcW w:w="1134" w:type="dxa"/>
            <w:vMerge/>
            <w:tcBorders>
              <w:left w:val="single" w:sz="4" w:space="0" w:color="000000"/>
              <w:bottom w:val="single" w:sz="4" w:space="0" w:color="000000"/>
              <w:right w:val="single" w:sz="4" w:space="0" w:color="000000"/>
            </w:tcBorders>
          </w:tcPr>
          <w:p>
            <w:pPr/>
          </w:p>
        </w:tc>
        <w:tc>
          <w:tcPr>
            <w:tcW w:w="1134" w:type="dxa"/>
            <w:vMerge/>
            <w:tcBorders>
              <w:left w:val="single" w:sz="4" w:space="0" w:color="000000"/>
              <w:bottom w:val="single" w:sz="4" w:space="0" w:color="000000"/>
              <w:right w:val="single" w:sz="4" w:space="0" w:color="000000"/>
            </w:tcBorders>
          </w:tcPr>
          <w:p>
            <w:pPr/>
          </w:p>
        </w:tc>
        <w:tc>
          <w:tcPr>
            <w:tcW w:w="3544" w:type="dxa"/>
            <w:vMerge/>
            <w:tcBorders>
              <w:left w:val="single" w:sz="4" w:space="0" w:color="000000"/>
              <w:bottom w:val="single" w:sz="4" w:space="0" w:color="000000"/>
              <w:right w:val="single" w:sz="4" w:space="0" w:color="000000"/>
            </w:tcBorders>
          </w:tcPr>
          <w:p>
            <w:pPr/>
          </w:p>
        </w:tc>
      </w:tr>
      <w:tr>
        <w:trPr>
          <w:trHeight w:val="362" w:hRule="exact"/>
        </w:trPr>
        <w:tc>
          <w:tcPr>
            <w:tcW w:w="1702" w:type="dxa"/>
            <w:vMerge/>
            <w:tcBorders>
              <w:left w:val="single" w:sz="4" w:space="0" w:color="000000"/>
              <w:right w:val="single" w:sz="4" w:space="0" w:color="000000"/>
            </w:tcBorders>
            <w:shd w:val="clear" w:color="auto" w:fill="D2D2D2"/>
          </w:tcPr>
          <w:p>
            <w:pPr/>
          </w:p>
        </w:tc>
        <w:tc>
          <w:tcPr>
            <w:tcW w:w="1277" w:type="dxa"/>
            <w:tcBorders>
              <w:top w:val="single" w:sz="4" w:space="0" w:color="000000"/>
              <w:left w:val="single" w:sz="4" w:space="0" w:color="000000"/>
              <w:bottom w:val="nil" w:sz="6" w:space="0" w:color="auto"/>
              <w:right w:val="single" w:sz="4" w:space="0" w:color="000000"/>
            </w:tcBorders>
          </w:tcPr>
          <w:p>
            <w:pPr/>
          </w:p>
        </w:tc>
        <w:tc>
          <w:tcPr>
            <w:tcW w:w="850" w:type="dxa"/>
            <w:tcBorders>
              <w:top w:val="single" w:sz="4" w:space="0" w:color="000000"/>
              <w:left w:val="single" w:sz="4" w:space="0" w:color="000000"/>
              <w:bottom w:val="nil" w:sz="6" w:space="0" w:color="auto"/>
              <w:right w:val="single" w:sz="4" w:space="0" w:color="000000"/>
            </w:tcBorders>
          </w:tcPr>
          <w:p>
            <w:pPr/>
          </w:p>
        </w:tc>
        <w:tc>
          <w:tcPr>
            <w:tcW w:w="518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2002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4 </w:t>
            </w:r>
            <w:r>
              <w:rPr>
                <w:rFonts w:ascii="宋体" w:hAnsi="宋体" w:cs="宋体" w:eastAsia="宋体" w:hint="default"/>
                <w:spacing w:val="-3"/>
                <w:sz w:val="18"/>
                <w:szCs w:val="18"/>
              </w:rPr>
              <w:t>月，郑州新开普电子技术有限公司注册资本由</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51 </w:t>
            </w:r>
            <w:r>
              <w:rPr>
                <w:rFonts w:ascii="宋体" w:hAnsi="宋体" w:cs="宋体" w:eastAsia="宋体" w:hint="default"/>
                <w:sz w:val="18"/>
                <w:szCs w:val="18"/>
              </w:rPr>
              <w:t>万元增</w:t>
            </w:r>
          </w:p>
        </w:tc>
        <w:tc>
          <w:tcPr>
            <w:tcW w:w="1134" w:type="dxa"/>
            <w:tcBorders>
              <w:top w:val="single" w:sz="4" w:space="0" w:color="000000"/>
              <w:left w:val="single" w:sz="4" w:space="0" w:color="000000"/>
              <w:bottom w:val="nil" w:sz="6" w:space="0" w:color="auto"/>
              <w:right w:val="single" w:sz="4" w:space="0" w:color="000000"/>
            </w:tcBorders>
          </w:tcPr>
          <w:p>
            <w:pPr/>
          </w:p>
        </w:tc>
        <w:tc>
          <w:tcPr>
            <w:tcW w:w="1134" w:type="dxa"/>
            <w:tcBorders>
              <w:top w:val="single" w:sz="4" w:space="0" w:color="000000"/>
              <w:left w:val="single" w:sz="4" w:space="0" w:color="000000"/>
              <w:bottom w:val="nil" w:sz="6" w:space="0" w:color="auto"/>
              <w:right w:val="single" w:sz="4" w:space="0" w:color="000000"/>
            </w:tcBorders>
          </w:tcPr>
          <w:p>
            <w:pPr/>
          </w:p>
        </w:tc>
        <w:tc>
          <w:tcPr>
            <w:tcW w:w="3544" w:type="dxa"/>
            <w:tcBorders>
              <w:top w:val="single" w:sz="4" w:space="0" w:color="000000"/>
              <w:left w:val="single" w:sz="4" w:space="0" w:color="000000"/>
              <w:bottom w:val="nil" w:sz="6" w:space="0" w:color="auto"/>
              <w:right w:val="single" w:sz="4" w:space="0" w:color="000000"/>
            </w:tcBorders>
          </w:tcPr>
          <w:p>
            <w:pPr/>
          </w:p>
        </w:tc>
      </w:tr>
      <w:tr>
        <w:trPr>
          <w:trHeight w:val="311" w:hRule="exact"/>
        </w:trPr>
        <w:tc>
          <w:tcPr>
            <w:tcW w:w="1702" w:type="dxa"/>
            <w:vMerge/>
            <w:tcBorders>
              <w:left w:val="single" w:sz="4" w:space="0" w:color="000000"/>
              <w:right w:val="single" w:sz="4" w:space="0" w:color="000000"/>
            </w:tcBorders>
            <w:shd w:val="clear" w:color="auto" w:fill="D2D2D2"/>
          </w:tcPr>
          <w:p>
            <w:pPr/>
          </w:p>
        </w:tc>
        <w:tc>
          <w:tcPr>
            <w:tcW w:w="1277"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加至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万元，但该次增资并未及时到位，而是于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2002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1134"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c>
          <w:tcPr>
            <w:tcW w:w="3544" w:type="dxa"/>
            <w:tcBorders>
              <w:top w:val="nil" w:sz="6" w:space="0" w:color="auto"/>
              <w:left w:val="single" w:sz="4" w:space="0" w:color="000000"/>
              <w:bottom w:val="nil" w:sz="6" w:space="0" w:color="auto"/>
              <w:right w:val="single" w:sz="4" w:space="0" w:color="000000"/>
            </w:tcBorders>
          </w:tcPr>
          <w:p>
            <w:pPr/>
          </w:p>
        </w:tc>
      </w:tr>
      <w:tr>
        <w:trPr>
          <w:trHeight w:val="3432" w:hRule="exact"/>
        </w:trPr>
        <w:tc>
          <w:tcPr>
            <w:tcW w:w="1702" w:type="dxa"/>
            <w:vMerge/>
            <w:tcBorders>
              <w:left w:val="single" w:sz="4" w:space="0" w:color="000000"/>
              <w:right w:val="single" w:sz="4" w:space="0" w:color="000000"/>
            </w:tcBorders>
            <w:shd w:val="clear" w:color="auto" w:fill="D2D2D2"/>
          </w:tcPr>
          <w:p>
            <w:pP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316" w:lineRule="auto" w:before="142"/>
              <w:ind w:left="23" w:right="-17"/>
              <w:jc w:val="left"/>
              <w:rPr>
                <w:rFonts w:ascii="宋体" w:hAnsi="宋体" w:cs="宋体" w:eastAsia="宋体" w:hint="default"/>
                <w:sz w:val="18"/>
                <w:szCs w:val="18"/>
              </w:rPr>
            </w:pPr>
            <w:r>
              <w:rPr>
                <w:rFonts w:ascii="宋体" w:hAnsi="宋体" w:cs="宋体" w:eastAsia="宋体" w:hint="default"/>
                <w:sz w:val="18"/>
                <w:szCs w:val="18"/>
              </w:rPr>
              <w:t>杨维国、尚卫 </w:t>
            </w:r>
            <w:r>
              <w:rPr>
                <w:rFonts w:ascii="宋体" w:hAnsi="宋体" w:cs="宋体" w:eastAsia="宋体" w:hint="default"/>
                <w:spacing w:val="-6"/>
                <w:sz w:val="18"/>
                <w:szCs w:val="18"/>
              </w:rPr>
              <w:t>国、赵利宾、华</w:t>
            </w:r>
            <w:r>
              <w:rPr>
                <w:rFonts w:ascii="宋体" w:hAnsi="宋体" w:cs="宋体" w:eastAsia="宋体" w:hint="default"/>
                <w:sz w:val="18"/>
                <w:szCs w:val="18"/>
              </w:rPr>
              <w:t> 梦阳、郎金文、 杜建平、傅常 </w:t>
            </w:r>
            <w:r>
              <w:rPr>
                <w:rFonts w:ascii="宋体" w:hAnsi="宋体" w:cs="宋体" w:eastAsia="宋体" w:hint="default"/>
                <w:spacing w:val="-6"/>
                <w:sz w:val="18"/>
                <w:szCs w:val="18"/>
              </w:rPr>
              <w:t>顺、葛晓阁和刘</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恩臣等</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w:t>
            </w:r>
          </w:p>
          <w:p>
            <w:pPr>
              <w:pStyle w:val="TableParagraph"/>
              <w:spacing w:line="312" w:lineRule="auto"/>
              <w:ind w:left="23" w:right="119"/>
              <w:jc w:val="both"/>
              <w:rPr>
                <w:rFonts w:ascii="宋体" w:hAnsi="宋体" w:cs="宋体" w:eastAsia="宋体" w:hint="default"/>
                <w:sz w:val="18"/>
                <w:szCs w:val="18"/>
              </w:rPr>
            </w:pPr>
            <w:r>
              <w:rPr>
                <w:rFonts w:ascii="Times New Roman" w:hAnsi="Times New Roman" w:cs="Times New Roman" w:eastAsia="Times New Roman" w:hint="default"/>
                <w:sz w:val="18"/>
                <w:szCs w:val="18"/>
              </w:rPr>
              <w:t>2002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月郑 州新开普电子 技术有限公司 增资股东。</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26"/>
                <w:szCs w:val="26"/>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其他承诺</w:t>
            </w: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316" w:lineRule="auto" w:before="5"/>
              <w:ind w:left="22" w:right="167"/>
              <w:jc w:val="left"/>
              <w:rPr>
                <w:rFonts w:ascii="Times New Roman" w:hAnsi="Times New Roman" w:cs="Times New Roman" w:eastAsia="Times New Roman" w:hint="default"/>
                <w:sz w:val="18"/>
                <w:szCs w:val="18"/>
              </w:rPr>
            </w:pPr>
            <w:r>
              <w:rPr>
                <w:rFonts w:ascii="宋体" w:hAnsi="宋体" w:cs="宋体" w:eastAsia="宋体" w:hint="default"/>
                <w:sz w:val="18"/>
                <w:szCs w:val="18"/>
              </w:rPr>
              <w:t>前陆续到位。为此，杨维国、尚卫国、赵利宾、华梦阳、 杜建平、傅常顺、葛晓阁和刘恩臣等</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名增资股东于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8"/>
                <w:sz w:val="18"/>
                <w:szCs w:val="18"/>
              </w:rPr>
              <w:t>11</w:t>
            </w:r>
            <w:r>
              <w:rPr>
                <w:rFonts w:ascii="Times New Roman" w:hAnsi="Times New Roman" w:cs="Times New Roman" w:eastAsia="Times New Roman" w:hint="default"/>
                <w:sz w:val="18"/>
                <w:szCs w:val="18"/>
              </w:rPr>
            </w:r>
          </w:p>
          <w:p>
            <w:pPr>
              <w:pStyle w:val="TableParagraph"/>
              <w:spacing w:line="314" w:lineRule="auto"/>
              <w:ind w:left="22" w:right="23"/>
              <w:jc w:val="both"/>
              <w:rPr>
                <w:rFonts w:ascii="Times New Roman" w:hAnsi="Times New Roman" w:cs="Times New Roman" w:eastAsia="Times New Roman"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日共同作出书面承诺：</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月增资时 增资股东用于出资的资金和实物资产均系增资股东自筹资金或自 有实物资产，前述资金和实物资产来源真实合法，不存在违法违 规的情形，不存在被有关部门收缴、追索等法律风险；如因前述 资金和实物资产来源而引起的一切法律责任由杨维国、尚卫国、 </w:t>
            </w:r>
            <w:r>
              <w:rPr>
                <w:rFonts w:ascii="宋体" w:hAnsi="宋体" w:cs="宋体" w:eastAsia="宋体" w:hint="default"/>
                <w:spacing w:val="-2"/>
                <w:sz w:val="18"/>
                <w:szCs w:val="18"/>
              </w:rPr>
              <w:t>赵利宾、华梦阳、郎金文、杜建平、傅常顺、葛晓阁和刘恩臣等</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9</w:t>
            </w:r>
          </w:p>
          <w:p>
            <w:pPr>
              <w:pStyle w:val="TableParagraph"/>
              <w:spacing w:line="309" w:lineRule="auto" w:before="1"/>
              <w:ind w:left="22" w:right="22"/>
              <w:jc w:val="left"/>
              <w:rPr>
                <w:rFonts w:ascii="宋体" w:hAnsi="宋体" w:cs="宋体" w:eastAsia="宋体" w:hint="default"/>
                <w:sz w:val="18"/>
                <w:szCs w:val="18"/>
              </w:rPr>
            </w:pPr>
            <w:r>
              <w:rPr>
                <w:rFonts w:ascii="宋体" w:hAnsi="宋体" w:cs="宋体" w:eastAsia="宋体" w:hint="default"/>
                <w:spacing w:val="-6"/>
                <w:sz w:val="18"/>
                <w:szCs w:val="18"/>
              </w:rPr>
              <w:t>人承担。（</w:t>
            </w:r>
            <w:r>
              <w:rPr>
                <w:rFonts w:ascii="Times New Roman" w:hAnsi="Times New Roman" w:cs="Times New Roman" w:eastAsia="Times New Roman" w:hint="default"/>
                <w:spacing w:val="-6"/>
                <w:sz w:val="18"/>
                <w:szCs w:val="18"/>
              </w:rPr>
              <w:t>2</w:t>
            </w:r>
            <w:r>
              <w:rPr>
                <w:rFonts w:ascii="宋体" w:hAnsi="宋体" w:cs="宋体" w:eastAsia="宋体" w:hint="default"/>
                <w:spacing w:val="-6"/>
                <w:sz w:val="18"/>
                <w:szCs w:val="18"/>
              </w:rPr>
              <w:t>）各增资股东对前述有限公司</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2002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月增资时其他 增资股东的出资方式和出资金额均无任何争议，也不存在任何纠 </w:t>
            </w:r>
            <w:r>
              <w:rPr>
                <w:rFonts w:ascii="宋体" w:hAnsi="宋体" w:cs="宋体" w:eastAsia="宋体" w:hint="default"/>
                <w:spacing w:val="-6"/>
                <w:sz w:val="18"/>
                <w:szCs w:val="18"/>
              </w:rPr>
              <w:t>纷或潜在纠纷；（</w:t>
            </w:r>
            <w:r>
              <w:rPr>
                <w:rFonts w:ascii="Times New Roman" w:hAnsi="Times New Roman" w:cs="Times New Roman" w:eastAsia="Times New Roman" w:hint="default"/>
                <w:spacing w:val="-6"/>
                <w:sz w:val="18"/>
                <w:szCs w:val="18"/>
              </w:rPr>
              <w:t>3</w:t>
            </w:r>
            <w:r>
              <w:rPr>
                <w:rFonts w:ascii="宋体" w:hAnsi="宋体" w:cs="宋体" w:eastAsia="宋体" w:hint="default"/>
                <w:spacing w:val="-6"/>
                <w:sz w:val="18"/>
                <w:szCs w:val="18"/>
              </w:rPr>
              <w:t>）若因前述有限公司</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2002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月增资时股东出</w:t>
            </w:r>
          </w:p>
        </w:tc>
        <w:tc>
          <w:tcPr>
            <w:tcW w:w="113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18"/>
                <w:szCs w:val="18"/>
              </w:rPr>
            </w:pPr>
          </w:p>
          <w:p>
            <w:pPr>
              <w:pStyle w:val="TableParagraph"/>
              <w:spacing w:line="240" w:lineRule="auto"/>
              <w:ind w:left="-135" w:right="0"/>
              <w:jc w:val="left"/>
              <w:rPr>
                <w:rFonts w:ascii="宋体" w:hAnsi="宋体" w:cs="宋体" w:eastAsia="宋体" w:hint="default"/>
                <w:sz w:val="18"/>
                <w:szCs w:val="18"/>
              </w:rPr>
            </w:pPr>
            <w:r>
              <w:rPr>
                <w:rFonts w:ascii="宋体" w:hAnsi="宋体" w:cs="宋体" w:eastAsia="宋体" w:hint="default"/>
                <w:sz w:val="18"/>
                <w:szCs w:val="18"/>
              </w:rPr>
              <w:t>，</w:t>
            </w: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4"/>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3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7"/>
                <w:szCs w:val="17"/>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302" w:lineRule="auto" w:before="63"/>
              <w:ind w:left="22" w:right="95"/>
              <w:jc w:val="left"/>
              <w:rPr>
                <w:rFonts w:ascii="宋体" w:hAnsi="宋体" w:cs="宋体" w:eastAsia="宋体" w:hint="default"/>
                <w:sz w:val="18"/>
                <w:szCs w:val="18"/>
              </w:rPr>
            </w:pP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r>
              <w:rPr>
                <w:rFonts w:ascii="Times New Roman" w:hAnsi="Times New Roman" w:cs="Times New Roman" w:eastAsia="Times New Roman" w:hint="default"/>
                <w:sz w:val="18"/>
                <w:szCs w:val="18"/>
              </w:rPr>
              <w:t>-</w:t>
            </w:r>
            <w:r>
              <w:rPr>
                <w:rFonts w:ascii="宋体" w:hAnsi="宋体" w:cs="宋体" w:eastAsia="宋体" w:hint="default"/>
                <w:sz w:val="18"/>
                <w:szCs w:val="18"/>
              </w:rPr>
              <w:t>长期有 效。</w:t>
            </w:r>
          </w:p>
        </w:tc>
        <w:tc>
          <w:tcPr>
            <w:tcW w:w="354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49"/>
              <w:ind w:left="22" w:right="89"/>
              <w:jc w:val="left"/>
              <w:rPr>
                <w:rFonts w:ascii="宋体" w:hAnsi="宋体" w:cs="宋体" w:eastAsia="宋体" w:hint="default"/>
                <w:sz w:val="18"/>
                <w:szCs w:val="18"/>
              </w:rPr>
            </w:pPr>
            <w:r>
              <w:rPr>
                <w:rFonts w:ascii="宋体" w:hAnsi="宋体" w:cs="宋体" w:eastAsia="宋体" w:hint="default"/>
                <w:sz w:val="18"/>
                <w:szCs w:val="18"/>
              </w:rPr>
              <w:t>截至报告期末，上述承诺人严格信守承诺， 未发生违反承诺的情况。</w:t>
            </w:r>
          </w:p>
        </w:tc>
      </w:tr>
      <w:tr>
        <w:trPr>
          <w:trHeight w:val="307" w:hRule="exact"/>
        </w:trPr>
        <w:tc>
          <w:tcPr>
            <w:tcW w:w="1702" w:type="dxa"/>
            <w:vMerge/>
            <w:tcBorders>
              <w:left w:val="single" w:sz="4" w:space="0" w:color="000000"/>
              <w:right w:val="single" w:sz="4" w:space="0" w:color="000000"/>
            </w:tcBorders>
            <w:shd w:val="clear" w:color="auto" w:fill="D2D2D2"/>
          </w:tcPr>
          <w:p>
            <w:pPr/>
          </w:p>
        </w:tc>
        <w:tc>
          <w:tcPr>
            <w:tcW w:w="1277"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518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资没有及时全额到位的问题，致使郑州新开普电子股份有限公司</w:t>
            </w:r>
          </w:p>
        </w:tc>
        <w:tc>
          <w:tcPr>
            <w:tcW w:w="1134"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c>
          <w:tcPr>
            <w:tcW w:w="3544" w:type="dxa"/>
            <w:tcBorders>
              <w:top w:val="nil" w:sz="6" w:space="0" w:color="auto"/>
              <w:left w:val="single" w:sz="4" w:space="0" w:color="000000"/>
              <w:bottom w:val="nil" w:sz="6" w:space="0" w:color="auto"/>
              <w:right w:val="single" w:sz="4" w:space="0" w:color="000000"/>
            </w:tcBorders>
          </w:tcPr>
          <w:p>
            <w:pPr/>
          </w:p>
        </w:tc>
      </w:tr>
      <w:tr>
        <w:trPr>
          <w:trHeight w:val="318" w:hRule="exact"/>
        </w:trPr>
        <w:tc>
          <w:tcPr>
            <w:tcW w:w="1702" w:type="dxa"/>
            <w:vMerge/>
            <w:tcBorders>
              <w:left w:val="single" w:sz="4" w:space="0" w:color="000000"/>
              <w:bottom w:val="single" w:sz="4" w:space="0" w:color="000000"/>
              <w:right w:val="single" w:sz="4" w:space="0" w:color="000000"/>
            </w:tcBorders>
            <w:shd w:val="clear" w:color="auto" w:fill="D2D2D2"/>
          </w:tcPr>
          <w:p>
            <w:pPr/>
          </w:p>
        </w:tc>
        <w:tc>
          <w:tcPr>
            <w:tcW w:w="1277" w:type="dxa"/>
            <w:tcBorders>
              <w:top w:val="nil" w:sz="6" w:space="0" w:color="auto"/>
              <w:left w:val="single" w:sz="4" w:space="0" w:color="000000"/>
              <w:bottom w:val="single" w:sz="4" w:space="0" w:color="000000"/>
              <w:right w:val="single" w:sz="4" w:space="0" w:color="000000"/>
            </w:tcBorders>
          </w:tcPr>
          <w:p>
            <w:pPr/>
          </w:p>
        </w:tc>
        <w:tc>
          <w:tcPr>
            <w:tcW w:w="850" w:type="dxa"/>
            <w:tcBorders>
              <w:top w:val="nil" w:sz="6" w:space="0" w:color="auto"/>
              <w:left w:val="single" w:sz="4" w:space="0" w:color="000000"/>
              <w:bottom w:val="single" w:sz="4" w:space="0" w:color="000000"/>
              <w:right w:val="single" w:sz="4" w:space="0" w:color="000000"/>
            </w:tcBorders>
          </w:tcPr>
          <w:p>
            <w:pPr/>
          </w:p>
        </w:tc>
        <w:tc>
          <w:tcPr>
            <w:tcW w:w="518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遭受任何处罚，杨维国、尚卫国、赵利宾、华梦阳、郎金文、杜</w:t>
            </w:r>
          </w:p>
        </w:tc>
        <w:tc>
          <w:tcPr>
            <w:tcW w:w="1134" w:type="dxa"/>
            <w:tcBorders>
              <w:top w:val="nil" w:sz="6" w:space="0" w:color="auto"/>
              <w:left w:val="single" w:sz="4" w:space="0" w:color="000000"/>
              <w:bottom w:val="single" w:sz="4" w:space="0" w:color="000000"/>
              <w:right w:val="single" w:sz="4" w:space="0" w:color="000000"/>
            </w:tcBorders>
          </w:tcPr>
          <w:p>
            <w:pPr/>
          </w:p>
        </w:tc>
        <w:tc>
          <w:tcPr>
            <w:tcW w:w="1134" w:type="dxa"/>
            <w:tcBorders>
              <w:top w:val="nil" w:sz="6" w:space="0" w:color="auto"/>
              <w:left w:val="single" w:sz="4" w:space="0" w:color="000000"/>
              <w:bottom w:val="single" w:sz="4" w:space="0" w:color="000000"/>
              <w:right w:val="single" w:sz="4" w:space="0" w:color="000000"/>
            </w:tcBorders>
          </w:tcPr>
          <w:p>
            <w:pPr/>
          </w:p>
        </w:tc>
        <w:tc>
          <w:tcPr>
            <w:tcW w:w="3544" w:type="dxa"/>
            <w:tcBorders>
              <w:top w:val="nil" w:sz="6" w:space="0" w:color="auto"/>
              <w:left w:val="single" w:sz="4" w:space="0" w:color="000000"/>
              <w:bottom w:val="single" w:sz="4" w:space="0" w:color="000000"/>
              <w:right w:val="single" w:sz="4" w:space="0" w:color="000000"/>
            </w:tcBorders>
          </w:tcPr>
          <w:p>
            <w:pPr/>
          </w:p>
        </w:tc>
      </w:tr>
    </w:tbl>
    <w:p>
      <w:pPr>
        <w:spacing w:after="0"/>
        <w:sectPr>
          <w:pgSz w:w="16840" w:h="11910" w:orient="landscape"/>
          <w:pgMar w:header="867" w:footer="979" w:top="1060" w:bottom="1160" w:left="900" w:right="880"/>
        </w:sectPr>
      </w:pPr>
    </w:p>
    <w:p>
      <w:pPr>
        <w:spacing w:line="240" w:lineRule="auto" w:before="4"/>
        <w:rPr>
          <w:rFonts w:ascii="Times New Roman" w:hAnsi="Times New Roman" w:cs="Times New Roman" w:eastAsia="Times New Roman" w:hint="default"/>
          <w:sz w:val="3"/>
          <w:szCs w:val="3"/>
        </w:rPr>
      </w:pPr>
    </w:p>
    <w:tbl>
      <w:tblPr>
        <w:tblW w:w="0" w:type="auto"/>
        <w:jc w:val="left"/>
        <w:tblInd w:w="109" w:type="dxa"/>
        <w:tblLayout w:type="fixed"/>
        <w:tblCellMar>
          <w:top w:w="0" w:type="dxa"/>
          <w:left w:w="0" w:type="dxa"/>
          <w:bottom w:w="0" w:type="dxa"/>
          <w:right w:w="0" w:type="dxa"/>
        </w:tblCellMar>
        <w:tblLook w:val="01E0"/>
      </w:tblPr>
      <w:tblGrid>
        <w:gridCol w:w="1702"/>
        <w:gridCol w:w="1277"/>
        <w:gridCol w:w="850"/>
        <w:gridCol w:w="5180"/>
        <w:gridCol w:w="1134"/>
        <w:gridCol w:w="1134"/>
        <w:gridCol w:w="3546"/>
      </w:tblGrid>
      <w:tr>
        <w:trPr>
          <w:trHeight w:val="689" w:hRule="exact"/>
        </w:trPr>
        <w:tc>
          <w:tcPr>
            <w:tcW w:w="1702" w:type="dxa"/>
            <w:vMerge w:val="restart"/>
            <w:tcBorders>
              <w:top w:val="single" w:sz="15" w:space="0" w:color="000000"/>
              <w:left w:val="single" w:sz="4" w:space="0" w:color="000000"/>
              <w:right w:val="single" w:sz="4" w:space="0" w:color="000000"/>
            </w:tcBorders>
            <w:shd w:val="clear" w:color="auto" w:fill="D2D2D2"/>
          </w:tcPr>
          <w:p>
            <w:pPr/>
          </w:p>
        </w:tc>
        <w:tc>
          <w:tcPr>
            <w:tcW w:w="1277" w:type="dxa"/>
            <w:tcBorders>
              <w:top w:val="single" w:sz="15" w:space="0" w:color="000000"/>
              <w:left w:val="single" w:sz="4" w:space="0" w:color="000000"/>
              <w:bottom w:val="single" w:sz="4" w:space="0" w:color="000000"/>
              <w:right w:val="single" w:sz="4" w:space="0" w:color="000000"/>
            </w:tcBorders>
          </w:tcPr>
          <w:p>
            <w:pPr/>
          </w:p>
        </w:tc>
        <w:tc>
          <w:tcPr>
            <w:tcW w:w="850" w:type="dxa"/>
            <w:tcBorders>
              <w:top w:val="single" w:sz="15" w:space="0" w:color="000000"/>
              <w:left w:val="single" w:sz="4" w:space="0" w:color="000000"/>
              <w:bottom w:val="single" w:sz="4" w:space="0" w:color="000000"/>
              <w:right w:val="single" w:sz="4" w:space="0" w:color="000000"/>
            </w:tcBorders>
          </w:tcPr>
          <w:p>
            <w:pPr/>
          </w:p>
        </w:tc>
        <w:tc>
          <w:tcPr>
            <w:tcW w:w="5180" w:type="dxa"/>
            <w:tcBorders>
              <w:top w:val="single" w:sz="15" w:space="0" w:color="000000"/>
              <w:left w:val="single" w:sz="4" w:space="0" w:color="000000"/>
              <w:bottom w:val="single" w:sz="4" w:space="0" w:color="000000"/>
              <w:right w:val="single" w:sz="4" w:space="0" w:color="000000"/>
            </w:tcBorders>
          </w:tcPr>
          <w:p>
            <w:pPr>
              <w:pStyle w:val="TableParagraph"/>
              <w:spacing w:line="302" w:lineRule="auto" w:before="10"/>
              <w:ind w:left="22" w:right="104"/>
              <w:jc w:val="left"/>
              <w:rPr>
                <w:rFonts w:ascii="Times New Roman" w:hAnsi="Times New Roman" w:cs="Times New Roman" w:eastAsia="Times New Roman" w:hint="default"/>
                <w:sz w:val="18"/>
                <w:szCs w:val="18"/>
              </w:rPr>
            </w:pPr>
            <w:r>
              <w:rPr>
                <w:rFonts w:ascii="宋体" w:hAnsi="宋体" w:cs="宋体" w:eastAsia="宋体" w:hint="default"/>
                <w:sz w:val="18"/>
                <w:szCs w:val="18"/>
              </w:rPr>
              <w:t>建平、傅常顺、葛晓阁和刘恩臣等</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人将无条件全额承担因此而 产生的任何费用支出、经济赔偿或其他损失。</w:t>
            </w:r>
            <w:r>
              <w:rPr>
                <w:rFonts w:ascii="Times New Roman" w:hAnsi="Times New Roman" w:cs="Times New Roman" w:eastAsia="Times New Roman" w:hint="default"/>
                <w:sz w:val="18"/>
                <w:szCs w:val="18"/>
              </w:rPr>
              <w:t>"</w:t>
            </w:r>
          </w:p>
        </w:tc>
        <w:tc>
          <w:tcPr>
            <w:tcW w:w="1134" w:type="dxa"/>
            <w:tcBorders>
              <w:top w:val="single" w:sz="15" w:space="0" w:color="000000"/>
              <w:left w:val="single" w:sz="4" w:space="0" w:color="000000"/>
              <w:bottom w:val="single" w:sz="4" w:space="0" w:color="000000"/>
              <w:right w:val="single" w:sz="4" w:space="0" w:color="000000"/>
            </w:tcBorders>
          </w:tcPr>
          <w:p>
            <w:pPr/>
          </w:p>
        </w:tc>
        <w:tc>
          <w:tcPr>
            <w:tcW w:w="1134" w:type="dxa"/>
            <w:tcBorders>
              <w:top w:val="single" w:sz="15" w:space="0" w:color="000000"/>
              <w:left w:val="single" w:sz="4" w:space="0" w:color="000000"/>
              <w:bottom w:val="single" w:sz="4" w:space="0" w:color="000000"/>
              <w:right w:val="single" w:sz="4" w:space="0" w:color="000000"/>
            </w:tcBorders>
          </w:tcPr>
          <w:p>
            <w:pPr/>
          </w:p>
        </w:tc>
        <w:tc>
          <w:tcPr>
            <w:tcW w:w="3546" w:type="dxa"/>
            <w:tcBorders>
              <w:top w:val="single" w:sz="15" w:space="0" w:color="000000"/>
              <w:left w:val="single" w:sz="4" w:space="0" w:color="000000"/>
              <w:bottom w:val="single" w:sz="4" w:space="0" w:color="000000"/>
              <w:right w:val="single" w:sz="4" w:space="0" w:color="000000"/>
            </w:tcBorders>
          </w:tcPr>
          <w:p>
            <w:pPr/>
          </w:p>
        </w:tc>
      </w:tr>
      <w:tr>
        <w:trPr>
          <w:trHeight w:val="2274" w:hRule="exact"/>
        </w:trPr>
        <w:tc>
          <w:tcPr>
            <w:tcW w:w="1702" w:type="dxa"/>
            <w:vMerge/>
            <w:tcBorders>
              <w:left w:val="single" w:sz="4" w:space="0" w:color="000000"/>
              <w:right w:val="single" w:sz="4" w:space="0" w:color="000000"/>
            </w:tcBorders>
            <w:shd w:val="clear" w:color="auto" w:fill="D2D2D2"/>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316" w:lineRule="auto"/>
              <w:ind w:left="23" w:right="161"/>
              <w:jc w:val="both"/>
              <w:rPr>
                <w:rFonts w:ascii="宋体" w:hAnsi="宋体" w:cs="宋体" w:eastAsia="宋体" w:hint="default"/>
                <w:sz w:val="18"/>
                <w:szCs w:val="18"/>
              </w:rPr>
            </w:pPr>
            <w:r>
              <w:rPr>
                <w:rFonts w:ascii="宋体" w:hAnsi="宋体" w:cs="宋体" w:eastAsia="宋体" w:hint="default"/>
                <w:sz w:val="18"/>
                <w:szCs w:val="18"/>
              </w:rPr>
              <w:t>公司控股股东 暨实际控制人 杨维国</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22" w:right="0"/>
              <w:jc w:val="left"/>
              <w:rPr>
                <w:rFonts w:ascii="宋体" w:hAnsi="宋体" w:cs="宋体" w:eastAsia="宋体" w:hint="default"/>
                <w:sz w:val="18"/>
                <w:szCs w:val="18"/>
              </w:rPr>
            </w:pPr>
            <w:r>
              <w:rPr>
                <w:rFonts w:ascii="宋体" w:hAnsi="宋体" w:cs="宋体" w:eastAsia="宋体" w:hint="default"/>
                <w:sz w:val="18"/>
                <w:szCs w:val="18"/>
              </w:rPr>
              <w:t>其他承诺</w:t>
            </w:r>
          </w:p>
        </w:tc>
        <w:tc>
          <w:tcPr>
            <w:tcW w:w="518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05"/>
              <w:jc w:val="both"/>
              <w:rPr>
                <w:rFonts w:ascii="宋体" w:hAnsi="宋体" w:cs="宋体" w:eastAsia="宋体" w:hint="default"/>
                <w:sz w:val="18"/>
                <w:szCs w:val="18"/>
              </w:rPr>
            </w:pPr>
            <w:r>
              <w:rPr>
                <w:rFonts w:ascii="宋体" w:hAnsi="宋体" w:cs="宋体" w:eastAsia="宋体" w:hint="default"/>
                <w:sz w:val="18"/>
                <w:szCs w:val="18"/>
              </w:rPr>
              <w:t>若根据有权部门的要求或决定，郑州新开普电子股份有限公司及 其控股子公司需要为员工补缴社会保险金或住房公积金，或因未 足额缴纳社会保险金或住房公积金需承担任何罚款或损失，本人 将足额补偿郑州新开普电子股份有限公司及其控股子公司因此发 生的支出或所受损失，且在承担后不向郑州新开普电子股份有限 公司或其控股子公司追偿，确保郑州新开普电子股份有限公司及 其控股子公司不会因此遭受任何损失。</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p>
          <w:p>
            <w:pPr>
              <w:pStyle w:val="TableParagraph"/>
              <w:spacing w:line="240" w:lineRule="auto" w:before="63"/>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34" w:type="dxa"/>
            <w:tcBorders>
              <w:top w:val="single" w:sz="4" w:space="0" w:color="000000"/>
              <w:left w:val="single" w:sz="4" w:space="0" w:color="000000"/>
              <w:bottom w:val="single" w:sz="4" w:space="0" w:color="000000"/>
              <w:right w:val="single" w:sz="13" w:space="0" w:color="FFFFFF"/>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21</w:t>
            </w:r>
          </w:p>
          <w:p>
            <w:pPr>
              <w:pStyle w:val="TableParagraph"/>
              <w:spacing w:line="240" w:lineRule="auto" w:before="63"/>
              <w:ind w:left="22" w:right="-50"/>
              <w:jc w:val="left"/>
              <w:rPr>
                <w:rFonts w:ascii="宋体" w:hAnsi="宋体" w:cs="宋体" w:eastAsia="宋体" w:hint="default"/>
                <w:sz w:val="18"/>
                <w:szCs w:val="18"/>
              </w:rPr>
            </w:pPr>
            <w:r>
              <w:rPr>
                <w:rFonts w:ascii="宋体" w:hAnsi="宋体" w:cs="宋体" w:eastAsia="宋体" w:hint="default"/>
                <w:sz w:val="18"/>
                <w:szCs w:val="18"/>
              </w:rPr>
              <w:t>日</w:t>
            </w:r>
            <w:r>
              <w:rPr>
                <w:rFonts w:ascii="Times New Roman" w:hAnsi="Times New Roman" w:cs="Times New Roman" w:eastAsia="Times New Roman" w:hint="default"/>
                <w:sz w:val="18"/>
                <w:szCs w:val="18"/>
              </w:rPr>
              <w:t>-</w:t>
            </w:r>
            <w:r>
              <w:rPr>
                <w:rFonts w:ascii="宋体" w:hAnsi="宋体" w:cs="宋体" w:eastAsia="宋体" w:hint="default"/>
                <w:sz w:val="18"/>
                <w:szCs w:val="18"/>
              </w:rPr>
              <w:t>长期有效。</w:t>
            </w:r>
          </w:p>
        </w:tc>
        <w:tc>
          <w:tcPr>
            <w:tcW w:w="3546" w:type="dxa"/>
            <w:tcBorders>
              <w:top w:val="single" w:sz="4" w:space="0" w:color="000000"/>
              <w:left w:val="single" w:sz="13" w:space="0" w:color="FFFFFF"/>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316" w:lineRule="auto"/>
              <w:ind w:left="11" w:right="92"/>
              <w:jc w:val="left"/>
              <w:rPr>
                <w:rFonts w:ascii="宋体" w:hAnsi="宋体" w:cs="宋体" w:eastAsia="宋体" w:hint="default"/>
                <w:sz w:val="18"/>
                <w:szCs w:val="18"/>
              </w:rPr>
            </w:pPr>
            <w:r>
              <w:rPr>
                <w:rFonts w:ascii="宋体" w:hAnsi="宋体" w:cs="宋体" w:eastAsia="宋体" w:hint="default"/>
                <w:sz w:val="18"/>
                <w:szCs w:val="18"/>
              </w:rPr>
              <w:t>截至报告期末，上述承诺人严格信守承诺， 未发生违反承诺的情况。</w:t>
            </w:r>
          </w:p>
        </w:tc>
      </w:tr>
      <w:tr>
        <w:trPr>
          <w:trHeight w:val="3210" w:hRule="exact"/>
        </w:trPr>
        <w:tc>
          <w:tcPr>
            <w:tcW w:w="1702" w:type="dxa"/>
            <w:vMerge/>
            <w:tcBorders>
              <w:left w:val="single" w:sz="4" w:space="0" w:color="000000"/>
              <w:right w:val="single" w:sz="4" w:space="0" w:color="000000"/>
            </w:tcBorders>
            <w:shd w:val="clear" w:color="auto" w:fill="D2D2D2"/>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09" w:lineRule="auto" w:before="109"/>
              <w:ind w:left="23" w:right="20"/>
              <w:jc w:val="both"/>
              <w:rPr>
                <w:rFonts w:ascii="宋体" w:hAnsi="宋体" w:cs="宋体" w:eastAsia="宋体" w:hint="default"/>
                <w:sz w:val="18"/>
                <w:szCs w:val="18"/>
              </w:rPr>
            </w:pPr>
            <w:r>
              <w:rPr>
                <w:rFonts w:ascii="宋体" w:hAnsi="宋体" w:cs="宋体" w:eastAsia="宋体" w:hint="default"/>
                <w:spacing w:val="-6"/>
                <w:sz w:val="18"/>
                <w:szCs w:val="18"/>
              </w:rPr>
              <w:t>傅常顺、杜建平</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等</w:t>
            </w:r>
            <w:r>
              <w:rPr>
                <w:rFonts w:ascii="宋体" w:hAnsi="宋体" w:cs="宋体" w:eastAsia="宋体" w:hint="default"/>
                <w:spacing w:val="-65"/>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名自然人股 东</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其他承诺</w:t>
            </w:r>
          </w:p>
        </w:tc>
        <w:tc>
          <w:tcPr>
            <w:tcW w:w="518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04"/>
              <w:jc w:val="left"/>
              <w:rPr>
                <w:rFonts w:ascii="宋体" w:hAnsi="宋体" w:cs="宋体" w:eastAsia="宋体" w:hint="default"/>
                <w:sz w:val="18"/>
                <w:szCs w:val="18"/>
              </w:rPr>
            </w:pPr>
            <w:r>
              <w:rPr>
                <w:rFonts w:ascii="宋体" w:hAnsi="宋体" w:cs="宋体" w:eastAsia="宋体" w:hint="default"/>
                <w:sz w:val="18"/>
                <w:szCs w:val="18"/>
              </w:rPr>
              <w:t>严格遵守《公司法》和深圳证券交易所关于上市公司董事、监事 与高级管理人员买卖本公司股份行为的相关规定，在任职期间每 年转让的股份不超过本人所持有发行人股份总数的百分之二十 五；所持发行人股份自发行人股票上市交易之日起十二个月内不 得转让；在公司首次公开发行股票上市之日起六个月内申报离职 的，自申报离职之日起十八个月内不转让本人直接持有的发行人 股份；在公司首次公开发行股票上市之日起第七个月至第十二个 月之间申报离职的，自申报离职之日起十二个月内不转让本人直 接持有的发行人股份；在离职后六个月内，不转让本人所持有的 发行人股份。</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0"/>
              <w:ind w:right="0"/>
              <w:jc w:val="left"/>
              <w:rPr>
                <w:rFonts w:ascii="Times New Roman" w:hAnsi="Times New Roman" w:cs="Times New Roman" w:eastAsia="Times New Roman" w:hint="default"/>
                <w:sz w:val="23"/>
                <w:szCs w:val="23"/>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3"/>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302" w:lineRule="auto" w:before="61"/>
              <w:ind w:left="22" w:right="95"/>
              <w:jc w:val="left"/>
              <w:rPr>
                <w:rFonts w:ascii="宋体" w:hAnsi="宋体" w:cs="宋体" w:eastAsia="宋体" w:hint="default"/>
                <w:sz w:val="18"/>
                <w:szCs w:val="18"/>
              </w:rPr>
            </w:pP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r>
              <w:rPr>
                <w:rFonts w:ascii="Times New Roman" w:hAnsi="Times New Roman" w:cs="Times New Roman" w:eastAsia="Times New Roman" w:hint="default"/>
                <w:sz w:val="18"/>
                <w:szCs w:val="18"/>
              </w:rPr>
              <w:t>-</w:t>
            </w:r>
            <w:r>
              <w:rPr>
                <w:rFonts w:ascii="宋体" w:hAnsi="宋体" w:cs="宋体" w:eastAsia="宋体" w:hint="default"/>
                <w:sz w:val="18"/>
                <w:szCs w:val="18"/>
              </w:rPr>
              <w:t>长期有 效。</w:t>
            </w:r>
          </w:p>
        </w:tc>
        <w:tc>
          <w:tcPr>
            <w:tcW w:w="3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0"/>
              <w:ind w:right="0"/>
              <w:jc w:val="left"/>
              <w:rPr>
                <w:rFonts w:ascii="Times New Roman" w:hAnsi="Times New Roman" w:cs="Times New Roman" w:eastAsia="Times New Roman" w:hint="default"/>
                <w:sz w:val="23"/>
                <w:szCs w:val="23"/>
              </w:rPr>
            </w:pPr>
          </w:p>
          <w:p>
            <w:pPr>
              <w:pStyle w:val="TableParagraph"/>
              <w:spacing w:line="316" w:lineRule="auto"/>
              <w:ind w:left="22" w:right="92"/>
              <w:jc w:val="left"/>
              <w:rPr>
                <w:rFonts w:ascii="宋体" w:hAnsi="宋体" w:cs="宋体" w:eastAsia="宋体" w:hint="default"/>
                <w:sz w:val="18"/>
                <w:szCs w:val="18"/>
              </w:rPr>
            </w:pPr>
            <w:r>
              <w:rPr>
                <w:rFonts w:ascii="宋体" w:hAnsi="宋体" w:cs="宋体" w:eastAsia="宋体" w:hint="default"/>
                <w:sz w:val="18"/>
                <w:szCs w:val="18"/>
              </w:rPr>
              <w:t>截至报告期末，上述承诺人严格信守承诺， 未发生违反承诺的情况。</w:t>
            </w:r>
          </w:p>
        </w:tc>
      </w:tr>
      <w:tr>
        <w:trPr>
          <w:trHeight w:val="2274" w:hRule="exact"/>
        </w:trPr>
        <w:tc>
          <w:tcPr>
            <w:tcW w:w="1702" w:type="dxa"/>
            <w:vMerge/>
            <w:tcBorders>
              <w:left w:val="single" w:sz="4" w:space="0" w:color="000000"/>
              <w:right w:val="single" w:sz="4" w:space="0" w:color="000000"/>
            </w:tcBorders>
            <w:shd w:val="clear" w:color="auto" w:fill="D2D2D2"/>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2"/>
                <w:szCs w:val="22"/>
              </w:rPr>
            </w:pPr>
          </w:p>
          <w:p>
            <w:pPr>
              <w:pStyle w:val="TableParagraph"/>
              <w:spacing w:line="316" w:lineRule="auto"/>
              <w:ind w:left="23" w:right="161"/>
              <w:jc w:val="both"/>
              <w:rPr>
                <w:rFonts w:ascii="宋体" w:hAnsi="宋体" w:cs="宋体" w:eastAsia="宋体" w:hint="default"/>
                <w:sz w:val="18"/>
                <w:szCs w:val="18"/>
              </w:rPr>
            </w:pPr>
            <w:r>
              <w:rPr>
                <w:rFonts w:ascii="宋体" w:hAnsi="宋体" w:cs="宋体" w:eastAsia="宋体" w:hint="default"/>
                <w:sz w:val="18"/>
                <w:szCs w:val="18"/>
              </w:rPr>
              <w:t>公司控股股东 暨实际控制人 杨维国</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60"/>
              <w:ind w:left="22" w:right="0"/>
              <w:jc w:val="left"/>
              <w:rPr>
                <w:rFonts w:ascii="宋体" w:hAnsi="宋体" w:cs="宋体" w:eastAsia="宋体" w:hint="default"/>
                <w:sz w:val="18"/>
                <w:szCs w:val="18"/>
              </w:rPr>
            </w:pPr>
            <w:r>
              <w:rPr>
                <w:rFonts w:ascii="宋体" w:hAnsi="宋体" w:cs="宋体" w:eastAsia="宋体" w:hint="default"/>
                <w:sz w:val="18"/>
                <w:szCs w:val="18"/>
              </w:rPr>
              <w:t>其他承诺</w:t>
            </w:r>
          </w:p>
        </w:tc>
        <w:tc>
          <w:tcPr>
            <w:tcW w:w="5180"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51"/>
              <w:ind w:left="22" w:right="22"/>
              <w:jc w:val="left"/>
              <w:rPr>
                <w:rFonts w:ascii="宋体" w:hAnsi="宋体" w:cs="宋体" w:eastAsia="宋体" w:hint="default"/>
                <w:sz w:val="18"/>
                <w:szCs w:val="18"/>
              </w:rPr>
            </w:pPr>
            <w:r>
              <w:rPr>
                <w:rFonts w:ascii="宋体" w:hAnsi="宋体" w:cs="宋体" w:eastAsia="宋体" w:hint="default"/>
                <w:sz w:val="18"/>
                <w:szCs w:val="18"/>
              </w:rPr>
              <w:t>根据中国证监会《关于首发及再融资、重大资产重组摊薄即期回 </w:t>
            </w:r>
            <w:r>
              <w:rPr>
                <w:rFonts w:ascii="宋体" w:hAnsi="宋体" w:cs="宋体" w:eastAsia="宋体" w:hint="default"/>
                <w:spacing w:val="-4"/>
                <w:sz w:val="18"/>
                <w:szCs w:val="18"/>
              </w:rPr>
              <w:t>报有关事项的指导意见》（证监会公告</w:t>
            </w:r>
            <w:r>
              <w:rPr>
                <w:rFonts w:ascii="Times New Roman" w:hAnsi="Times New Roman" w:cs="Times New Roman" w:eastAsia="Times New Roman" w:hint="default"/>
                <w:spacing w:val="-4"/>
                <w:sz w:val="18"/>
                <w:szCs w:val="18"/>
              </w:rPr>
              <w:t>[2015]31</w:t>
            </w:r>
            <w:r>
              <w:rPr>
                <w:rFonts w:ascii="Times New Roman" w:hAnsi="Times New Roman" w:cs="Times New Roman" w:eastAsia="Times New Roman" w:hint="default"/>
                <w:sz w:val="18"/>
                <w:szCs w:val="18"/>
              </w:rPr>
              <w:t> </w:t>
            </w:r>
            <w:r>
              <w:rPr>
                <w:rFonts w:ascii="宋体" w:hAnsi="宋体" w:cs="宋体" w:eastAsia="宋体" w:hint="default"/>
                <w:sz w:val="18"/>
                <w:szCs w:val="18"/>
              </w:rPr>
              <w:t>号）等文件的有关</w:t>
            </w:r>
            <w:r>
              <w:rPr>
                <w:rFonts w:ascii="宋体" w:hAnsi="宋体" w:cs="宋体" w:eastAsia="宋体" w:hint="default"/>
                <w:spacing w:val="-81"/>
                <w:sz w:val="18"/>
                <w:szCs w:val="18"/>
              </w:rPr>
              <w:t> </w:t>
            </w:r>
            <w:r>
              <w:rPr>
                <w:rFonts w:ascii="宋体" w:hAnsi="宋体" w:cs="宋体" w:eastAsia="宋体" w:hint="default"/>
                <w:sz w:val="18"/>
                <w:szCs w:val="18"/>
              </w:rPr>
              <w:t>规定，公司就</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年度非公开发行股票事宜对即期回报摊薄的影 响进行了认真分析，并提出了具体的填补回报措施，作为相关责 任主体，公司控股股东、实际控制人对公司填补回报措施能够得 到切实履行作出了承诺，承诺不越权干预公司经营管理活动，不 侵占公司利益。</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3"/>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2"/>
                <w:szCs w:val="22"/>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302" w:lineRule="auto" w:before="61"/>
              <w:ind w:left="22" w:right="95"/>
              <w:jc w:val="left"/>
              <w:rPr>
                <w:rFonts w:ascii="宋体" w:hAnsi="宋体" w:cs="宋体" w:eastAsia="宋体" w:hint="default"/>
                <w:sz w:val="18"/>
                <w:szCs w:val="18"/>
              </w:rPr>
            </w:pP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r>
              <w:rPr>
                <w:rFonts w:ascii="Times New Roman" w:hAnsi="Times New Roman" w:cs="Times New Roman" w:eastAsia="Times New Roman" w:hint="default"/>
                <w:sz w:val="18"/>
                <w:szCs w:val="18"/>
              </w:rPr>
              <w:t>-</w:t>
            </w:r>
            <w:r>
              <w:rPr>
                <w:rFonts w:ascii="宋体" w:hAnsi="宋体" w:cs="宋体" w:eastAsia="宋体" w:hint="default"/>
                <w:sz w:val="18"/>
                <w:szCs w:val="18"/>
              </w:rPr>
              <w:t>长期有 效</w:t>
            </w:r>
          </w:p>
        </w:tc>
        <w:tc>
          <w:tcPr>
            <w:tcW w:w="3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8"/>
                <w:szCs w:val="18"/>
              </w:rPr>
            </w:pPr>
          </w:p>
          <w:p>
            <w:pPr>
              <w:pStyle w:val="TableParagraph"/>
              <w:spacing w:line="316" w:lineRule="auto"/>
              <w:ind w:left="22" w:right="92"/>
              <w:jc w:val="left"/>
              <w:rPr>
                <w:rFonts w:ascii="宋体" w:hAnsi="宋体" w:cs="宋体" w:eastAsia="宋体" w:hint="default"/>
                <w:sz w:val="18"/>
                <w:szCs w:val="18"/>
              </w:rPr>
            </w:pPr>
            <w:r>
              <w:rPr>
                <w:rFonts w:ascii="宋体" w:hAnsi="宋体" w:cs="宋体" w:eastAsia="宋体" w:hint="default"/>
                <w:sz w:val="18"/>
                <w:szCs w:val="18"/>
              </w:rPr>
              <w:t>上述承诺人严格信守承诺，未发生违反承诺 的情况。</w:t>
            </w:r>
          </w:p>
        </w:tc>
      </w:tr>
      <w:tr>
        <w:trPr>
          <w:trHeight w:val="1026" w:hRule="exact"/>
        </w:trPr>
        <w:tc>
          <w:tcPr>
            <w:tcW w:w="1702" w:type="dxa"/>
            <w:vMerge/>
            <w:tcBorders>
              <w:left w:val="single" w:sz="4" w:space="0" w:color="000000"/>
              <w:bottom w:val="single" w:sz="4" w:space="0" w:color="000000"/>
              <w:right w:val="single" w:sz="4" w:space="0" w:color="000000"/>
            </w:tcBorders>
            <w:shd w:val="clear" w:color="auto" w:fill="D2D2D2"/>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71"/>
              <w:ind w:left="23" w:right="60"/>
              <w:jc w:val="both"/>
              <w:rPr>
                <w:rFonts w:ascii="宋体" w:hAnsi="宋体" w:cs="宋体" w:eastAsia="宋体" w:hint="default"/>
                <w:sz w:val="18"/>
                <w:szCs w:val="18"/>
              </w:rPr>
            </w:pPr>
            <w:r>
              <w:rPr>
                <w:rFonts w:ascii="宋体" w:hAnsi="宋体" w:cs="宋体" w:eastAsia="宋体" w:hint="default"/>
                <w:sz w:val="18"/>
                <w:szCs w:val="18"/>
              </w:rPr>
              <w:t>杨维国</w:t>
            </w:r>
            <w:r>
              <w:rPr>
                <w:rFonts w:ascii="Times New Roman" w:hAnsi="Times New Roman" w:cs="Times New Roman" w:eastAsia="Times New Roman" w:hint="default"/>
                <w:sz w:val="18"/>
                <w:szCs w:val="18"/>
              </w:rPr>
              <w:t>;</w:t>
            </w:r>
            <w:r>
              <w:rPr>
                <w:rFonts w:ascii="宋体" w:hAnsi="宋体" w:cs="宋体" w:eastAsia="宋体" w:hint="default"/>
                <w:sz w:val="18"/>
                <w:szCs w:val="18"/>
              </w:rPr>
              <w:t>付秋生</w:t>
            </w:r>
            <w:r>
              <w:rPr>
                <w:rFonts w:ascii="Times New Roman" w:hAnsi="Times New Roman" w:cs="Times New Roman" w:eastAsia="Times New Roman" w:hint="default"/>
                <w:sz w:val="18"/>
                <w:szCs w:val="18"/>
              </w:rPr>
              <w:t>; </w:t>
            </w:r>
            <w:r>
              <w:rPr>
                <w:rFonts w:ascii="宋体" w:hAnsi="宋体" w:cs="宋体" w:eastAsia="宋体" w:hint="default"/>
                <w:sz w:val="18"/>
                <w:szCs w:val="18"/>
              </w:rPr>
              <w:t>尚卫国</w:t>
            </w:r>
            <w:r>
              <w:rPr>
                <w:rFonts w:ascii="Times New Roman" w:hAnsi="Times New Roman" w:cs="Times New Roman" w:eastAsia="Times New Roman" w:hint="default"/>
                <w:sz w:val="18"/>
                <w:szCs w:val="18"/>
              </w:rPr>
              <w:t>;</w:t>
            </w:r>
            <w:r>
              <w:rPr>
                <w:rFonts w:ascii="宋体" w:hAnsi="宋体" w:cs="宋体" w:eastAsia="宋体" w:hint="default"/>
                <w:sz w:val="18"/>
                <w:szCs w:val="18"/>
              </w:rPr>
              <w:t>罗会军</w:t>
            </w:r>
            <w:r>
              <w:rPr>
                <w:rFonts w:ascii="Times New Roman" w:hAnsi="Times New Roman" w:cs="Times New Roman" w:eastAsia="Times New Roman" w:hint="default"/>
                <w:sz w:val="18"/>
                <w:szCs w:val="18"/>
              </w:rPr>
              <w:t>; </w:t>
            </w:r>
            <w:r>
              <w:rPr>
                <w:rFonts w:ascii="宋体" w:hAnsi="宋体" w:cs="宋体" w:eastAsia="宋体" w:hint="default"/>
                <w:sz w:val="18"/>
                <w:szCs w:val="18"/>
              </w:rPr>
              <w:t>甘勇</w:t>
            </w:r>
            <w:r>
              <w:rPr>
                <w:rFonts w:ascii="Times New Roman" w:hAnsi="Times New Roman" w:cs="Times New Roman" w:eastAsia="Times New Roman" w:hint="default"/>
                <w:sz w:val="18"/>
                <w:szCs w:val="18"/>
              </w:rPr>
              <w:t>;</w:t>
            </w:r>
            <w:r>
              <w:rPr>
                <w:rFonts w:ascii="宋体" w:hAnsi="宋体" w:cs="宋体" w:eastAsia="宋体" w:hint="default"/>
                <w:sz w:val="18"/>
                <w:szCs w:val="18"/>
              </w:rPr>
              <w:t>王世卿</w:t>
            </w:r>
            <w:r>
              <w:rPr>
                <w:rFonts w:ascii="Times New Roman" w:hAnsi="Times New Roman" w:cs="Times New Roman" w:eastAsia="Times New Roman" w:hint="default"/>
                <w:sz w:val="18"/>
                <w:szCs w:val="18"/>
              </w:rPr>
              <w:t>;</w:t>
            </w:r>
            <w:r>
              <w:rPr>
                <w:rFonts w:ascii="宋体" w:hAnsi="宋体" w:cs="宋体" w:eastAsia="宋体" w:hint="default"/>
                <w:sz w:val="18"/>
                <w:szCs w:val="18"/>
              </w:rPr>
              <w:t>赵</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其他承诺</w:t>
            </w:r>
          </w:p>
        </w:tc>
        <w:tc>
          <w:tcPr>
            <w:tcW w:w="5180"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71"/>
              <w:ind w:left="22" w:right="22"/>
              <w:jc w:val="left"/>
              <w:rPr>
                <w:rFonts w:ascii="宋体" w:hAnsi="宋体" w:cs="宋体" w:eastAsia="宋体" w:hint="default"/>
                <w:sz w:val="18"/>
                <w:szCs w:val="18"/>
              </w:rPr>
            </w:pPr>
            <w:r>
              <w:rPr>
                <w:rFonts w:ascii="宋体" w:hAnsi="宋体" w:cs="宋体" w:eastAsia="宋体" w:hint="default"/>
                <w:sz w:val="18"/>
                <w:szCs w:val="18"/>
              </w:rPr>
              <w:t>根据中国证监会《关于首发及再融资、重大资产重组摊薄即期回 </w:t>
            </w:r>
            <w:r>
              <w:rPr>
                <w:rFonts w:ascii="宋体" w:hAnsi="宋体" w:cs="宋体" w:eastAsia="宋体" w:hint="default"/>
                <w:spacing w:val="-4"/>
                <w:sz w:val="18"/>
                <w:szCs w:val="18"/>
              </w:rPr>
              <w:t>报有关事项的指导意见》（证监会公告</w:t>
            </w:r>
            <w:r>
              <w:rPr>
                <w:rFonts w:ascii="Times New Roman" w:hAnsi="Times New Roman" w:cs="Times New Roman" w:eastAsia="Times New Roman" w:hint="default"/>
                <w:spacing w:val="-4"/>
                <w:sz w:val="18"/>
                <w:szCs w:val="18"/>
              </w:rPr>
              <w:t>[2015]31</w:t>
            </w:r>
            <w:r>
              <w:rPr>
                <w:rFonts w:ascii="Times New Roman" w:hAnsi="Times New Roman" w:cs="Times New Roman" w:eastAsia="Times New Roman" w:hint="default"/>
                <w:sz w:val="18"/>
                <w:szCs w:val="18"/>
              </w:rPr>
              <w:t> </w:t>
            </w:r>
            <w:r>
              <w:rPr>
                <w:rFonts w:ascii="宋体" w:hAnsi="宋体" w:cs="宋体" w:eastAsia="宋体" w:hint="default"/>
                <w:sz w:val="18"/>
                <w:szCs w:val="18"/>
              </w:rPr>
              <w:t>号）等文件的有关</w:t>
            </w:r>
            <w:r>
              <w:rPr>
                <w:rFonts w:ascii="宋体" w:hAnsi="宋体" w:cs="宋体" w:eastAsia="宋体" w:hint="default"/>
                <w:spacing w:val="-81"/>
                <w:sz w:val="18"/>
                <w:szCs w:val="18"/>
              </w:rPr>
              <w:t> </w:t>
            </w:r>
            <w:r>
              <w:rPr>
                <w:rFonts w:ascii="宋体" w:hAnsi="宋体" w:cs="宋体" w:eastAsia="宋体" w:hint="default"/>
                <w:sz w:val="18"/>
                <w:szCs w:val="18"/>
              </w:rPr>
              <w:t>规定，公司就</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年度非公开发行股票事宜对即期回报摊薄的影</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3"/>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302" w:lineRule="auto" w:before="61"/>
              <w:ind w:left="22" w:right="95"/>
              <w:jc w:val="left"/>
              <w:rPr>
                <w:rFonts w:ascii="宋体" w:hAnsi="宋体" w:cs="宋体" w:eastAsia="宋体" w:hint="default"/>
                <w:sz w:val="18"/>
                <w:szCs w:val="18"/>
              </w:rPr>
            </w:pP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r>
              <w:rPr>
                <w:rFonts w:ascii="Times New Roman" w:hAnsi="Times New Roman" w:cs="Times New Roman" w:eastAsia="Times New Roman" w:hint="default"/>
                <w:sz w:val="18"/>
                <w:szCs w:val="18"/>
              </w:rPr>
              <w:t>-</w:t>
            </w:r>
            <w:r>
              <w:rPr>
                <w:rFonts w:ascii="宋体" w:hAnsi="宋体" w:cs="宋体" w:eastAsia="宋体" w:hint="default"/>
                <w:sz w:val="18"/>
                <w:szCs w:val="18"/>
              </w:rPr>
              <w:t>长期有 效</w:t>
            </w:r>
          </w:p>
        </w:tc>
        <w:tc>
          <w:tcPr>
            <w:tcW w:w="3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22" w:right="0"/>
              <w:jc w:val="left"/>
              <w:rPr>
                <w:rFonts w:ascii="宋体" w:hAnsi="宋体" w:cs="宋体" w:eastAsia="宋体" w:hint="default"/>
                <w:sz w:val="18"/>
                <w:szCs w:val="18"/>
              </w:rPr>
            </w:pPr>
            <w:r>
              <w:rPr>
                <w:rFonts w:ascii="宋体" w:hAnsi="宋体" w:cs="宋体" w:eastAsia="宋体" w:hint="default"/>
                <w:sz w:val="18"/>
                <w:szCs w:val="18"/>
              </w:rPr>
              <w:t>鉴于甘勇先生、祝田山先生已分别于</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年</w:t>
            </w:r>
          </w:p>
          <w:p>
            <w:pPr>
              <w:pStyle w:val="TableParagraph"/>
              <w:spacing w:line="300" w:lineRule="auto" w:before="61"/>
              <w:ind w:left="22" w:right="47"/>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日及</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日辞去公司独立 董事职务，故甘勇先生及祝田山先生自其离</w:t>
            </w:r>
          </w:p>
        </w:tc>
      </w:tr>
    </w:tbl>
    <w:p>
      <w:pPr>
        <w:spacing w:after="0" w:line="300" w:lineRule="auto"/>
        <w:jc w:val="left"/>
        <w:rPr>
          <w:rFonts w:ascii="宋体" w:hAnsi="宋体" w:cs="宋体" w:eastAsia="宋体" w:hint="default"/>
          <w:sz w:val="18"/>
          <w:szCs w:val="18"/>
        </w:rPr>
        <w:sectPr>
          <w:pgSz w:w="16840" w:h="11910" w:orient="landscape"/>
          <w:pgMar w:header="867" w:footer="979" w:top="1060" w:bottom="1160" w:left="900" w:right="880"/>
        </w:sectPr>
      </w:pPr>
    </w:p>
    <w:p>
      <w:pPr>
        <w:spacing w:line="300" w:lineRule="auto" w:before="87"/>
        <w:ind w:left="1844" w:right="0" w:firstLine="0"/>
        <w:jc w:val="both"/>
        <w:rPr>
          <w:rFonts w:ascii="宋体" w:hAnsi="宋体" w:cs="宋体" w:eastAsia="宋体" w:hint="default"/>
          <w:sz w:val="18"/>
          <w:szCs w:val="18"/>
        </w:rPr>
      </w:pPr>
      <w:r>
        <w:rPr>
          <w:rFonts w:ascii="宋体" w:hAnsi="宋体" w:cs="宋体" w:eastAsia="宋体" w:hint="default"/>
          <w:sz w:val="18"/>
          <w:szCs w:val="18"/>
        </w:rPr>
        <w:t>利宾</w:t>
      </w:r>
      <w:r>
        <w:rPr>
          <w:rFonts w:ascii="Times New Roman" w:hAnsi="Times New Roman" w:cs="Times New Roman" w:eastAsia="Times New Roman" w:hint="default"/>
          <w:sz w:val="18"/>
          <w:szCs w:val="18"/>
        </w:rPr>
        <w:t>;</w:t>
      </w:r>
      <w:r>
        <w:rPr>
          <w:rFonts w:ascii="宋体" w:hAnsi="宋体" w:cs="宋体" w:eastAsia="宋体" w:hint="default"/>
          <w:sz w:val="18"/>
          <w:szCs w:val="18"/>
        </w:rPr>
        <w:t>祝田山</w:t>
      </w:r>
      <w:r>
        <w:rPr>
          <w:rFonts w:ascii="Times New Roman" w:hAnsi="Times New Roman" w:cs="Times New Roman" w:eastAsia="Times New Roman" w:hint="default"/>
          <w:sz w:val="18"/>
          <w:szCs w:val="18"/>
        </w:rPr>
        <w:t>;</w:t>
      </w:r>
      <w:r>
        <w:rPr>
          <w:rFonts w:ascii="宋体" w:hAnsi="宋体" w:cs="宋体" w:eastAsia="宋体" w:hint="default"/>
          <w:sz w:val="18"/>
          <w:szCs w:val="18"/>
        </w:rPr>
        <w:t>华 梦阳</w:t>
      </w:r>
      <w:r>
        <w:rPr>
          <w:rFonts w:ascii="Times New Roman" w:hAnsi="Times New Roman" w:cs="Times New Roman" w:eastAsia="Times New Roman" w:hint="default"/>
          <w:sz w:val="18"/>
          <w:szCs w:val="18"/>
        </w:rPr>
        <w:t>;</w:t>
      </w:r>
      <w:r>
        <w:rPr>
          <w:rFonts w:ascii="宋体" w:hAnsi="宋体" w:cs="宋体" w:eastAsia="宋体" w:hint="default"/>
          <w:sz w:val="18"/>
          <w:szCs w:val="18"/>
        </w:rPr>
        <w:t>李玉玲</w:t>
      </w:r>
      <w:r>
        <w:rPr>
          <w:rFonts w:ascii="Times New Roman" w:hAnsi="Times New Roman" w:cs="Times New Roman" w:eastAsia="Times New Roman" w:hint="default"/>
          <w:sz w:val="18"/>
          <w:szCs w:val="18"/>
        </w:rPr>
        <w:t>;</w:t>
      </w:r>
      <w:r>
        <w:rPr>
          <w:rFonts w:ascii="宋体" w:hAnsi="宋体" w:cs="宋体" w:eastAsia="宋体" w:hint="default"/>
          <w:sz w:val="18"/>
          <w:szCs w:val="18"/>
        </w:rPr>
        <w:t>傅 常顺</w:t>
      </w:r>
      <w:r>
        <w:rPr>
          <w:rFonts w:ascii="Times New Roman" w:hAnsi="Times New Roman" w:cs="Times New Roman" w:eastAsia="Times New Roman" w:hint="default"/>
          <w:sz w:val="18"/>
          <w:szCs w:val="18"/>
        </w:rPr>
        <w:t>;</w:t>
      </w:r>
      <w:r>
        <w:rPr>
          <w:rFonts w:ascii="宋体" w:hAnsi="宋体" w:cs="宋体" w:eastAsia="宋体" w:hint="default"/>
          <w:sz w:val="18"/>
          <w:szCs w:val="18"/>
        </w:rPr>
        <w:t>杜建平</w:t>
      </w:r>
      <w:r>
        <w:rPr>
          <w:rFonts w:ascii="Times New Roman" w:hAnsi="Times New Roman" w:cs="Times New Roman" w:eastAsia="Times New Roman" w:hint="default"/>
          <w:sz w:val="18"/>
          <w:szCs w:val="18"/>
        </w:rPr>
        <w:t>;</w:t>
      </w:r>
      <w:r>
        <w:rPr>
          <w:rFonts w:ascii="宋体" w:hAnsi="宋体" w:cs="宋体" w:eastAsia="宋体" w:hint="default"/>
          <w:sz w:val="18"/>
          <w:szCs w:val="18"/>
        </w:rPr>
        <w:t>刘 永春</w:t>
      </w:r>
    </w:p>
    <w:p>
      <w:pPr>
        <w:spacing w:line="319" w:lineRule="auto" w:before="87"/>
        <w:ind w:left="904" w:right="-1" w:firstLine="0"/>
        <w:jc w:val="left"/>
        <w:rPr>
          <w:rFonts w:ascii="宋体" w:hAnsi="宋体" w:cs="宋体" w:eastAsia="宋体" w:hint="default"/>
          <w:sz w:val="18"/>
          <w:szCs w:val="18"/>
        </w:rPr>
      </w:pPr>
      <w:r>
        <w:rPr/>
        <w:br w:type="column"/>
      </w:r>
      <w:r>
        <w:rPr>
          <w:rFonts w:ascii="宋体" w:hAnsi="宋体" w:cs="宋体" w:eastAsia="宋体" w:hint="default"/>
          <w:sz w:val="18"/>
          <w:szCs w:val="18"/>
        </w:rPr>
        <w:t>响进行了认真分析，并提出了具体的填补回报措施，作为相关责 任主体，公司全体董事、高级管理人员对公司填补回报措施能够 </w:t>
      </w:r>
      <w:r>
        <w:rPr>
          <w:rFonts w:ascii="宋体" w:hAnsi="宋体" w:cs="宋体" w:eastAsia="宋体" w:hint="default"/>
          <w:spacing w:val="-4"/>
          <w:sz w:val="18"/>
          <w:szCs w:val="18"/>
        </w:rPr>
        <w:t>得到切实履行作出了承诺，具体承诺如下：（一）承诺不无偿或以</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z w:val="18"/>
          <w:szCs w:val="18"/>
        </w:rPr>
        <w:t>不公平条件向其他单位或者个人输送利益，也不采用其他方式损 </w:t>
      </w:r>
      <w:r>
        <w:rPr>
          <w:rFonts w:ascii="宋体" w:hAnsi="宋体" w:cs="宋体" w:eastAsia="宋体" w:hint="default"/>
          <w:spacing w:val="-4"/>
          <w:sz w:val="18"/>
          <w:szCs w:val="18"/>
        </w:rPr>
        <w:t>害公司利益。（二）承诺对董事和高级管理人员的职务消费行为进</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pacing w:val="-20"/>
          <w:sz w:val="18"/>
          <w:szCs w:val="18"/>
        </w:rPr>
        <w:t>行约束。（三）</w:t>
      </w:r>
      <w:r>
        <w:rPr>
          <w:rFonts w:ascii="宋体" w:hAnsi="宋体" w:cs="宋体" w:eastAsia="宋体" w:hint="default"/>
          <w:sz w:val="18"/>
          <w:szCs w:val="18"/>
        </w:rPr>
        <w:t> </w:t>
      </w:r>
      <w:r>
        <w:rPr>
          <w:rFonts w:ascii="宋体" w:hAnsi="宋体" w:cs="宋体" w:eastAsia="宋体" w:hint="default"/>
          <w:spacing w:val="-4"/>
          <w:sz w:val="18"/>
          <w:szCs w:val="18"/>
        </w:rPr>
        <w:t>消费活动。（四）承诺由董事会或薪酬委员会制定的薪酬制度与公</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pacing w:val="-4"/>
          <w:sz w:val="18"/>
          <w:szCs w:val="18"/>
        </w:rPr>
        <w:t>司填补回报措施的执行情况相挂钩。（五）承诺拟公布的公司股权</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激励的行权条件与公司填补回报措施的执行情况相挂钩。</w:t>
      </w:r>
    </w:p>
    <w:p>
      <w:pPr>
        <w:spacing w:line="312" w:lineRule="auto" w:before="87"/>
        <w:ind w:left="1844" w:right="85" w:firstLine="0"/>
        <w:jc w:val="left"/>
        <w:rPr>
          <w:rFonts w:ascii="宋体" w:hAnsi="宋体" w:cs="宋体" w:eastAsia="宋体" w:hint="default"/>
          <w:sz w:val="18"/>
          <w:szCs w:val="18"/>
        </w:rPr>
      </w:pPr>
      <w:r>
        <w:rPr/>
        <w:br w:type="column"/>
      </w:r>
      <w:r>
        <w:rPr>
          <w:rFonts w:ascii="宋体" w:hAnsi="宋体" w:cs="宋体" w:eastAsia="宋体" w:hint="default"/>
          <w:sz w:val="18"/>
          <w:szCs w:val="18"/>
        </w:rPr>
        <w:t>任之日起不继续履行本承诺；鉴于罗会军先 生已于</w:t>
      </w:r>
      <w:r>
        <w:rPr>
          <w:rFonts w:ascii="宋体" w:hAnsi="宋体" w:cs="宋体" w:eastAsia="宋体" w:hint="default"/>
          <w:spacing w:val="-64"/>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9"/>
          <w:sz w:val="18"/>
          <w:szCs w:val="18"/>
        </w:rPr>
        <w:t> </w:t>
      </w:r>
      <w:r>
        <w:rPr>
          <w:rFonts w:ascii="宋体" w:hAnsi="宋体" w:cs="宋体" w:eastAsia="宋体" w:hint="default"/>
          <w:sz w:val="18"/>
          <w:szCs w:val="18"/>
        </w:rPr>
        <w:t>年</w:t>
      </w:r>
      <w:r>
        <w:rPr>
          <w:rFonts w:ascii="宋体" w:hAnsi="宋体" w:cs="宋体" w:eastAsia="宋体" w:hint="default"/>
          <w:spacing w:val="-64"/>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9"/>
          <w:sz w:val="18"/>
          <w:szCs w:val="18"/>
        </w:rPr>
        <w:t> </w:t>
      </w:r>
      <w:r>
        <w:rPr>
          <w:rFonts w:ascii="宋体" w:hAnsi="宋体" w:cs="宋体" w:eastAsia="宋体" w:hint="default"/>
          <w:sz w:val="18"/>
          <w:szCs w:val="18"/>
        </w:rPr>
        <w:t>月</w:t>
      </w:r>
      <w:r>
        <w:rPr>
          <w:rFonts w:ascii="宋体" w:hAnsi="宋体" w:cs="宋体" w:eastAsia="宋体" w:hint="default"/>
          <w:spacing w:val="-64"/>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19"/>
          <w:sz w:val="18"/>
          <w:szCs w:val="18"/>
        </w:rPr>
        <w:t> </w:t>
      </w:r>
      <w:r>
        <w:rPr>
          <w:rFonts w:ascii="宋体" w:hAnsi="宋体" w:cs="宋体" w:eastAsia="宋体" w:hint="default"/>
          <w:sz w:val="18"/>
          <w:szCs w:val="18"/>
        </w:rPr>
        <w:t>日辞去公司董事职务， 故罗会军先生自其离任之日起不继续履行本 承诺；鉴于王世卿先生已于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13 </w:t>
      </w:r>
      <w:r>
        <w:rPr>
          <w:rFonts w:ascii="宋体" w:hAnsi="宋体" w:cs="宋体" w:eastAsia="宋体" w:hint="default"/>
          <w:sz w:val="18"/>
          <w:szCs w:val="18"/>
        </w:rPr>
        <w:t>日因换届离任公司独立董事，故王世卿先生 自其离任之日起不继续履行本承诺；报告期 内，其余承诺人严格信守承诺，未发生违反 承诺的情况。</w:t>
      </w:r>
    </w:p>
    <w:p>
      <w:pPr>
        <w:spacing w:after="0" w:line="312" w:lineRule="auto"/>
        <w:jc w:val="left"/>
        <w:rPr>
          <w:rFonts w:ascii="宋体" w:hAnsi="宋体" w:cs="宋体" w:eastAsia="宋体" w:hint="default"/>
          <w:sz w:val="18"/>
          <w:szCs w:val="18"/>
        </w:rPr>
        <w:sectPr>
          <w:pgSz w:w="16840" w:h="11910" w:orient="landscape"/>
          <w:pgMar w:header="867" w:footer="979" w:top="1060" w:bottom="1160" w:left="900" w:right="840"/>
          <w:cols w:num="3" w:equalWidth="0">
            <w:col w:w="3026" w:space="40"/>
            <w:col w:w="6028" w:space="479"/>
            <w:col w:w="5527"/>
          </w:cols>
        </w:sect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5"/>
        <w:rPr>
          <w:rFonts w:ascii="宋体" w:hAnsi="宋体" w:cs="宋体" w:eastAsia="宋体" w:hint="default"/>
          <w:sz w:val="13"/>
          <w:szCs w:val="13"/>
        </w:rPr>
      </w:pPr>
    </w:p>
    <w:p>
      <w:pPr>
        <w:spacing w:line="210" w:lineRule="exact" w:before="0"/>
        <w:ind w:left="1844" w:right="-19" w:firstLine="0"/>
        <w:jc w:val="left"/>
        <w:rPr>
          <w:rFonts w:ascii="宋体" w:hAnsi="宋体" w:cs="宋体" w:eastAsia="宋体" w:hint="default"/>
          <w:sz w:val="18"/>
          <w:szCs w:val="18"/>
        </w:rPr>
      </w:pPr>
      <w:r>
        <w:rPr>
          <w:rFonts w:ascii="宋体" w:hAnsi="宋体" w:cs="宋体" w:eastAsia="宋体" w:hint="default"/>
          <w:sz w:val="18"/>
          <w:szCs w:val="18"/>
        </w:rPr>
        <w:t>王玉辉</w:t>
      </w:r>
      <w:r>
        <w:rPr>
          <w:rFonts w:ascii="Times New Roman" w:hAnsi="Times New Roman" w:cs="Times New Roman" w:eastAsia="Times New Roman" w:hint="default"/>
          <w:sz w:val="18"/>
          <w:szCs w:val="18"/>
        </w:rPr>
        <w:t>;</w:t>
      </w:r>
      <w:r>
        <w:rPr>
          <w:rFonts w:ascii="宋体" w:hAnsi="宋体" w:cs="宋体" w:eastAsia="宋体" w:hint="default"/>
          <w:sz w:val="18"/>
          <w:szCs w:val="18"/>
        </w:rPr>
        <w:t>张英瑶</w:t>
      </w:r>
      <w:r>
        <w:rPr>
          <w:rFonts w:ascii="宋体" w:hAnsi="宋体" w:cs="宋体" w:eastAsia="宋体" w:hint="default"/>
          <w:spacing w:val="55"/>
          <w:sz w:val="18"/>
          <w:szCs w:val="18"/>
        </w:rPr>
        <w:t> </w:t>
      </w:r>
      <w:r>
        <w:rPr>
          <w:rFonts w:ascii="宋体" w:hAnsi="宋体" w:cs="宋体" w:eastAsia="宋体" w:hint="default"/>
          <w:sz w:val="18"/>
          <w:szCs w:val="18"/>
        </w:rPr>
        <w:t>其他承诺</w:t>
      </w:r>
    </w:p>
    <w:p>
      <w:pPr>
        <w:spacing w:line="309" w:lineRule="auto" w:before="107"/>
        <w:ind w:left="89" w:right="1073" w:firstLine="0"/>
        <w:jc w:val="left"/>
        <w:rPr>
          <w:rFonts w:ascii="宋体" w:hAnsi="宋体" w:cs="宋体" w:eastAsia="宋体" w:hint="default"/>
          <w:sz w:val="18"/>
          <w:szCs w:val="18"/>
        </w:rPr>
      </w:pPr>
      <w:r>
        <w:rPr/>
        <w:br w:type="column"/>
      </w:r>
      <w:r>
        <w:rPr>
          <w:rFonts w:ascii="宋体" w:hAnsi="宋体" w:cs="宋体" w:eastAsia="宋体" w:hint="default"/>
          <w:sz w:val="18"/>
          <w:szCs w:val="18"/>
        </w:rPr>
        <w:t>根据中国证监会《关于首发及再融资、重大资产重组摊薄即期回 </w:t>
      </w:r>
      <w:r>
        <w:rPr>
          <w:rFonts w:ascii="宋体" w:hAnsi="宋体" w:cs="宋体" w:eastAsia="宋体" w:hint="default"/>
          <w:spacing w:val="-4"/>
          <w:sz w:val="18"/>
          <w:szCs w:val="18"/>
        </w:rPr>
        <w:t>报有关事项的指导意见》（证监会公告</w:t>
      </w:r>
      <w:r>
        <w:rPr>
          <w:rFonts w:ascii="Times New Roman" w:hAnsi="Times New Roman" w:cs="Times New Roman" w:eastAsia="Times New Roman" w:hint="default"/>
          <w:spacing w:val="-4"/>
          <w:sz w:val="18"/>
          <w:szCs w:val="18"/>
        </w:rPr>
        <w:t>[2015]31</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号）等文件的有关</w:t>
      </w:r>
      <w:r>
        <w:rPr>
          <w:rFonts w:ascii="宋体" w:hAnsi="宋体" w:cs="宋体" w:eastAsia="宋体" w:hint="default"/>
          <w:spacing w:val="-88"/>
          <w:sz w:val="18"/>
          <w:szCs w:val="18"/>
        </w:rPr>
        <w:t> </w:t>
      </w:r>
      <w:r>
        <w:rPr>
          <w:rFonts w:ascii="宋体" w:hAnsi="宋体" w:cs="宋体" w:eastAsia="宋体" w:hint="default"/>
          <w:sz w:val="18"/>
          <w:szCs w:val="18"/>
        </w:rPr>
        <w:t>规定，公司就</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年度非公开发行股票事宜对即期回报摊薄的影 响进行了认真分析，并提出了具体的填补回报措施，作为相关责 任主体，公司全体董事、高级管理人员对公司填补回报措施能够</w:t>
      </w:r>
    </w:p>
    <w:p>
      <w:pPr>
        <w:spacing w:before="25"/>
        <w:ind w:left="89" w:right="-16" w:firstLine="0"/>
        <w:jc w:val="left"/>
        <w:rPr>
          <w:rFonts w:ascii="宋体" w:hAnsi="宋体" w:cs="宋体" w:eastAsia="宋体" w:hint="default"/>
          <w:sz w:val="18"/>
          <w:szCs w:val="18"/>
        </w:rPr>
      </w:pPr>
      <w:r>
        <w:rPr/>
        <w:pict>
          <v:shape style="position:absolute;margin-left:297.140015pt;margin-top:-222.278275pt;width:260.45pt;height:142.5pt;mso-position-horizontal-relative:page;mso-position-vertical-relative:paragraph;z-index:-1221784" type="#_x0000_t202" filled="false" stroked="false">
            <v:textbox inset="0,0,0,0">
              <w:txbxContent>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before="157"/>
                    <w:ind w:left="0" w:right="0" w:firstLine="0"/>
                    <w:jc w:val="left"/>
                    <w:rPr>
                      <w:rFonts w:ascii="宋体" w:hAnsi="宋体" w:cs="宋体" w:eastAsia="宋体" w:hint="default"/>
                      <w:sz w:val="18"/>
                      <w:szCs w:val="18"/>
                    </w:rPr>
                  </w:pPr>
                  <w:r>
                    <w:rPr>
                      <w:rFonts w:ascii="宋体" w:hAnsi="宋体" w:cs="宋体" w:eastAsia="宋体" w:hint="default"/>
                      <w:sz w:val="18"/>
                      <w:szCs w:val="18"/>
                    </w:rPr>
                    <w:t>承诺不动用公司资产从事与其履行职责无关的投资、</w:t>
                  </w:r>
                </w:p>
              </w:txbxContent>
            </v:textbox>
            <w10:wrap type="none"/>
          </v:shape>
        </w:pict>
      </w:r>
      <w:r>
        <w:rPr>
          <w:rFonts w:ascii="宋体" w:hAnsi="宋体" w:cs="宋体" w:eastAsia="宋体" w:hint="default"/>
          <w:sz w:val="18"/>
          <w:szCs w:val="18"/>
        </w:rPr>
        <w:t>得到切实履行作出了承诺</w:t>
      </w:r>
      <w:r>
        <w:rPr>
          <w:rFonts w:ascii="宋体" w:hAnsi="宋体" w:cs="宋体" w:eastAsia="宋体" w:hint="default"/>
          <w:spacing w:val="-3"/>
          <w:sz w:val="18"/>
          <w:szCs w:val="18"/>
        </w:rPr>
        <w:t>，</w:t>
      </w:r>
      <w:r>
        <w:rPr>
          <w:rFonts w:ascii="宋体" w:hAnsi="宋体" w:cs="宋体" w:eastAsia="宋体" w:hint="default"/>
          <w:sz w:val="18"/>
          <w:szCs w:val="18"/>
        </w:rPr>
        <w:t>具体承诺如下</w:t>
      </w:r>
      <w:r>
        <w:rPr>
          <w:rFonts w:ascii="宋体" w:hAnsi="宋体" w:cs="宋体" w:eastAsia="宋体" w:hint="default"/>
          <w:spacing w:val="-93"/>
          <w:sz w:val="18"/>
          <w:szCs w:val="18"/>
        </w:rPr>
        <w:t>：</w:t>
      </w:r>
      <w:r>
        <w:rPr>
          <w:rFonts w:ascii="宋体" w:hAnsi="宋体" w:cs="宋体" w:eastAsia="宋体" w:hint="default"/>
          <w:sz w:val="18"/>
          <w:szCs w:val="18"/>
        </w:rPr>
        <w:t>（一</w:t>
      </w:r>
      <w:r>
        <w:rPr>
          <w:rFonts w:ascii="宋体" w:hAnsi="宋体" w:cs="宋体" w:eastAsia="宋体" w:hint="default"/>
          <w:spacing w:val="-3"/>
          <w:sz w:val="18"/>
          <w:szCs w:val="18"/>
        </w:rPr>
        <w:t>）</w:t>
      </w:r>
      <w:r>
        <w:rPr>
          <w:rFonts w:ascii="宋体" w:hAnsi="宋体" w:cs="宋体" w:eastAsia="宋体" w:hint="default"/>
          <w:sz w:val="18"/>
          <w:szCs w:val="18"/>
        </w:rPr>
        <w:t>承诺不无偿或以</w:t>
      </w:r>
      <w:r>
        <w:rPr>
          <w:rFonts w:ascii="宋体" w:hAnsi="宋体" w:cs="宋体" w:eastAsia="宋体" w:hint="default"/>
          <w:spacing w:val="-34"/>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7"/>
        <w:rPr>
          <w:rFonts w:ascii="宋体" w:hAnsi="宋体" w:cs="宋体" w:eastAsia="宋体" w:hint="default"/>
          <w:sz w:val="25"/>
          <w:szCs w:val="25"/>
        </w:rPr>
      </w:pPr>
    </w:p>
    <w:p>
      <w:pPr>
        <w:spacing w:before="0"/>
        <w:ind w:left="60" w:right="-19"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spacing w:line="212" w:lineRule="exact" w:before="61"/>
        <w:ind w:left="60" w:right="-19"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r>
        <w:rPr>
          <w:rFonts w:ascii="Times New Roman" w:hAnsi="Times New Roman" w:cs="Times New Roman" w:eastAsia="Times New Roman" w:hint="default"/>
          <w:sz w:val="18"/>
          <w:szCs w:val="18"/>
        </w:rPr>
        <w:t>-</w:t>
      </w:r>
      <w:r>
        <w:rPr>
          <w:rFonts w:ascii="宋体" w:hAnsi="宋体" w:cs="宋体" w:eastAsia="宋体" w:hint="default"/>
          <w:sz w:val="18"/>
          <w:szCs w:val="18"/>
        </w:rPr>
        <w:t>长期有</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6"/>
        <w:rPr>
          <w:rFonts w:ascii="宋体" w:hAnsi="宋体" w:cs="宋体" w:eastAsia="宋体" w:hint="default"/>
          <w:sz w:val="19"/>
          <w:szCs w:val="19"/>
        </w:rPr>
      </w:pPr>
    </w:p>
    <w:p>
      <w:pPr>
        <w:spacing w:before="0"/>
        <w:ind w:left="89" w:right="0" w:firstLine="0"/>
        <w:jc w:val="left"/>
        <w:rPr>
          <w:rFonts w:ascii="宋体" w:hAnsi="宋体" w:cs="宋体" w:eastAsia="宋体" w:hint="default"/>
          <w:sz w:val="18"/>
          <w:szCs w:val="18"/>
        </w:rPr>
      </w:pPr>
      <w:r>
        <w:rPr>
          <w:rFonts w:ascii="宋体" w:hAnsi="宋体" w:cs="宋体" w:eastAsia="宋体" w:hint="default"/>
          <w:sz w:val="18"/>
          <w:szCs w:val="18"/>
        </w:rPr>
        <w:t>上述承诺人严格信守承诺，未发生违反承诺</w:t>
      </w:r>
    </w:p>
    <w:p>
      <w:pPr>
        <w:spacing w:after="0"/>
        <w:jc w:val="left"/>
        <w:rPr>
          <w:rFonts w:ascii="宋体" w:hAnsi="宋体" w:cs="宋体" w:eastAsia="宋体" w:hint="default"/>
          <w:sz w:val="18"/>
          <w:szCs w:val="18"/>
        </w:rPr>
        <w:sectPr>
          <w:type w:val="continuous"/>
          <w:pgSz w:w="16840" w:h="11910" w:orient="landscape"/>
          <w:pgMar w:top="1060" w:bottom="1160" w:left="900" w:right="840"/>
          <w:cols w:num="4" w:equalWidth="0">
            <w:col w:w="3841" w:space="40"/>
            <w:col w:w="6303" w:space="40"/>
            <w:col w:w="1066" w:space="40"/>
            <w:col w:w="3770"/>
          </w:cols>
        </w:sectPr>
      </w:pPr>
    </w:p>
    <w:p>
      <w:pPr>
        <w:spacing w:line="180" w:lineRule="exact" w:before="0"/>
        <w:ind w:left="3970" w:right="-2" w:firstLine="0"/>
        <w:jc w:val="left"/>
        <w:rPr>
          <w:rFonts w:ascii="宋体" w:hAnsi="宋体" w:cs="宋体" w:eastAsia="宋体" w:hint="default"/>
          <w:sz w:val="18"/>
          <w:szCs w:val="18"/>
        </w:rPr>
      </w:pPr>
      <w:r>
        <w:rPr>
          <w:rFonts w:ascii="宋体" w:hAnsi="宋体" w:cs="宋体" w:eastAsia="宋体" w:hint="default"/>
          <w:sz w:val="18"/>
          <w:szCs w:val="18"/>
        </w:rPr>
        <w:t>不公平条件向其他单位或者个人输送利益，也不采用其他方式损</w:t>
      </w:r>
    </w:p>
    <w:p>
      <w:pPr>
        <w:spacing w:line="319" w:lineRule="auto" w:before="76"/>
        <w:ind w:left="3970" w:right="-2" w:firstLine="0"/>
        <w:jc w:val="left"/>
        <w:rPr>
          <w:rFonts w:ascii="宋体" w:hAnsi="宋体" w:cs="宋体" w:eastAsia="宋体" w:hint="default"/>
          <w:sz w:val="18"/>
          <w:szCs w:val="18"/>
        </w:rPr>
      </w:pPr>
      <w:r>
        <w:rPr/>
        <w:pict>
          <v:shape style="position:absolute;margin-left:297.140015pt;margin-top:5.31171pt;width:260.45pt;height:78pt;mso-position-horizontal-relative:page;mso-position-vertical-relative:paragraph;z-index:-1221760" type="#_x0000_t202" filled="false" stroked="false">
            <v:textbox inset="0,0,0,0">
              <w:txbxContent>
                <w:p>
                  <w:pPr>
                    <w:spacing w:line="240" w:lineRule="auto" w:before="7"/>
                    <w:rPr>
                      <w:rFonts w:ascii="宋体" w:hAnsi="宋体" w:cs="宋体" w:eastAsia="宋体" w:hint="default"/>
                      <w:sz w:val="21"/>
                      <w:szCs w:val="21"/>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承诺不动用公司资产从事与其履行职责无关的投资、</w:t>
                  </w:r>
                </w:p>
              </w:txbxContent>
            </v:textbox>
            <w10:wrap type="none"/>
          </v:shape>
        </w:pict>
      </w:r>
      <w:r>
        <w:rPr>
          <w:rFonts w:ascii="宋体" w:hAnsi="宋体" w:cs="宋体" w:eastAsia="宋体" w:hint="default"/>
          <w:spacing w:val="-4"/>
          <w:sz w:val="18"/>
          <w:szCs w:val="18"/>
        </w:rPr>
        <w:t>害公司利益。（二）承诺对董事和高级管理人员的职务消费行为进</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pacing w:val="-20"/>
          <w:sz w:val="18"/>
          <w:szCs w:val="18"/>
        </w:rPr>
        <w:t>行约束。（三）</w:t>
      </w:r>
      <w:r>
        <w:rPr>
          <w:rFonts w:ascii="宋体" w:hAnsi="宋体" w:cs="宋体" w:eastAsia="宋体" w:hint="default"/>
          <w:sz w:val="18"/>
          <w:szCs w:val="18"/>
        </w:rPr>
        <w:t> </w:t>
      </w:r>
      <w:r>
        <w:rPr>
          <w:rFonts w:ascii="宋体" w:hAnsi="宋体" w:cs="宋体" w:eastAsia="宋体" w:hint="default"/>
          <w:spacing w:val="-4"/>
          <w:sz w:val="18"/>
          <w:szCs w:val="18"/>
        </w:rPr>
        <w:t>消费活动。（四）承诺由董事会或薪酬委员会制定的薪酬制度与公</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pacing w:val="-4"/>
          <w:sz w:val="18"/>
          <w:szCs w:val="18"/>
        </w:rPr>
        <w:t>司填补回报措施的执行情况相挂钩。（五）承诺拟公布的公司股权</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激励的行权条件与公司填补回报措施的执行情况相挂钩。</w:t>
      </w:r>
    </w:p>
    <w:p>
      <w:pPr>
        <w:spacing w:line="148" w:lineRule="exact" w:before="0"/>
        <w:ind w:left="16" w:right="0" w:firstLine="0"/>
        <w:jc w:val="left"/>
        <w:rPr>
          <w:rFonts w:ascii="宋体" w:hAnsi="宋体" w:cs="宋体" w:eastAsia="宋体" w:hint="default"/>
          <w:sz w:val="18"/>
          <w:szCs w:val="18"/>
        </w:rPr>
      </w:pPr>
      <w:r>
        <w:rPr/>
        <w:br w:type="column"/>
      </w: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p>
      <w:pPr>
        <w:spacing w:line="189" w:lineRule="exact" w:before="0"/>
        <w:ind w:left="0" w:right="0" w:firstLine="0"/>
        <w:jc w:val="right"/>
        <w:rPr>
          <w:rFonts w:ascii="宋体" w:hAnsi="宋体" w:cs="宋体" w:eastAsia="宋体" w:hint="default"/>
          <w:sz w:val="18"/>
          <w:szCs w:val="18"/>
        </w:rPr>
      </w:pPr>
      <w:r>
        <w:rPr>
          <w:rFonts w:ascii="宋体" w:hAnsi="宋体" w:cs="宋体" w:eastAsia="宋体" w:hint="default"/>
          <w:sz w:val="18"/>
          <w:szCs w:val="18"/>
        </w:rPr>
        <w:t>效</w:t>
      </w:r>
    </w:p>
    <w:p>
      <w:pPr>
        <w:spacing w:line="181" w:lineRule="exact" w:before="0"/>
        <w:ind w:left="913" w:right="0" w:firstLine="0"/>
        <w:jc w:val="left"/>
        <w:rPr>
          <w:rFonts w:ascii="宋体" w:hAnsi="宋体" w:cs="宋体" w:eastAsia="宋体" w:hint="default"/>
          <w:sz w:val="18"/>
          <w:szCs w:val="18"/>
        </w:rPr>
      </w:pPr>
      <w:r>
        <w:rPr/>
        <w:br w:type="column"/>
      </w:r>
      <w:r>
        <w:rPr>
          <w:rFonts w:ascii="宋体" w:hAnsi="宋体" w:cs="宋体" w:eastAsia="宋体" w:hint="default"/>
          <w:sz w:val="18"/>
          <w:szCs w:val="18"/>
        </w:rPr>
        <w:t>的情况。</w:t>
      </w:r>
    </w:p>
    <w:p>
      <w:pPr>
        <w:spacing w:after="0" w:line="181" w:lineRule="exact"/>
        <w:jc w:val="left"/>
        <w:rPr>
          <w:rFonts w:ascii="宋体" w:hAnsi="宋体" w:cs="宋体" w:eastAsia="宋体" w:hint="default"/>
          <w:sz w:val="18"/>
          <w:szCs w:val="18"/>
        </w:rPr>
        <w:sectPr>
          <w:type w:val="continuous"/>
          <w:pgSz w:w="16840" w:h="11910" w:orient="landscape"/>
          <w:pgMar w:top="1060" w:bottom="1160" w:left="900" w:right="840"/>
          <w:cols w:num="3" w:equalWidth="0">
            <w:col w:w="9093" w:space="40"/>
            <w:col w:w="1331" w:space="40"/>
            <w:col w:w="4596"/>
          </w:cols>
        </w:sectPr>
      </w:pPr>
    </w:p>
    <w:p>
      <w:pPr>
        <w:spacing w:line="240" w:lineRule="auto" w:before="0"/>
        <w:rPr>
          <w:rFonts w:ascii="宋体" w:hAnsi="宋体" w:cs="宋体" w:eastAsia="宋体" w:hint="default"/>
          <w:sz w:val="18"/>
          <w:szCs w:val="18"/>
        </w:rPr>
      </w:pPr>
      <w:r>
        <w:rPr/>
        <w:pict>
          <v:group style="position:absolute;margin-left:50.459999pt;margin-top:55.260006pt;width:741.5pt;height:479.8pt;mso-position-horizontal-relative:page;mso-position-vertical-relative:page;z-index:-1221712" coordorigin="1009,1105" coordsize="14830,9596">
            <v:group style="position:absolute;left:1410;top:1112;width:14020;height:2" coordorigin="1410,1112" coordsize="14020,2">
              <v:shape style="position:absolute;left:1410;top:1112;width:14020;height:2" coordorigin="1410,1112" coordsize="14020,0" path="m1410,1112l15430,1112e" filled="false" stroked="true" strokeweight=".72pt" strokecolor="#000000">
                <v:path arrowok="t"/>
              </v:shape>
            </v:group>
            <v:group style="position:absolute;left:1019;top:1144;width:1692;height:2850" coordorigin="1019,1144" coordsize="1692,2850">
              <v:shape style="position:absolute;left:1019;top:1144;width:1692;height:2850" coordorigin="1019,1144" coordsize="1692,2850" path="m1019,3993l2711,3993,2711,1144,1019,1144,1019,3993xe" filled="true" fillcolor="#d2d2d2" stroked="false">
                <v:path arrowok="t"/>
                <v:fill type="solid"/>
              </v:shape>
            </v:group>
            <v:group style="position:absolute;left:10027;top:1144;width:1125;height:2850" coordorigin="10027,1144" coordsize="1125,2850">
              <v:shape style="position:absolute;left:10027;top:1144;width:1125;height:2850" coordorigin="10027,1144" coordsize="1125,2850" path="m10027,3993l11151,3993,11151,1144,10027,1144,10027,3993xe" filled="true" fillcolor="#ffffff" stroked="false">
                <v:path arrowok="t"/>
                <v:fill type="solid"/>
              </v:shape>
            </v:group>
            <v:group style="position:absolute;left:1019;top:1139;width:1692;height:2" coordorigin="1019,1139" coordsize="1692,2">
              <v:shape style="position:absolute;left:1019;top:1139;width:1692;height:2" coordorigin="1019,1139" coordsize="1692,0" path="m1019,1139l2711,1139e" filled="false" stroked="true" strokeweight=".48pt" strokecolor="#000000">
                <v:path arrowok="t"/>
              </v:shape>
            </v:group>
            <v:group style="position:absolute;left:2720;top:1139;width:1268;height:2" coordorigin="2720,1139" coordsize="1268,2">
              <v:shape style="position:absolute;left:2720;top:1139;width:1268;height:2" coordorigin="2720,1139" coordsize="1268,0" path="m2720,1139l3988,1139e" filled="false" stroked="true" strokeweight=".48pt" strokecolor="#000000">
                <v:path arrowok="t"/>
              </v:shape>
            </v:group>
            <v:group style="position:absolute;left:3998;top:1139;width:840;height:2" coordorigin="3998,1139" coordsize="840,2">
              <v:shape style="position:absolute;left:3998;top:1139;width:840;height:2" coordorigin="3998,1139" coordsize="840,0" path="m3998,1139l4838,1139e" filled="false" stroked="true" strokeweight=".48pt" strokecolor="#000000">
                <v:path arrowok="t"/>
              </v:shape>
            </v:group>
            <v:group style="position:absolute;left:4847;top:1139;width:5170;height:2" coordorigin="4847,1139" coordsize="5170,2">
              <v:shape style="position:absolute;left:4847;top:1139;width:5170;height:2" coordorigin="4847,1139" coordsize="5170,0" path="m4847,1139l10017,1139e" filled="false" stroked="true" strokeweight=".48pt" strokecolor="#000000">
                <v:path arrowok="t"/>
              </v:shape>
            </v:group>
            <v:group style="position:absolute;left:10027;top:1139;width:1125;height:2" coordorigin="10027,1139" coordsize="1125,2">
              <v:shape style="position:absolute;left:10027;top:1139;width:1125;height:2" coordorigin="10027,1139" coordsize="1125,0" path="m10027,1139l11151,1139e" filled="false" stroked="true" strokeweight=".48pt" strokecolor="#000000">
                <v:path arrowok="t"/>
              </v:shape>
            </v:group>
            <v:group style="position:absolute;left:11161;top:1139;width:1125;height:2" coordorigin="11161,1139" coordsize="1125,2">
              <v:shape style="position:absolute;left:11161;top:1139;width:1125;height:2" coordorigin="11161,1139" coordsize="1125,0" path="m11161,1139l12285,1139e" filled="false" stroked="true" strokeweight=".48pt" strokecolor="#000000">
                <v:path arrowok="t"/>
              </v:shape>
            </v:group>
            <v:group style="position:absolute;left:12295;top:1139;width:3535;height:2" coordorigin="12295,1139" coordsize="3535,2">
              <v:shape style="position:absolute;left:12295;top:1139;width:3535;height:2" coordorigin="12295,1139" coordsize="3535,0" path="m12295,1139l15829,1139e" filled="false" stroked="true" strokeweight=".48pt" strokecolor="#000000">
                <v:path arrowok="t"/>
              </v:shape>
            </v:group>
            <v:group style="position:absolute;left:1019;top:3993;width:1692;height:3835" coordorigin="1019,3993" coordsize="1692,3835">
              <v:shape style="position:absolute;left:1019;top:3993;width:1692;height:3835" coordorigin="1019,3993" coordsize="1692,3835" path="m1019,7827l2711,7827,2711,3993,1019,3993,1019,7827xe" filled="true" fillcolor="#d2d2d2" stroked="false">
                <v:path arrowok="t"/>
                <v:fill type="solid"/>
              </v:shape>
            </v:group>
            <v:group style="position:absolute;left:10027;top:6267;width:1125;height:1560" coordorigin="10027,6267" coordsize="1125,1560">
              <v:shape style="position:absolute;left:10027;top:6267;width:1125;height:1560" coordorigin="10027,6267" coordsize="1125,1560" path="m10027,7827l11151,7827,11151,6267,10027,6267,10027,7827xe" filled="true" fillcolor="#ffffff" stroked="false">
                <v:path arrowok="t"/>
                <v:fill type="solid"/>
              </v:shape>
            </v:group>
            <v:group style="position:absolute;left:2720;top:3998;width:1268;height:2" coordorigin="2720,3998" coordsize="1268,2">
              <v:shape style="position:absolute;left:2720;top:3998;width:1268;height:2" coordorigin="2720,3998" coordsize="1268,0" path="m2720,3998l3988,3998e" filled="false" stroked="true" strokeweight=".48pt" strokecolor="#000000">
                <v:path arrowok="t"/>
              </v:shape>
            </v:group>
            <v:group style="position:absolute;left:3998;top:3998;width:840;height:2" coordorigin="3998,3998" coordsize="840,2">
              <v:shape style="position:absolute;left:3998;top:3998;width:840;height:2" coordorigin="3998,3998" coordsize="840,0" path="m3998,3998l4838,3998e" filled="false" stroked="true" strokeweight=".48pt" strokecolor="#000000">
                <v:path arrowok="t"/>
              </v:shape>
            </v:group>
            <v:group style="position:absolute;left:4847;top:3998;width:5170;height:2" coordorigin="4847,3998" coordsize="5170,2">
              <v:shape style="position:absolute;left:4847;top:3998;width:5170;height:2" coordorigin="4847,3998" coordsize="5170,0" path="m4847,3998l10017,3998e" filled="false" stroked="true" strokeweight=".48pt" strokecolor="#000000">
                <v:path arrowok="t"/>
              </v:shape>
            </v:group>
            <v:group style="position:absolute;left:10027;top:3998;width:1125;height:2" coordorigin="10027,3998" coordsize="1125,2">
              <v:shape style="position:absolute;left:10027;top:3998;width:1125;height:2" coordorigin="10027,3998" coordsize="1125,0" path="m10027,3998l11151,3998e" filled="false" stroked="true" strokeweight=".48pt" strokecolor="#000000">
                <v:path arrowok="t"/>
              </v:shape>
            </v:group>
            <v:group style="position:absolute;left:11161;top:3998;width:1125;height:2" coordorigin="11161,3998" coordsize="1125,2">
              <v:shape style="position:absolute;left:11161;top:3998;width:1125;height:2" coordorigin="11161,3998" coordsize="1125,0" path="m11161,3998l12285,3998e" filled="false" stroked="true" strokeweight=".48pt" strokecolor="#000000">
                <v:path arrowok="t"/>
              </v:shape>
            </v:group>
            <v:group style="position:absolute;left:12295;top:3998;width:3535;height:2" coordorigin="12295,3998" coordsize="3535,2">
              <v:shape style="position:absolute;left:12295;top:3998;width:3535;height:2" coordorigin="12295,3998" coordsize="3535,0" path="m12295,3998l15829,3998e" filled="false" stroked="true" strokeweight=".48pt" strokecolor="#000000">
                <v:path arrowok="t"/>
              </v:shape>
            </v:group>
            <v:group style="position:absolute;left:1019;top:7827;width:1692;height:2858" coordorigin="1019,7827" coordsize="1692,2858">
              <v:shape style="position:absolute;left:1019;top:7827;width:1692;height:2858" coordorigin="1019,7827" coordsize="1692,2858" path="m1019,10685l2711,10685,2711,7827,1019,7827,1019,10685xe" filled="true" fillcolor="#d2d2d2" stroked="false">
                <v:path arrowok="t"/>
                <v:fill type="solid"/>
              </v:shape>
            </v:group>
            <v:group style="position:absolute;left:10027;top:9613;width:1125;height:1072" coordorigin="10027,9613" coordsize="1125,1072">
              <v:shape style="position:absolute;left:10027;top:9613;width:1125;height:1072" coordorigin="10027,9613" coordsize="1125,1072" path="m10027,10685l11151,10685,11151,9613,10027,9613,10027,10685xe" filled="true" fillcolor="#ffffff" stroked="false">
                <v:path arrowok="t"/>
                <v:fill type="solid"/>
              </v:shape>
            </v:group>
            <v:group style="position:absolute;left:2720;top:7832;width:1268;height:2" coordorigin="2720,7832" coordsize="1268,2">
              <v:shape style="position:absolute;left:2720;top:7832;width:1268;height:2" coordorigin="2720,7832" coordsize="1268,0" path="m2720,7832l3988,7832e" filled="false" stroked="true" strokeweight=".48001pt" strokecolor="#000000">
                <v:path arrowok="t"/>
              </v:shape>
            </v:group>
            <v:group style="position:absolute;left:3998;top:7832;width:840;height:2" coordorigin="3998,7832" coordsize="840,2">
              <v:shape style="position:absolute;left:3998;top:7832;width:840;height:2" coordorigin="3998,7832" coordsize="840,0" path="m3998,7832l4838,7832e" filled="false" stroked="true" strokeweight=".48001pt" strokecolor="#000000">
                <v:path arrowok="t"/>
              </v:shape>
            </v:group>
            <v:group style="position:absolute;left:4847;top:7832;width:5170;height:2" coordorigin="4847,7832" coordsize="5170,2">
              <v:shape style="position:absolute;left:4847;top:7832;width:5170;height:2" coordorigin="4847,7832" coordsize="5170,0" path="m4847,7832l10017,7832e" filled="false" stroked="true" strokeweight=".48001pt" strokecolor="#000000">
                <v:path arrowok="t"/>
              </v:shape>
            </v:group>
            <v:group style="position:absolute;left:10027;top:7832;width:1125;height:2" coordorigin="10027,7832" coordsize="1125,2">
              <v:shape style="position:absolute;left:10027;top:7832;width:1125;height:2" coordorigin="10027,7832" coordsize="1125,0" path="m10027,7832l11151,7832e" filled="false" stroked="true" strokeweight=".48001pt" strokecolor="#000000">
                <v:path arrowok="t"/>
              </v:shape>
            </v:group>
            <v:group style="position:absolute;left:11161;top:7832;width:1125;height:2" coordorigin="11161,7832" coordsize="1125,2">
              <v:shape style="position:absolute;left:11161;top:7832;width:1125;height:2" coordorigin="11161,7832" coordsize="1125,0" path="m11161,7832l12285,7832e" filled="false" stroked="true" strokeweight=".48001pt" strokecolor="#000000">
                <v:path arrowok="t"/>
              </v:shape>
            </v:group>
            <v:group style="position:absolute;left:12295;top:7832;width:3535;height:2" coordorigin="12295,7832" coordsize="3535,2">
              <v:shape style="position:absolute;left:12295;top:7832;width:3535;height:2" coordorigin="12295,7832" coordsize="3535,0" path="m12295,7832l15829,7832e" filled="false" stroked="true" strokeweight=".48001pt" strokecolor="#000000">
                <v:path arrowok="t"/>
              </v:shape>
            </v:group>
            <v:group style="position:absolute;left:1014;top:1134;width:2;height:9562" coordorigin="1014,1134" coordsize="2,9562">
              <v:shape style="position:absolute;left:1014;top:1134;width:2;height:9562" coordorigin="1014,1134" coordsize="0,9562" path="m1014,1134l1014,10696e" filled="false" stroked="true" strokeweight=".48pt" strokecolor="#000000">
                <v:path arrowok="t"/>
              </v:shape>
            </v:group>
            <v:group style="position:absolute;left:1019;top:10691;width:1692;height:2" coordorigin="1019,10691" coordsize="1692,2">
              <v:shape style="position:absolute;left:1019;top:10691;width:1692;height:2" coordorigin="1019,10691" coordsize="1692,0" path="m1019,10691l2711,10691e" filled="false" stroked="true" strokeweight=".47998pt" strokecolor="#000000">
                <v:path arrowok="t"/>
              </v:shape>
            </v:group>
            <v:group style="position:absolute;left:2716;top:1134;width:2;height:9562" coordorigin="2716,1134" coordsize="2,9562">
              <v:shape style="position:absolute;left:2716;top:1134;width:2;height:9562" coordorigin="2716,1134" coordsize="0,9562" path="m2716,1134l2716,10696e" filled="false" stroked="true" strokeweight=".48001pt" strokecolor="#000000">
                <v:path arrowok="t"/>
              </v:shape>
            </v:group>
            <v:group style="position:absolute;left:2720;top:10691;width:1268;height:2" coordorigin="2720,10691" coordsize="1268,2">
              <v:shape style="position:absolute;left:2720;top:10691;width:1268;height:2" coordorigin="2720,10691" coordsize="1268,0" path="m2720,10691l3988,10691e" filled="false" stroked="true" strokeweight=".47998pt" strokecolor="#000000">
                <v:path arrowok="t"/>
              </v:shape>
            </v:group>
            <v:group style="position:absolute;left:3993;top:1134;width:2;height:9562" coordorigin="3993,1134" coordsize="2,9562">
              <v:shape style="position:absolute;left:3993;top:1134;width:2;height:9562" coordorigin="3993,1134" coordsize="0,9562" path="m3993,1134l3993,10696e" filled="false" stroked="true" strokeweight=".48pt" strokecolor="#000000">
                <v:path arrowok="t"/>
              </v:shape>
            </v:group>
            <v:group style="position:absolute;left:3998;top:10691;width:840;height:2" coordorigin="3998,10691" coordsize="840,2">
              <v:shape style="position:absolute;left:3998;top:10691;width:840;height:2" coordorigin="3998,10691" coordsize="840,0" path="m3998,10691l4838,10691e" filled="false" stroked="true" strokeweight=".47998pt" strokecolor="#000000">
                <v:path arrowok="t"/>
              </v:shape>
            </v:group>
            <v:group style="position:absolute;left:4842;top:1134;width:2;height:9562" coordorigin="4842,1134" coordsize="2,9562">
              <v:shape style="position:absolute;left:4842;top:1134;width:2;height:9562" coordorigin="4842,1134" coordsize="0,9562" path="m4842,1134l4842,10696e" filled="false" stroked="true" strokeweight=".48001pt" strokecolor="#000000">
                <v:path arrowok="t"/>
              </v:shape>
            </v:group>
            <v:group style="position:absolute;left:4847;top:10691;width:5170;height:2" coordorigin="4847,10691" coordsize="5170,2">
              <v:shape style="position:absolute;left:4847;top:10691;width:5170;height:2" coordorigin="4847,10691" coordsize="5170,0" path="m4847,10691l10017,10691e" filled="false" stroked="true" strokeweight=".47998pt" strokecolor="#000000">
                <v:path arrowok="t"/>
              </v:shape>
            </v:group>
            <v:group style="position:absolute;left:10022;top:1134;width:2;height:9562" coordorigin="10022,1134" coordsize="2,9562">
              <v:shape style="position:absolute;left:10022;top:1134;width:2;height:9562" coordorigin="10022,1134" coordsize="0,9562" path="m10022,1134l10022,10696e" filled="false" stroked="true" strokeweight=".48001pt" strokecolor="#000000">
                <v:path arrowok="t"/>
              </v:shape>
            </v:group>
            <v:group style="position:absolute;left:10027;top:10691;width:1125;height:2" coordorigin="10027,10691" coordsize="1125,2">
              <v:shape style="position:absolute;left:10027;top:10691;width:1125;height:2" coordorigin="10027,10691" coordsize="1125,0" path="m10027,10691l11151,10691e" filled="false" stroked="true" strokeweight=".47998pt" strokecolor="#000000">
                <v:path arrowok="t"/>
              </v:shape>
            </v:group>
            <v:group style="position:absolute;left:11156;top:1134;width:2;height:9562" coordorigin="11156,1134" coordsize="2,9562">
              <v:shape style="position:absolute;left:11156;top:1134;width:2;height:9562" coordorigin="11156,1134" coordsize="0,9562" path="m11156,1134l11156,10696e" filled="false" stroked="true" strokeweight=".47998pt" strokecolor="#000000">
                <v:path arrowok="t"/>
              </v:shape>
            </v:group>
            <v:group style="position:absolute;left:11161;top:10691;width:1125;height:2" coordorigin="11161,10691" coordsize="1125,2">
              <v:shape style="position:absolute;left:11161;top:10691;width:1125;height:2" coordorigin="11161,10691" coordsize="1125,0" path="m11161,10691l12285,10691e" filled="false" stroked="true" strokeweight=".47998pt" strokecolor="#000000">
                <v:path arrowok="t"/>
              </v:shape>
            </v:group>
            <v:group style="position:absolute;left:12290;top:1134;width:2;height:9562" coordorigin="12290,1134" coordsize="2,9562">
              <v:shape style="position:absolute;left:12290;top:1134;width:2;height:9562" coordorigin="12290,1134" coordsize="0,9562" path="m12290,1134l12290,10696e" filled="false" stroked="true" strokeweight=".47998pt" strokecolor="#000000">
                <v:path arrowok="t"/>
              </v:shape>
            </v:group>
            <v:group style="position:absolute;left:12295;top:10691;width:3535;height:2" coordorigin="12295,10691" coordsize="3535,2">
              <v:shape style="position:absolute;left:12295;top:10691;width:3535;height:2" coordorigin="12295,10691" coordsize="3535,0" path="m12295,10691l15829,10691e" filled="false" stroked="true" strokeweight=".47998pt" strokecolor="#000000">
                <v:path arrowok="t"/>
              </v:shape>
            </v:group>
            <v:group style="position:absolute;left:15834;top:1134;width:2;height:9562" coordorigin="15834,1134" coordsize="2,9562">
              <v:shape style="position:absolute;left:15834;top:1134;width:2;height:9562" coordorigin="15834,1134" coordsize="0,9562" path="m15834,1134l15834,10696e" filled="false" stroked="true" strokeweight=".48004pt" strokecolor="#000000">
                <v:path arrowok="t"/>
              </v:shape>
            </v:group>
            <w10:wrap type="none"/>
          </v:group>
        </w:pic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tabs>
          <w:tab w:pos="3120" w:val="left" w:leader="none"/>
        </w:tabs>
        <w:spacing w:before="157"/>
        <w:ind w:left="1844" w:right="-20" w:firstLine="0"/>
        <w:jc w:val="left"/>
        <w:rPr>
          <w:rFonts w:ascii="宋体" w:hAnsi="宋体" w:cs="宋体" w:eastAsia="宋体" w:hint="default"/>
          <w:sz w:val="18"/>
          <w:szCs w:val="18"/>
        </w:rPr>
      </w:pPr>
      <w:r>
        <w:rPr>
          <w:rFonts w:ascii="宋体" w:hAnsi="宋体" w:cs="宋体" w:eastAsia="宋体" w:hint="default"/>
          <w:sz w:val="18"/>
          <w:szCs w:val="18"/>
        </w:rPr>
        <w:t>毕会静</w:t>
        <w:tab/>
        <w:t>其他承诺</w:t>
      </w:r>
    </w:p>
    <w:p>
      <w:pPr>
        <w:spacing w:line="312" w:lineRule="auto" w:before="107"/>
        <w:ind w:left="89" w:right="-17" w:firstLine="0"/>
        <w:jc w:val="left"/>
        <w:rPr>
          <w:rFonts w:ascii="宋体" w:hAnsi="宋体" w:cs="宋体" w:eastAsia="宋体" w:hint="default"/>
          <w:sz w:val="18"/>
          <w:szCs w:val="18"/>
        </w:rPr>
      </w:pPr>
      <w:r>
        <w:rPr/>
        <w:br w:type="column"/>
      </w:r>
      <w:r>
        <w:rPr>
          <w:rFonts w:ascii="宋体" w:hAnsi="宋体" w:cs="宋体" w:eastAsia="宋体" w:hint="default"/>
          <w:sz w:val="18"/>
          <w:szCs w:val="18"/>
        </w:rPr>
        <w:t>根据中国证监会《关于首发及再融资、重大资产重组摊薄即期回 </w:t>
      </w:r>
      <w:r>
        <w:rPr>
          <w:rFonts w:ascii="宋体" w:hAnsi="宋体" w:cs="宋体" w:eastAsia="宋体" w:hint="default"/>
          <w:spacing w:val="-4"/>
          <w:sz w:val="18"/>
          <w:szCs w:val="18"/>
        </w:rPr>
        <w:t>报有关事项的指导意见》（证监会公告</w:t>
      </w:r>
      <w:r>
        <w:rPr>
          <w:rFonts w:ascii="Times New Roman" w:hAnsi="Times New Roman" w:cs="Times New Roman" w:eastAsia="Times New Roman" w:hint="default"/>
          <w:spacing w:val="-4"/>
          <w:sz w:val="18"/>
          <w:szCs w:val="18"/>
        </w:rPr>
        <w:t>[2015]31</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号）等文件的有关 规定，公司就</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年度非公开发行股票事宜对即期回报摊薄的影 响进行了认真分析，并提出了具体的填补回报措施，作为相关责 任主体，公司全体董事、高级管理人员对公司填补回报措施能够 </w:t>
      </w:r>
      <w:r>
        <w:rPr>
          <w:rFonts w:ascii="宋体" w:hAnsi="宋体" w:cs="宋体" w:eastAsia="宋体" w:hint="default"/>
          <w:spacing w:val="-4"/>
          <w:sz w:val="18"/>
          <w:szCs w:val="18"/>
        </w:rPr>
        <w:t>得到切实履行作出了承诺，具体承诺如下：（一）承诺不无偿或以</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z w:val="18"/>
          <w:szCs w:val="18"/>
        </w:rPr>
        <w:t>不公平条件向其他单位或者个人输送利益，也不采用其他方式损 </w:t>
      </w:r>
      <w:r>
        <w:rPr>
          <w:rFonts w:ascii="宋体" w:hAnsi="宋体" w:cs="宋体" w:eastAsia="宋体" w:hint="default"/>
          <w:spacing w:val="-4"/>
          <w:sz w:val="18"/>
          <w:szCs w:val="18"/>
        </w:rPr>
        <w:t>害公司利益。（二）承诺对董事和高级管理人员的职务消费行为进</w:t>
      </w:r>
    </w:p>
    <w:p>
      <w:pPr>
        <w:spacing w:before="22"/>
        <w:ind w:left="89" w:right="-17" w:firstLine="0"/>
        <w:jc w:val="left"/>
        <w:rPr>
          <w:rFonts w:ascii="宋体" w:hAnsi="宋体" w:cs="宋体" w:eastAsia="宋体" w:hint="default"/>
          <w:sz w:val="18"/>
          <w:szCs w:val="18"/>
        </w:rPr>
      </w:pPr>
      <w:r>
        <w:rPr/>
        <w:pict>
          <v:shape style="position:absolute;margin-left:297.140015pt;margin-top:-37.408283pt;width:260.45pt;height:53.6pt;mso-position-horizontal-relative:page;mso-position-vertical-relative:paragraph;z-index:-1221736" type="#_x0000_t202" filled="false" stroked="false">
            <v:textbox inset="0,0,0,0">
              <w:txbxContent>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22"/>
                      <w:szCs w:val="22"/>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承诺不动用公司资产从事与其履行职责无关的投资、</w:t>
                  </w:r>
                </w:p>
              </w:txbxContent>
            </v:textbox>
            <w10:wrap type="none"/>
          </v:shape>
        </w:pict>
      </w:r>
      <w:r>
        <w:rPr>
          <w:rFonts w:ascii="宋体" w:hAnsi="宋体" w:cs="宋体" w:eastAsia="宋体" w:hint="default"/>
          <w:sz w:val="18"/>
          <w:szCs w:val="18"/>
        </w:rPr>
        <w:t>行约束</w:t>
      </w:r>
      <w:r>
        <w:rPr>
          <w:rFonts w:ascii="宋体" w:hAnsi="宋体" w:cs="宋体" w:eastAsia="宋体" w:hint="default"/>
          <w:spacing w:val="-139"/>
          <w:sz w:val="18"/>
          <w:szCs w:val="18"/>
        </w:rPr>
        <w:t>。</w:t>
      </w:r>
      <w:r>
        <w:rPr>
          <w:rFonts w:ascii="宋体" w:hAnsi="宋体" w:cs="宋体" w:eastAsia="宋体" w:hint="default"/>
          <w:sz w:val="18"/>
          <w:szCs w:val="18"/>
        </w:rPr>
        <w:t>（三）</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
        <w:rPr>
          <w:rFonts w:ascii="宋体" w:hAnsi="宋体" w:cs="宋体" w:eastAsia="宋体" w:hint="default"/>
          <w:sz w:val="18"/>
          <w:szCs w:val="18"/>
        </w:rPr>
      </w:pPr>
    </w:p>
    <w:p>
      <w:pPr>
        <w:spacing w:before="0"/>
        <w:ind w:left="16" w:right="-19"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spacing w:before="64"/>
        <w:ind w:left="16" w:right="-19"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24"/>
          <w:szCs w:val="24"/>
        </w:rPr>
      </w:pPr>
    </w:p>
    <w:p>
      <w:pPr>
        <w:spacing w:before="0"/>
        <w:ind w:left="60" w:right="-19"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spacing w:line="302" w:lineRule="auto" w:before="63"/>
        <w:ind w:left="60" w:right="-19"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r>
        <w:rPr>
          <w:rFonts w:ascii="Times New Roman" w:hAnsi="Times New Roman" w:cs="Times New Roman" w:eastAsia="Times New Roman" w:hint="default"/>
          <w:sz w:val="18"/>
          <w:szCs w:val="18"/>
        </w:rPr>
        <w:t>-</w:t>
      </w:r>
      <w:r>
        <w:rPr>
          <w:rFonts w:ascii="宋体" w:hAnsi="宋体" w:cs="宋体" w:eastAsia="宋体" w:hint="default"/>
          <w:sz w:val="18"/>
          <w:szCs w:val="18"/>
        </w:rPr>
        <w:t>长期有 效</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
        <w:rPr>
          <w:rFonts w:ascii="宋体" w:hAnsi="宋体" w:cs="宋体" w:eastAsia="宋体" w:hint="default"/>
          <w:sz w:val="18"/>
          <w:szCs w:val="18"/>
        </w:rPr>
      </w:pPr>
    </w:p>
    <w:p>
      <w:pPr>
        <w:spacing w:line="319" w:lineRule="auto" w:before="0"/>
        <w:ind w:left="89" w:right="241" w:firstLine="0"/>
        <w:jc w:val="left"/>
        <w:rPr>
          <w:rFonts w:ascii="宋体" w:hAnsi="宋体" w:cs="宋体" w:eastAsia="宋体" w:hint="default"/>
          <w:sz w:val="18"/>
          <w:szCs w:val="18"/>
        </w:rPr>
      </w:pPr>
      <w:r>
        <w:rPr>
          <w:rFonts w:ascii="宋体" w:hAnsi="宋体" w:cs="宋体" w:eastAsia="宋体" w:hint="default"/>
          <w:sz w:val="18"/>
          <w:szCs w:val="18"/>
        </w:rPr>
        <w:t>上述承诺人严格信守承诺，未发生违反承诺 的情况。</w:t>
      </w:r>
    </w:p>
    <w:p>
      <w:pPr>
        <w:spacing w:after="0" w:line="319" w:lineRule="auto"/>
        <w:jc w:val="left"/>
        <w:rPr>
          <w:rFonts w:ascii="宋体" w:hAnsi="宋体" w:cs="宋体" w:eastAsia="宋体" w:hint="default"/>
          <w:sz w:val="18"/>
          <w:szCs w:val="18"/>
        </w:rPr>
        <w:sectPr>
          <w:type w:val="continuous"/>
          <w:pgSz w:w="16840" w:h="11910" w:orient="landscape"/>
          <w:pgMar w:top="1060" w:bottom="1160" w:left="900" w:right="840"/>
          <w:cols w:num="5" w:equalWidth="0">
            <w:col w:w="3841" w:space="40"/>
            <w:col w:w="5213" w:space="40"/>
            <w:col w:w="1050" w:space="40"/>
            <w:col w:w="1066" w:space="40"/>
            <w:col w:w="3770"/>
          </w:cols>
        </w:sectPr>
      </w:pPr>
    </w:p>
    <w:p>
      <w:pPr>
        <w:spacing w:line="240" w:lineRule="auto" w:before="4"/>
        <w:rPr>
          <w:rFonts w:ascii="Times New Roman" w:hAnsi="Times New Roman" w:cs="Times New Roman" w:eastAsia="Times New Roman" w:hint="default"/>
          <w:sz w:val="3"/>
          <w:szCs w:val="3"/>
        </w:rPr>
      </w:pPr>
      <w:r>
        <w:rPr/>
        <w:pict>
          <v:shape style="position:absolute;margin-left:297.140015pt;margin-top:219.740005pt;width:260.45pt;height:78.05pt;mso-position-horizontal-relative:page;mso-position-vertical-relative:page;z-index:-1221664" type="#_x0000_t202" filled="false" stroked="false">
            <v:textbox inset="0,0,0,0">
              <w:txbxContent>
                <w:p>
                  <w:pPr>
                    <w:spacing w:line="240" w:lineRule="auto" w:before="6"/>
                    <w:rPr>
                      <w:rFonts w:ascii="Times New Roman" w:hAnsi="Times New Roman" w:cs="Times New Roman" w:eastAsia="Times New Roman" w:hint="default"/>
                      <w:sz w:val="24"/>
                      <w:szCs w:val="24"/>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承诺不动用公司资产从事与其履行职责无关的投资、</w:t>
                  </w:r>
                </w:p>
              </w:txbxContent>
            </v:textbox>
            <w10:wrap type="none"/>
          </v:shape>
        </w:pict>
      </w:r>
    </w:p>
    <w:tbl>
      <w:tblPr>
        <w:tblW w:w="0" w:type="auto"/>
        <w:jc w:val="left"/>
        <w:tblInd w:w="109" w:type="dxa"/>
        <w:tblLayout w:type="fixed"/>
        <w:tblCellMar>
          <w:top w:w="0" w:type="dxa"/>
          <w:left w:w="0" w:type="dxa"/>
          <w:bottom w:w="0" w:type="dxa"/>
          <w:right w:w="0" w:type="dxa"/>
        </w:tblCellMar>
        <w:tblLook w:val="01E0"/>
      </w:tblPr>
      <w:tblGrid>
        <w:gridCol w:w="1690"/>
        <w:gridCol w:w="1289"/>
        <w:gridCol w:w="850"/>
        <w:gridCol w:w="5180"/>
        <w:gridCol w:w="1134"/>
        <w:gridCol w:w="1134"/>
        <w:gridCol w:w="3544"/>
      </w:tblGrid>
      <w:tr>
        <w:trPr>
          <w:trHeight w:val="1001" w:hRule="exact"/>
        </w:trPr>
        <w:tc>
          <w:tcPr>
            <w:tcW w:w="1690" w:type="dxa"/>
            <w:vMerge w:val="restart"/>
            <w:tcBorders>
              <w:top w:val="single" w:sz="15" w:space="0" w:color="000000"/>
              <w:left w:val="single" w:sz="4" w:space="0" w:color="000000"/>
              <w:right w:val="single" w:sz="4" w:space="0" w:color="000000"/>
            </w:tcBorders>
            <w:shd w:val="clear" w:color="auto" w:fill="D2D2D2"/>
          </w:tcPr>
          <w:p>
            <w:pPr/>
          </w:p>
        </w:tc>
        <w:tc>
          <w:tcPr>
            <w:tcW w:w="1289" w:type="dxa"/>
            <w:tcBorders>
              <w:top w:val="single" w:sz="15" w:space="0" w:color="000000"/>
              <w:left w:val="single" w:sz="4" w:space="0" w:color="000000"/>
              <w:bottom w:val="single" w:sz="4" w:space="0" w:color="000000"/>
              <w:right w:val="single" w:sz="4" w:space="0" w:color="000000"/>
            </w:tcBorders>
          </w:tcPr>
          <w:p>
            <w:pPr/>
          </w:p>
        </w:tc>
        <w:tc>
          <w:tcPr>
            <w:tcW w:w="850" w:type="dxa"/>
            <w:tcBorders>
              <w:top w:val="single" w:sz="15" w:space="0" w:color="000000"/>
              <w:left w:val="single" w:sz="4" w:space="0" w:color="000000"/>
              <w:bottom w:val="single" w:sz="4" w:space="0" w:color="000000"/>
              <w:right w:val="single" w:sz="4" w:space="0" w:color="000000"/>
            </w:tcBorders>
          </w:tcPr>
          <w:p>
            <w:pPr/>
          </w:p>
        </w:tc>
        <w:tc>
          <w:tcPr>
            <w:tcW w:w="5180" w:type="dxa"/>
            <w:tcBorders>
              <w:top w:val="single" w:sz="15" w:space="0" w:color="000000"/>
              <w:left w:val="single" w:sz="4" w:space="0" w:color="000000"/>
              <w:bottom w:val="single" w:sz="4" w:space="0" w:color="000000"/>
              <w:right w:val="single" w:sz="4" w:space="0" w:color="000000"/>
            </w:tcBorders>
          </w:tcPr>
          <w:p>
            <w:pPr>
              <w:pStyle w:val="TableParagraph"/>
              <w:spacing w:line="319" w:lineRule="auto" w:before="10"/>
              <w:ind w:left="22" w:right="22"/>
              <w:jc w:val="both"/>
              <w:rPr>
                <w:rFonts w:ascii="宋体" w:hAnsi="宋体" w:cs="宋体" w:eastAsia="宋体" w:hint="default"/>
                <w:sz w:val="18"/>
                <w:szCs w:val="18"/>
              </w:rPr>
            </w:pPr>
            <w:r>
              <w:rPr>
                <w:rFonts w:ascii="宋体" w:hAnsi="宋体" w:cs="宋体" w:eastAsia="宋体" w:hint="default"/>
                <w:spacing w:val="-4"/>
                <w:sz w:val="18"/>
                <w:szCs w:val="18"/>
              </w:rPr>
              <w:t>消费活动。（四）承诺由董事会或薪酬委员会制定的薪酬制度与公</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pacing w:val="-4"/>
                <w:sz w:val="18"/>
                <w:szCs w:val="18"/>
              </w:rPr>
              <w:t>司填补回报措施的执行情况相挂钩。（五）承诺拟公布的公司股权</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激励的行权条件与公司填补回报措施的执行情况相挂钩。</w:t>
            </w:r>
          </w:p>
        </w:tc>
        <w:tc>
          <w:tcPr>
            <w:tcW w:w="1134" w:type="dxa"/>
            <w:tcBorders>
              <w:top w:val="single" w:sz="15" w:space="0" w:color="000000"/>
              <w:left w:val="single" w:sz="4" w:space="0" w:color="000000"/>
              <w:bottom w:val="single" w:sz="4" w:space="0" w:color="000000"/>
              <w:right w:val="single" w:sz="4" w:space="0" w:color="000000"/>
            </w:tcBorders>
          </w:tcPr>
          <w:p>
            <w:pPr/>
          </w:p>
        </w:tc>
        <w:tc>
          <w:tcPr>
            <w:tcW w:w="1134" w:type="dxa"/>
            <w:tcBorders>
              <w:top w:val="single" w:sz="15" w:space="0" w:color="000000"/>
              <w:left w:val="single" w:sz="4" w:space="0" w:color="000000"/>
              <w:bottom w:val="single" w:sz="4" w:space="0" w:color="000000"/>
              <w:right w:val="single" w:sz="4" w:space="0" w:color="000000"/>
            </w:tcBorders>
          </w:tcPr>
          <w:p>
            <w:pPr/>
          </w:p>
        </w:tc>
        <w:tc>
          <w:tcPr>
            <w:tcW w:w="3544" w:type="dxa"/>
            <w:tcBorders>
              <w:top w:val="single" w:sz="15" w:space="0" w:color="000000"/>
              <w:left w:val="single" w:sz="4" w:space="0" w:color="000000"/>
              <w:bottom w:val="single" w:sz="4" w:space="0" w:color="000000"/>
              <w:right w:val="single" w:sz="4" w:space="0" w:color="000000"/>
            </w:tcBorders>
          </w:tcPr>
          <w:p>
            <w:pPr/>
          </w:p>
        </w:tc>
      </w:tr>
      <w:tr>
        <w:trPr>
          <w:trHeight w:val="3834" w:hRule="exact"/>
        </w:trPr>
        <w:tc>
          <w:tcPr>
            <w:tcW w:w="1690" w:type="dxa"/>
            <w:vMerge/>
            <w:tcBorders>
              <w:left w:val="single" w:sz="4" w:space="0" w:color="000000"/>
              <w:bottom w:val="single" w:sz="4" w:space="0" w:color="000000"/>
              <w:right w:val="single" w:sz="4" w:space="0" w:color="000000"/>
            </w:tcBorders>
            <w:shd w:val="clear" w:color="auto" w:fill="D2D2D2"/>
          </w:tcPr>
          <w:p>
            <w:pP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1"/>
              <w:ind w:left="35" w:right="0"/>
              <w:jc w:val="left"/>
              <w:rPr>
                <w:rFonts w:ascii="宋体" w:hAnsi="宋体" w:cs="宋体" w:eastAsia="宋体" w:hint="default"/>
                <w:sz w:val="18"/>
                <w:szCs w:val="18"/>
              </w:rPr>
            </w:pPr>
            <w:r>
              <w:rPr>
                <w:rFonts w:ascii="宋体" w:hAnsi="宋体" w:cs="宋体" w:eastAsia="宋体" w:hint="default"/>
                <w:spacing w:val="-6"/>
                <w:sz w:val="18"/>
                <w:szCs w:val="18"/>
              </w:rPr>
              <w:t>司志刚、刘汴生</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1"/>
              <w:ind w:left="22" w:right="0"/>
              <w:jc w:val="left"/>
              <w:rPr>
                <w:rFonts w:ascii="宋体" w:hAnsi="宋体" w:cs="宋体" w:eastAsia="宋体" w:hint="default"/>
                <w:sz w:val="18"/>
                <w:szCs w:val="18"/>
              </w:rPr>
            </w:pPr>
            <w:r>
              <w:rPr>
                <w:rFonts w:ascii="宋体" w:hAnsi="宋体" w:cs="宋体" w:eastAsia="宋体" w:hint="default"/>
                <w:sz w:val="18"/>
                <w:szCs w:val="18"/>
              </w:rPr>
              <w:t>其他承诺</w:t>
            </w:r>
          </w:p>
        </w:tc>
        <w:tc>
          <w:tcPr>
            <w:tcW w:w="5180"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2" w:right="22"/>
              <w:jc w:val="left"/>
              <w:rPr>
                <w:rFonts w:ascii="宋体" w:hAnsi="宋体" w:cs="宋体" w:eastAsia="宋体" w:hint="default"/>
                <w:sz w:val="18"/>
                <w:szCs w:val="18"/>
              </w:rPr>
            </w:pPr>
            <w:r>
              <w:rPr>
                <w:rFonts w:ascii="宋体" w:hAnsi="宋体" w:cs="宋体" w:eastAsia="宋体" w:hint="default"/>
                <w:sz w:val="18"/>
                <w:szCs w:val="18"/>
              </w:rPr>
              <w:t>根据中国证监会《关于首发及再融资、重大资产重组摊薄即期回 </w:t>
            </w:r>
            <w:r>
              <w:rPr>
                <w:rFonts w:ascii="宋体" w:hAnsi="宋体" w:cs="宋体" w:eastAsia="宋体" w:hint="default"/>
                <w:spacing w:val="-4"/>
                <w:sz w:val="18"/>
                <w:szCs w:val="18"/>
              </w:rPr>
              <w:t>报有关事项的指导意见》（证监会公告</w:t>
            </w:r>
            <w:r>
              <w:rPr>
                <w:rFonts w:ascii="Times New Roman" w:hAnsi="Times New Roman" w:cs="Times New Roman" w:eastAsia="Times New Roman" w:hint="default"/>
                <w:spacing w:val="-4"/>
                <w:sz w:val="18"/>
                <w:szCs w:val="18"/>
              </w:rPr>
              <w:t>[2015]31</w:t>
            </w:r>
            <w:r>
              <w:rPr>
                <w:rFonts w:ascii="Times New Roman" w:hAnsi="Times New Roman" w:cs="Times New Roman" w:eastAsia="Times New Roman" w:hint="default"/>
                <w:sz w:val="18"/>
                <w:szCs w:val="18"/>
              </w:rPr>
              <w:t> </w:t>
            </w:r>
            <w:r>
              <w:rPr>
                <w:rFonts w:ascii="宋体" w:hAnsi="宋体" w:cs="宋体" w:eastAsia="宋体" w:hint="default"/>
                <w:sz w:val="18"/>
                <w:szCs w:val="18"/>
              </w:rPr>
              <w:t>号）等文件的有关</w:t>
            </w:r>
            <w:r>
              <w:rPr>
                <w:rFonts w:ascii="宋体" w:hAnsi="宋体" w:cs="宋体" w:eastAsia="宋体" w:hint="default"/>
                <w:spacing w:val="-81"/>
                <w:sz w:val="18"/>
                <w:szCs w:val="18"/>
              </w:rPr>
              <w:t> </w:t>
            </w:r>
            <w:r>
              <w:rPr>
                <w:rFonts w:ascii="宋体" w:hAnsi="宋体" w:cs="宋体" w:eastAsia="宋体" w:hint="default"/>
                <w:sz w:val="18"/>
                <w:szCs w:val="18"/>
              </w:rPr>
              <w:t>规定，公司就</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年度非公开发行股票事宜对即期回报摊薄的影 响进行了认真分析，并提出了具体的填补回报措施，作为相关责 任主体，公司全体董事、高级管理人员对公司填补回报措施能够 </w:t>
            </w:r>
            <w:r>
              <w:rPr>
                <w:rFonts w:ascii="宋体" w:hAnsi="宋体" w:cs="宋体" w:eastAsia="宋体" w:hint="default"/>
                <w:spacing w:val="-4"/>
                <w:sz w:val="18"/>
                <w:szCs w:val="18"/>
              </w:rPr>
              <w:t>得到切实履行作出了承诺，具体承诺如下：（一）承诺不无偿或以</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z w:val="18"/>
                <w:szCs w:val="18"/>
              </w:rPr>
              <w:t>不公平条件向其他单位或者个人输送利益，也不采用其他方式损 </w:t>
            </w:r>
            <w:r>
              <w:rPr>
                <w:rFonts w:ascii="宋体" w:hAnsi="宋体" w:cs="宋体" w:eastAsia="宋体" w:hint="default"/>
                <w:spacing w:val="-4"/>
                <w:sz w:val="18"/>
                <w:szCs w:val="18"/>
              </w:rPr>
              <w:t>害公司利益。（二）承诺对董事和高级管理人员的职务消费行为进</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pacing w:val="-20"/>
                <w:sz w:val="18"/>
                <w:szCs w:val="18"/>
              </w:rPr>
              <w:t>行约束。（三）</w:t>
            </w:r>
            <w:r>
              <w:rPr>
                <w:rFonts w:ascii="宋体" w:hAnsi="宋体" w:cs="宋体" w:eastAsia="宋体" w:hint="default"/>
                <w:sz w:val="18"/>
                <w:szCs w:val="18"/>
              </w:rPr>
              <w:t> </w:t>
            </w:r>
            <w:r>
              <w:rPr>
                <w:rFonts w:ascii="宋体" w:hAnsi="宋体" w:cs="宋体" w:eastAsia="宋体" w:hint="default"/>
                <w:spacing w:val="-4"/>
                <w:sz w:val="18"/>
                <w:szCs w:val="18"/>
              </w:rPr>
              <w:t>消费活动。（四）承诺由董事会或薪酬委员会制定的薪酬制度与公</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pacing w:val="-4"/>
                <w:sz w:val="18"/>
                <w:szCs w:val="18"/>
              </w:rPr>
              <w:t>司填补回报措施的执行情况相挂钩。（五）承诺拟公布的公司股权</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激励的行权条件与公司填补回报措施的执行情况相挂钩。</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3"/>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
              <w:ind w:right="0"/>
              <w:jc w:val="left"/>
              <w:rPr>
                <w:rFonts w:ascii="Times New Roman" w:hAnsi="Times New Roman" w:cs="Times New Roman" w:eastAsia="Times New Roman" w:hint="default"/>
                <w:sz w:val="16"/>
                <w:szCs w:val="16"/>
              </w:rPr>
            </w:pPr>
          </w:p>
          <w:p>
            <w:pPr>
              <w:pStyle w:val="TableParagraph"/>
              <w:spacing w:line="1560" w:lineRule="exact"/>
              <w:ind w:right="-51"/>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30"/>
                <w:sz w:val="20"/>
                <w:szCs w:val="20"/>
              </w:rPr>
              <w:pict>
                <v:group style="width:56.25pt;height:78.05pt;mso-position-horizontal-relative:char;mso-position-vertical-relative:line" coordorigin="0,0" coordsize="1125,1561">
                  <v:group style="position:absolute;left:0;top:0;width:1125;height:1561" coordorigin="0,0" coordsize="1125,1561">
                    <v:shape style="position:absolute;left:0;top:0;width:1125;height:1561" coordorigin="0,0" coordsize="1125,1561" path="m0,1560l1124,1560,1124,0,0,0,0,1560xe" filled="true" fillcolor="#ffffff" stroked="false">
                      <v:path arrowok="t"/>
                      <v:fill type="solid"/>
                    </v:shape>
                  </v:group>
                </v:group>
              </w:pict>
            </w:r>
            <w:r>
              <w:rPr>
                <w:rFonts w:ascii="Times New Roman" w:hAnsi="Times New Roman" w:cs="Times New Roman" w:eastAsia="Times New Roman" w:hint="default"/>
                <w:position w:val="-30"/>
                <w:sz w:val="20"/>
                <w:szCs w:val="20"/>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302" w:lineRule="auto" w:before="61"/>
              <w:ind w:left="22" w:right="95"/>
              <w:jc w:val="left"/>
              <w:rPr>
                <w:rFonts w:ascii="宋体" w:hAnsi="宋体" w:cs="宋体" w:eastAsia="宋体" w:hint="default"/>
                <w:sz w:val="18"/>
                <w:szCs w:val="18"/>
              </w:rPr>
            </w:pP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r>
              <w:rPr>
                <w:rFonts w:ascii="Times New Roman" w:hAnsi="Times New Roman" w:cs="Times New Roman" w:eastAsia="Times New Roman" w:hint="default"/>
                <w:sz w:val="18"/>
                <w:szCs w:val="18"/>
              </w:rPr>
              <w:t>-</w:t>
            </w:r>
            <w:r>
              <w:rPr>
                <w:rFonts w:ascii="宋体" w:hAnsi="宋体" w:cs="宋体" w:eastAsia="宋体" w:hint="default"/>
                <w:sz w:val="18"/>
                <w:szCs w:val="18"/>
              </w:rPr>
              <w:t>长期有 效</w:t>
            </w:r>
          </w:p>
        </w:tc>
        <w:tc>
          <w:tcPr>
            <w:tcW w:w="35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316" w:lineRule="auto"/>
              <w:ind w:left="22" w:right="89"/>
              <w:jc w:val="left"/>
              <w:rPr>
                <w:rFonts w:ascii="宋体" w:hAnsi="宋体" w:cs="宋体" w:eastAsia="宋体" w:hint="default"/>
                <w:sz w:val="18"/>
                <w:szCs w:val="18"/>
              </w:rPr>
            </w:pPr>
            <w:r>
              <w:rPr>
                <w:rFonts w:ascii="宋体" w:hAnsi="宋体" w:cs="宋体" w:eastAsia="宋体" w:hint="default"/>
                <w:sz w:val="18"/>
                <w:szCs w:val="18"/>
              </w:rPr>
              <w:t>上述承诺人严格信守承诺，未发生违反承诺 的情况。</w:t>
            </w:r>
          </w:p>
        </w:tc>
      </w:tr>
      <w:tr>
        <w:trPr>
          <w:trHeight w:val="402" w:hRule="exact"/>
        </w:trPr>
        <w:tc>
          <w:tcPr>
            <w:tcW w:w="16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股权激励承诺</w:t>
            </w:r>
          </w:p>
        </w:tc>
        <w:tc>
          <w:tcPr>
            <w:tcW w:w="1289" w:type="dxa"/>
            <w:tcBorders>
              <w:top w:val="single" w:sz="4" w:space="0" w:color="000000"/>
              <w:left w:val="single" w:sz="13" w:space="0" w:color="D2D2D2"/>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518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3544"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6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35"/>
              <w:jc w:val="left"/>
              <w:rPr>
                <w:rFonts w:ascii="宋体" w:hAnsi="宋体" w:cs="宋体" w:eastAsia="宋体" w:hint="default"/>
                <w:sz w:val="18"/>
                <w:szCs w:val="18"/>
              </w:rPr>
            </w:pPr>
            <w:r>
              <w:rPr>
                <w:rFonts w:ascii="宋体" w:hAnsi="宋体" w:cs="宋体" w:eastAsia="宋体" w:hint="default"/>
                <w:sz w:val="18"/>
                <w:szCs w:val="18"/>
              </w:rPr>
              <w:t>其他对公司中小股东 所作承诺</w:t>
            </w:r>
          </w:p>
        </w:tc>
        <w:tc>
          <w:tcPr>
            <w:tcW w:w="1289" w:type="dxa"/>
            <w:tcBorders>
              <w:top w:val="single" w:sz="4" w:space="0" w:color="000000"/>
              <w:left w:val="single" w:sz="13" w:space="0" w:color="D2D2D2"/>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518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35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6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承诺是否按时履行</w:t>
            </w:r>
          </w:p>
        </w:tc>
        <w:tc>
          <w:tcPr>
            <w:tcW w:w="1289" w:type="dxa"/>
            <w:tcBorders>
              <w:top w:val="single" w:sz="4" w:space="0" w:color="000000"/>
              <w:left w:val="single" w:sz="13" w:space="0" w:color="D2D2D2"/>
              <w:bottom w:val="single" w:sz="4" w:space="0" w:color="000000"/>
              <w:right w:val="single" w:sz="13" w:space="0" w:color="D2D2D2"/>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85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518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13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13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544"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1650" w:hRule="exact"/>
        </w:trPr>
        <w:tc>
          <w:tcPr>
            <w:tcW w:w="16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35"/>
              <w:jc w:val="both"/>
              <w:rPr>
                <w:rFonts w:ascii="宋体" w:hAnsi="宋体" w:cs="宋体" w:eastAsia="宋体" w:hint="default"/>
                <w:sz w:val="18"/>
                <w:szCs w:val="18"/>
              </w:rPr>
            </w:pPr>
            <w:r>
              <w:rPr>
                <w:rFonts w:ascii="宋体" w:hAnsi="宋体" w:cs="宋体" w:eastAsia="宋体" w:hint="default"/>
                <w:sz w:val="18"/>
                <w:szCs w:val="18"/>
              </w:rPr>
              <w:t>如承诺超期未履行完 毕的，应当详细说明 未完成履行的具体原 因及下一步的工作计 划</w:t>
            </w:r>
          </w:p>
        </w:tc>
        <w:tc>
          <w:tcPr>
            <w:tcW w:w="13130" w:type="dxa"/>
            <w:gridSpan w:val="6"/>
            <w:tcBorders>
              <w:top w:val="single" w:sz="4" w:space="0" w:color="000000"/>
              <w:left w:val="single" w:sz="13" w:space="0" w:color="D2D2D2"/>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2"/>
                <w:szCs w:val="22"/>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402" w:hRule="exact"/>
        </w:trPr>
        <w:tc>
          <w:tcPr>
            <w:tcW w:w="169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3130" w:type="dxa"/>
            <w:gridSpan w:val="6"/>
            <w:tcBorders>
              <w:top w:val="single" w:sz="4" w:space="0" w:color="000000"/>
              <w:left w:val="single" w:sz="4" w:space="0" w:color="000000"/>
              <w:bottom w:val="single" w:sz="4" w:space="0" w:color="000000"/>
              <w:right w:val="single" w:sz="4" w:space="0" w:color="000000"/>
            </w:tcBorders>
            <w:shd w:val="clear" w:color="auto" w:fill="D2D2D2"/>
          </w:tcPr>
          <w:p>
            <w:pPr/>
          </w:p>
        </w:tc>
      </w:tr>
    </w:tbl>
    <w:p>
      <w:pPr>
        <w:spacing w:after="0"/>
        <w:sectPr>
          <w:pgSz w:w="16840" w:h="11910" w:orient="landscape"/>
          <w:pgMar w:header="867" w:footer="979" w:top="1060" w:bottom="1160" w:left="900" w:right="880"/>
        </w:sectPr>
      </w:pPr>
    </w:p>
    <w:p>
      <w:pPr>
        <w:spacing w:line="240" w:lineRule="auto" w:before="2"/>
        <w:rPr>
          <w:rFonts w:ascii="Times New Roman" w:hAnsi="Times New Roman" w:cs="Times New Roman" w:eastAsia="Times New Roman" w:hint="default"/>
          <w:sz w:val="28"/>
          <w:szCs w:val="28"/>
        </w:rPr>
      </w:pPr>
    </w:p>
    <w:p>
      <w:pPr>
        <w:pStyle w:val="Heading4"/>
        <w:spacing w:line="259" w:lineRule="auto" w:before="35"/>
        <w:ind w:right="1117"/>
        <w:jc w:val="left"/>
        <w:rPr>
          <w:b w:val="0"/>
          <w:bCs w:val="0"/>
        </w:rPr>
      </w:pPr>
      <w:bookmarkStart w:name="2、公司资产或项目存在盈利预测，且报告期仍处在盈利预测期间，公司就资产或项目达到" w:id="65"/>
      <w:bookmarkEnd w:id="65"/>
      <w:r>
        <w:rPr>
          <w:b w:val="0"/>
          <w:bCs w:val="0"/>
        </w:rPr>
      </w:r>
      <w:r>
        <w:rPr>
          <w:rFonts w:ascii="Times New Roman" w:hAnsi="Times New Roman" w:cs="Times New Roman" w:eastAsia="Times New Roman" w:hint="default"/>
        </w:rPr>
        <w:t>2</w:t>
      </w:r>
      <w:r>
        <w:rPr/>
        <w:t>、公司资产或项目存在盈利预测，且报告期仍处在盈利预测期间，公司就资产或项目达到原盈利预测及</w:t>
      </w:r>
      <w:r>
        <w:rPr>
          <w:spacing w:val="-74"/>
        </w:rPr>
        <w:t> </w:t>
      </w:r>
      <w:r>
        <w:rPr>
          <w:spacing w:val="-74"/>
        </w:rPr>
      </w:r>
      <w:r>
        <w:rPr/>
        <w:t>其原因做出说明</w:t>
      </w:r>
      <w:r>
        <w:rPr>
          <w:b w:val="0"/>
          <w:bCs w:val="0"/>
        </w:rPr>
      </w:r>
    </w:p>
    <w:p>
      <w:pPr>
        <w:spacing w:line="240" w:lineRule="auto" w:before="7"/>
        <w:rPr>
          <w:rFonts w:ascii="宋体" w:hAnsi="宋体" w:cs="宋体" w:eastAsia="宋体" w:hint="default"/>
          <w:b/>
          <w:bCs/>
          <w:sz w:val="26"/>
          <w:szCs w:val="26"/>
        </w:rPr>
      </w:pPr>
    </w:p>
    <w:p>
      <w:pPr>
        <w:spacing w:before="0"/>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3"/>
        <w:rPr>
          <w:rFonts w:ascii="宋体" w:hAnsi="宋体" w:cs="宋体" w:eastAsia="宋体" w:hint="default"/>
          <w:sz w:val="23"/>
          <w:szCs w:val="23"/>
        </w:rPr>
      </w:pPr>
    </w:p>
    <w:p>
      <w:pPr>
        <w:pStyle w:val="Heading2"/>
        <w:spacing w:line="240" w:lineRule="auto"/>
        <w:ind w:right="1117"/>
        <w:jc w:val="left"/>
        <w:rPr>
          <w:b w:val="0"/>
          <w:bCs w:val="0"/>
        </w:rPr>
      </w:pPr>
      <w:bookmarkStart w:name="三、控股股东及其关联方对上市公司的非经营性占用资金情况" w:id="66"/>
      <w:bookmarkEnd w:id="66"/>
      <w:r>
        <w:rPr>
          <w:b w:val="0"/>
          <w:bCs w:val="0"/>
        </w:rPr>
      </w:r>
      <w:r>
        <w:rPr/>
        <w:t>三、控股股东及其关联方对上市公司的非经营性占用资金情况</w:t>
      </w:r>
      <w:r>
        <w:rPr>
          <w:b w:val="0"/>
          <w:bCs w:val="0"/>
        </w:rPr>
      </w:r>
    </w:p>
    <w:p>
      <w:pPr>
        <w:spacing w:line="240" w:lineRule="auto" w:before="9"/>
        <w:rPr>
          <w:rFonts w:ascii="宋体" w:hAnsi="宋体" w:cs="宋体" w:eastAsia="宋体" w:hint="default"/>
          <w:b/>
          <w:bCs/>
          <w:sz w:val="26"/>
          <w:szCs w:val="26"/>
        </w:rPr>
      </w:pPr>
    </w:p>
    <w:p>
      <w:pPr>
        <w:spacing w:line="340" w:lineRule="auto" w:before="0"/>
        <w:ind w:left="154" w:right="499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公司报告期不存在控股股东及其关联方对上市公司的非经营性占用资金。</w:t>
      </w:r>
    </w:p>
    <w:p>
      <w:pPr>
        <w:spacing w:line="240" w:lineRule="auto" w:before="3"/>
        <w:rPr>
          <w:rFonts w:ascii="宋体" w:hAnsi="宋体" w:cs="宋体" w:eastAsia="宋体" w:hint="default"/>
          <w:sz w:val="19"/>
          <w:szCs w:val="19"/>
        </w:rPr>
      </w:pPr>
    </w:p>
    <w:p>
      <w:pPr>
        <w:pStyle w:val="Heading2"/>
        <w:spacing w:line="240" w:lineRule="auto"/>
        <w:ind w:right="1117"/>
        <w:jc w:val="left"/>
        <w:rPr>
          <w:b w:val="0"/>
          <w:bCs w:val="0"/>
        </w:rPr>
      </w:pPr>
      <w:bookmarkStart w:name="四、董事会对最近一期“非标准审计报告”相关情况的说明" w:id="67"/>
      <w:bookmarkEnd w:id="67"/>
      <w:r>
        <w:rPr>
          <w:b w:val="0"/>
          <w:bCs w:val="0"/>
        </w:rPr>
      </w:r>
      <w:r>
        <w:rPr/>
        <w:t>四、董事会对最近一期</w:t>
      </w:r>
      <w:r>
        <w:rPr>
          <w:rFonts w:ascii="Times New Roman" w:hAnsi="Times New Roman" w:cs="Times New Roman" w:eastAsia="Times New Roman" w:hint="default"/>
        </w:rPr>
        <w:t>“</w:t>
      </w:r>
      <w:r>
        <w:rPr/>
        <w:t>非标准审计报告</w:t>
      </w:r>
      <w:r>
        <w:rPr>
          <w:rFonts w:ascii="Times New Roman" w:hAnsi="Times New Roman" w:cs="Times New Roman" w:eastAsia="Times New Roman" w:hint="default"/>
        </w:rPr>
        <w:t>”</w:t>
      </w:r>
      <w:r>
        <w:rPr/>
        <w:t>相关情况的说明</w:t>
      </w:r>
      <w:r>
        <w:rPr>
          <w:b w:val="0"/>
          <w:bCs w:val="0"/>
        </w:rPr>
      </w:r>
    </w:p>
    <w:p>
      <w:pPr>
        <w:spacing w:line="240" w:lineRule="auto" w:before="4"/>
        <w:rPr>
          <w:rFonts w:ascii="宋体" w:hAnsi="宋体" w:cs="宋体" w:eastAsia="宋体" w:hint="default"/>
          <w:b/>
          <w:bCs/>
          <w:sz w:val="25"/>
          <w:szCs w:val="25"/>
        </w:rPr>
      </w:pPr>
    </w:p>
    <w:p>
      <w:pPr>
        <w:spacing w:before="0"/>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2"/>
        <w:rPr>
          <w:rFonts w:ascii="宋体" w:hAnsi="宋体" w:cs="宋体" w:eastAsia="宋体" w:hint="default"/>
          <w:sz w:val="23"/>
          <w:szCs w:val="23"/>
        </w:rPr>
      </w:pPr>
    </w:p>
    <w:p>
      <w:pPr>
        <w:pStyle w:val="Heading2"/>
        <w:spacing w:line="240" w:lineRule="auto"/>
        <w:ind w:right="0"/>
        <w:jc w:val="left"/>
        <w:rPr>
          <w:b w:val="0"/>
          <w:bCs w:val="0"/>
        </w:rPr>
      </w:pPr>
      <w:bookmarkStart w:name="五、董事会、监事会、独立董事（如有）对会计师事务所本报告期“非标准审计报告”的说" w:id="68"/>
      <w:bookmarkEnd w:id="68"/>
      <w:r>
        <w:rPr>
          <w:b w:val="0"/>
          <w:bCs w:val="0"/>
        </w:rPr>
      </w:r>
      <w:r>
        <w:rPr/>
        <w:t>五、董事会、监事会、独立董事（如有）对会计师事务所本报告期</w:t>
      </w:r>
      <w:r>
        <w:rPr>
          <w:rFonts w:ascii="Times New Roman" w:hAnsi="Times New Roman" w:cs="Times New Roman" w:eastAsia="Times New Roman" w:hint="default"/>
        </w:rPr>
        <w:t>“</w:t>
      </w:r>
      <w:r>
        <w:rPr/>
        <w:t>非标准审计报告</w:t>
      </w:r>
      <w:r>
        <w:rPr>
          <w:rFonts w:ascii="Times New Roman" w:hAnsi="Times New Roman" w:cs="Times New Roman" w:eastAsia="Times New Roman" w:hint="default"/>
        </w:rPr>
        <w:t>”</w:t>
      </w:r>
      <w:r>
        <w:rPr/>
        <w:t>的说明</w:t>
      </w:r>
      <w:r>
        <w:rPr>
          <w:b w:val="0"/>
          <w:bCs w:val="0"/>
        </w:rPr>
      </w:r>
    </w:p>
    <w:p>
      <w:pPr>
        <w:spacing w:line="240" w:lineRule="auto" w:before="4"/>
        <w:rPr>
          <w:rFonts w:ascii="宋体" w:hAnsi="宋体" w:cs="宋体" w:eastAsia="宋体" w:hint="default"/>
          <w:b/>
          <w:bCs/>
          <w:sz w:val="25"/>
          <w:szCs w:val="25"/>
        </w:rPr>
      </w:pPr>
    </w:p>
    <w:p>
      <w:pPr>
        <w:spacing w:before="0"/>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2"/>
        <w:rPr>
          <w:rFonts w:ascii="宋体" w:hAnsi="宋体" w:cs="宋体" w:eastAsia="宋体" w:hint="default"/>
          <w:sz w:val="23"/>
          <w:szCs w:val="23"/>
        </w:rPr>
      </w:pPr>
    </w:p>
    <w:p>
      <w:pPr>
        <w:pStyle w:val="Heading2"/>
        <w:spacing w:line="240" w:lineRule="auto"/>
        <w:ind w:right="1117"/>
        <w:jc w:val="left"/>
        <w:rPr>
          <w:b w:val="0"/>
          <w:bCs w:val="0"/>
        </w:rPr>
      </w:pPr>
      <w:bookmarkStart w:name="六、董事会关于报告期会计政策、会计估计变更或重大会计差错更正的说明" w:id="69"/>
      <w:bookmarkEnd w:id="69"/>
      <w:r>
        <w:rPr>
          <w:b w:val="0"/>
          <w:bCs w:val="0"/>
        </w:rPr>
      </w:r>
      <w:r>
        <w:rPr/>
        <w:t>六、董事会关于报告期会计政策、会计估计变更或重大会计差错更正的说明</w:t>
      </w:r>
      <w:r>
        <w:rPr>
          <w:b w:val="0"/>
          <w:bCs w:val="0"/>
        </w:rPr>
      </w:r>
    </w:p>
    <w:p>
      <w:pPr>
        <w:spacing w:line="240" w:lineRule="auto" w:before="9"/>
        <w:rPr>
          <w:rFonts w:ascii="宋体" w:hAnsi="宋体" w:cs="宋体" w:eastAsia="宋体" w:hint="default"/>
          <w:b/>
          <w:bCs/>
          <w:sz w:val="26"/>
          <w:szCs w:val="26"/>
        </w:rPr>
      </w:pPr>
    </w:p>
    <w:p>
      <w:pPr>
        <w:spacing w:before="0"/>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pStyle w:val="BodyText"/>
        <w:spacing w:line="386" w:lineRule="auto" w:before="153"/>
        <w:ind w:right="1197" w:firstLine="420"/>
        <w:jc w:val="left"/>
      </w:pPr>
      <w:r>
        <w:rPr/>
        <w:t>财政部于</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15</w:t>
      </w:r>
      <w:r>
        <w:rPr/>
        <w:t>日发布了《财政部关于修订印发</w:t>
      </w:r>
      <w:r>
        <w:rPr>
          <w:rFonts w:ascii="Times New Roman" w:hAnsi="Times New Roman" w:cs="Times New Roman" w:eastAsia="Times New Roman" w:hint="default"/>
        </w:rPr>
        <w:t>2018</w:t>
      </w:r>
      <w:r>
        <w:rPr/>
        <w:t>年度一般企业财务报表格式的通知》（财 会（</w:t>
      </w:r>
      <w:r>
        <w:rPr>
          <w:rFonts w:ascii="Times New Roman" w:hAnsi="Times New Roman" w:cs="Times New Roman" w:eastAsia="Times New Roman" w:hint="default"/>
        </w:rPr>
        <w:t>2018</w:t>
      </w:r>
      <w:r>
        <w:rPr/>
        <w:t>）</w:t>
      </w:r>
      <w:r>
        <w:rPr>
          <w:rFonts w:ascii="Times New Roman" w:hAnsi="Times New Roman" w:cs="Times New Roman" w:eastAsia="Times New Roman" w:hint="default"/>
        </w:rPr>
        <w:t>15</w:t>
      </w:r>
      <w:r>
        <w:rPr/>
        <w:t>号），对一般企业财务报表格式进行了修订。</w:t>
      </w:r>
      <w:r>
        <w:rPr>
          <w:spacing w:val="-25"/>
        </w:rPr>
        <w:t> </w:t>
      </w:r>
      <w:r>
        <w:rPr/>
        <w:t>本公司执行上述规定的主要影响如下：</w:t>
      </w:r>
    </w:p>
    <w:p>
      <w:pPr>
        <w:spacing w:line="240" w:lineRule="auto" w:before="10"/>
        <w:rPr>
          <w:rFonts w:ascii="宋体" w:hAnsi="宋体" w:cs="宋体" w:eastAsia="宋体" w:hint="default"/>
          <w:sz w:val="21"/>
          <w:szCs w:val="21"/>
        </w:rPr>
      </w:pPr>
    </w:p>
    <w:tbl>
      <w:tblPr>
        <w:tblW w:w="0" w:type="auto"/>
        <w:jc w:val="left"/>
        <w:tblInd w:w="290" w:type="dxa"/>
        <w:tblLayout w:type="fixed"/>
        <w:tblCellMar>
          <w:top w:w="0" w:type="dxa"/>
          <w:left w:w="0" w:type="dxa"/>
          <w:bottom w:w="0" w:type="dxa"/>
          <w:right w:w="0" w:type="dxa"/>
        </w:tblCellMar>
        <w:tblLook w:val="01E0"/>
      </w:tblPr>
      <w:tblGrid>
        <w:gridCol w:w="4400"/>
        <w:gridCol w:w="1134"/>
        <w:gridCol w:w="3682"/>
      </w:tblGrid>
      <w:tr>
        <w:trPr>
          <w:trHeight w:val="498" w:hRule="exact"/>
        </w:trPr>
        <w:tc>
          <w:tcPr>
            <w:tcW w:w="4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left="1115" w:right="0"/>
              <w:jc w:val="left"/>
              <w:rPr>
                <w:rFonts w:ascii="宋体" w:hAnsi="宋体" w:cs="宋体" w:eastAsia="宋体" w:hint="default"/>
                <w:sz w:val="18"/>
                <w:szCs w:val="18"/>
              </w:rPr>
            </w:pPr>
            <w:r>
              <w:rPr>
                <w:rFonts w:ascii="宋体" w:hAnsi="宋体" w:cs="宋体" w:eastAsia="宋体" w:hint="default"/>
                <w:sz w:val="18"/>
                <w:szCs w:val="18"/>
              </w:rPr>
              <w:t>会计政策变更的内容和原因</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199"/>
              <w:jc w:val="right"/>
              <w:rPr>
                <w:rFonts w:ascii="宋体" w:hAnsi="宋体" w:cs="宋体" w:eastAsia="宋体" w:hint="default"/>
                <w:sz w:val="18"/>
                <w:szCs w:val="18"/>
              </w:rPr>
            </w:pPr>
            <w:r>
              <w:rPr>
                <w:rFonts w:ascii="宋体" w:hAnsi="宋体" w:cs="宋体" w:eastAsia="宋体" w:hint="default"/>
                <w:sz w:val="18"/>
                <w:szCs w:val="18"/>
              </w:rPr>
              <w:t>审批程序</w:t>
            </w:r>
          </w:p>
        </w:tc>
        <w:tc>
          <w:tcPr>
            <w:tcW w:w="3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left="664" w:right="0"/>
              <w:jc w:val="left"/>
              <w:rPr>
                <w:rFonts w:ascii="宋体" w:hAnsi="宋体" w:cs="宋体" w:eastAsia="宋体" w:hint="default"/>
                <w:sz w:val="18"/>
                <w:szCs w:val="18"/>
              </w:rPr>
            </w:pPr>
            <w:r>
              <w:rPr>
                <w:rFonts w:ascii="宋体" w:hAnsi="宋体" w:cs="宋体" w:eastAsia="宋体" w:hint="default"/>
                <w:sz w:val="18"/>
                <w:szCs w:val="18"/>
              </w:rPr>
              <w:t>受影响的报表项目名称和金额</w:t>
            </w:r>
          </w:p>
        </w:tc>
      </w:tr>
      <w:tr>
        <w:trPr>
          <w:trHeight w:val="4242" w:hRule="exact"/>
        </w:trPr>
        <w:tc>
          <w:tcPr>
            <w:tcW w:w="4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25"/>
                <w:szCs w:val="25"/>
              </w:rPr>
            </w:pPr>
          </w:p>
          <w:p>
            <w:pPr>
              <w:pStyle w:val="TableParagraph"/>
              <w:spacing w:line="451" w:lineRule="auto"/>
              <w:ind w:left="5" w:right="-2"/>
              <w:jc w:val="both"/>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）资产负债表中</w:t>
            </w:r>
            <w:r>
              <w:rPr>
                <w:rFonts w:ascii="Times New Roman" w:hAnsi="Times New Roman" w:cs="Times New Roman" w:eastAsia="Times New Roman" w:hint="default"/>
                <w:sz w:val="18"/>
                <w:szCs w:val="18"/>
              </w:rPr>
              <w:t>“</w:t>
            </w:r>
            <w:r>
              <w:rPr>
                <w:rFonts w:ascii="宋体" w:hAnsi="宋体" w:cs="宋体" w:eastAsia="宋体" w:hint="default"/>
                <w:sz w:val="18"/>
                <w:szCs w:val="18"/>
              </w:rPr>
              <w:t>应收票据</w:t>
            </w:r>
            <w:r>
              <w:rPr>
                <w:rFonts w:ascii="Times New Roman" w:hAnsi="Times New Roman" w:cs="Times New Roman" w:eastAsia="Times New Roman" w:hint="default"/>
                <w:sz w:val="18"/>
                <w:szCs w:val="18"/>
              </w:rPr>
              <w:t>”</w:t>
            </w:r>
            <w:r>
              <w:rPr>
                <w:rFonts w:ascii="宋体" w:hAnsi="宋体" w:cs="宋体" w:eastAsia="宋体" w:hint="default"/>
                <w:sz w:val="18"/>
                <w:szCs w:val="18"/>
              </w:rPr>
              <w:t>和</w:t>
            </w:r>
            <w:r>
              <w:rPr>
                <w:rFonts w:ascii="Times New Roman" w:hAnsi="Times New Roman" w:cs="Times New Roman" w:eastAsia="Times New Roman" w:hint="default"/>
                <w:sz w:val="18"/>
                <w:szCs w:val="18"/>
              </w:rPr>
              <w:t>“</w:t>
            </w:r>
            <w:r>
              <w:rPr>
                <w:rFonts w:ascii="宋体" w:hAnsi="宋体" w:cs="宋体" w:eastAsia="宋体" w:hint="default"/>
                <w:sz w:val="18"/>
                <w:szCs w:val="18"/>
              </w:rPr>
              <w:t>应收账款</w:t>
            </w:r>
            <w:r>
              <w:rPr>
                <w:rFonts w:ascii="Times New Roman" w:hAnsi="Times New Roman" w:cs="Times New Roman" w:eastAsia="Times New Roman" w:hint="default"/>
                <w:sz w:val="18"/>
                <w:szCs w:val="18"/>
              </w:rPr>
              <w:t>”</w:t>
            </w:r>
            <w:r>
              <w:rPr>
                <w:rFonts w:ascii="宋体" w:hAnsi="宋体" w:cs="宋体" w:eastAsia="宋体" w:hint="default"/>
                <w:sz w:val="18"/>
                <w:szCs w:val="18"/>
              </w:rPr>
              <w:t>合并列示为</w:t>
            </w:r>
            <w:r>
              <w:rPr>
                <w:rFonts w:ascii="宋体" w:hAnsi="宋体" w:cs="宋体" w:eastAsia="宋体" w:hint="default"/>
                <w:spacing w:val="-85"/>
                <w:sz w:val="18"/>
                <w:szCs w:val="18"/>
              </w:rPr>
              <w:t> </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应收票据及应收账款</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应付票据</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和</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应付账款</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合并列</w:t>
            </w:r>
            <w:r>
              <w:rPr>
                <w:rFonts w:ascii="宋体" w:hAnsi="宋体" w:cs="宋体" w:eastAsia="宋体" w:hint="default"/>
                <w:spacing w:val="-68"/>
                <w:sz w:val="18"/>
                <w:szCs w:val="18"/>
              </w:rPr>
              <w:t> </w:t>
            </w:r>
            <w:r>
              <w:rPr>
                <w:rFonts w:ascii="宋体" w:hAnsi="宋体" w:cs="宋体" w:eastAsia="宋体" w:hint="default"/>
                <w:spacing w:val="3"/>
                <w:sz w:val="18"/>
                <w:szCs w:val="18"/>
              </w:rPr>
              <w:t>示为</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应付票据及应付账款</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应收利息</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和</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应收股利</w:t>
            </w:r>
            <w:r>
              <w:rPr>
                <w:rFonts w:ascii="Times New Roman" w:hAnsi="Times New Roman" w:cs="Times New Roman" w:eastAsia="Times New Roman" w:hint="default"/>
                <w:spacing w:val="3"/>
                <w:sz w:val="18"/>
                <w:szCs w:val="18"/>
              </w:rPr>
              <w:t>”</w:t>
            </w:r>
            <w:r>
              <w:rPr>
                <w:rFonts w:ascii="Times New Roman" w:hAnsi="Times New Roman" w:cs="Times New Roman" w:eastAsia="Times New Roman" w:hint="default"/>
                <w:spacing w:val="-23"/>
                <w:sz w:val="18"/>
                <w:szCs w:val="18"/>
              </w:rPr>
              <w:t> </w:t>
            </w:r>
            <w:r>
              <w:rPr>
                <w:rFonts w:ascii="宋体" w:hAnsi="宋体" w:cs="宋体" w:eastAsia="宋体" w:hint="default"/>
                <w:spacing w:val="4"/>
                <w:sz w:val="18"/>
                <w:szCs w:val="18"/>
              </w:rPr>
              <w:t>并入</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其他应收款</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列示；</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应付利息</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和</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应付股利</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并入</w:t>
            </w:r>
            <w:r>
              <w:rPr>
                <w:rFonts w:ascii="宋体" w:hAnsi="宋体" w:cs="宋体" w:eastAsia="宋体" w:hint="default"/>
                <w:spacing w:val="-87"/>
                <w:sz w:val="18"/>
                <w:szCs w:val="18"/>
              </w:rPr>
              <w:t> </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其他应付款</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列示；</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固定资产清理</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并入</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固定资产</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列</w:t>
            </w:r>
            <w:r>
              <w:rPr>
                <w:rFonts w:ascii="宋体" w:hAnsi="宋体" w:cs="宋体" w:eastAsia="宋体" w:hint="default"/>
                <w:spacing w:val="-66"/>
                <w:sz w:val="18"/>
                <w:szCs w:val="18"/>
              </w:rPr>
              <w:t> </w:t>
            </w:r>
            <w:r>
              <w:rPr>
                <w:rFonts w:ascii="宋体" w:hAnsi="宋体" w:cs="宋体" w:eastAsia="宋体" w:hint="default"/>
                <w:spacing w:val="-3"/>
                <w:sz w:val="18"/>
                <w:szCs w:val="18"/>
              </w:rPr>
              <w:t>示；</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工程物资</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并入</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在建工程</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列示；</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专项应付款</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并入</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w:t>
            </w:r>
            <w:r>
              <w:rPr>
                <w:rFonts w:ascii="宋体" w:hAnsi="宋体" w:cs="宋体" w:eastAsia="宋体" w:hint="default"/>
                <w:sz w:val="18"/>
                <w:szCs w:val="18"/>
              </w:rPr>
              <w:t>长期应付款</w:t>
            </w:r>
            <w:r>
              <w:rPr>
                <w:rFonts w:ascii="Times New Roman" w:hAnsi="Times New Roman" w:cs="Times New Roman" w:eastAsia="Times New Roman" w:hint="default"/>
                <w:sz w:val="18"/>
                <w:szCs w:val="18"/>
              </w:rPr>
              <w:t>”</w:t>
            </w:r>
            <w:r>
              <w:rPr>
                <w:rFonts w:ascii="宋体" w:hAnsi="宋体" w:cs="宋体" w:eastAsia="宋体" w:hint="default"/>
                <w:sz w:val="18"/>
                <w:szCs w:val="18"/>
              </w:rPr>
              <w:t>列示。比较数据相应调整。</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right="216"/>
              <w:jc w:val="right"/>
              <w:rPr>
                <w:rFonts w:ascii="宋体" w:hAnsi="宋体" w:cs="宋体" w:eastAsia="宋体" w:hint="default"/>
                <w:sz w:val="18"/>
                <w:szCs w:val="18"/>
              </w:rPr>
            </w:pPr>
            <w:r>
              <w:rPr>
                <w:rFonts w:ascii="宋体" w:hAnsi="宋体" w:cs="宋体" w:eastAsia="宋体" w:hint="default"/>
                <w:sz w:val="18"/>
                <w:szCs w:val="18"/>
              </w:rPr>
              <w:t>董事会批准</w:t>
            </w:r>
          </w:p>
        </w:tc>
        <w:tc>
          <w:tcPr>
            <w:tcW w:w="3682" w:type="dxa"/>
            <w:tcBorders>
              <w:top w:val="single" w:sz="4" w:space="0" w:color="000000"/>
              <w:left w:val="single" w:sz="4" w:space="0" w:color="000000"/>
              <w:bottom w:val="single" w:sz="4" w:space="0" w:color="000000"/>
              <w:right w:val="single" w:sz="4" w:space="0" w:color="000000"/>
            </w:tcBorders>
          </w:tcPr>
          <w:p>
            <w:pPr>
              <w:pStyle w:val="TableParagraph"/>
              <w:spacing w:line="451" w:lineRule="auto" w:before="99"/>
              <w:ind w:left="4" w:right="4"/>
              <w:jc w:val="both"/>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应收票据</w:t>
            </w:r>
            <w:r>
              <w:rPr>
                <w:rFonts w:ascii="Times New Roman" w:hAnsi="Times New Roman" w:cs="Times New Roman" w:eastAsia="Times New Roman" w:hint="default"/>
                <w:sz w:val="18"/>
                <w:szCs w:val="18"/>
              </w:rPr>
              <w:t>”</w:t>
            </w:r>
            <w:r>
              <w:rPr>
                <w:rFonts w:ascii="宋体" w:hAnsi="宋体" w:cs="宋体" w:eastAsia="宋体" w:hint="default"/>
                <w:sz w:val="18"/>
                <w:szCs w:val="18"/>
              </w:rPr>
              <w:t>和</w:t>
            </w:r>
            <w:r>
              <w:rPr>
                <w:rFonts w:ascii="Times New Roman" w:hAnsi="Times New Roman" w:cs="Times New Roman" w:eastAsia="Times New Roman" w:hint="default"/>
                <w:sz w:val="18"/>
                <w:szCs w:val="18"/>
              </w:rPr>
              <w:t>“</w:t>
            </w:r>
            <w:r>
              <w:rPr>
                <w:rFonts w:ascii="宋体" w:hAnsi="宋体" w:cs="宋体" w:eastAsia="宋体" w:hint="default"/>
                <w:sz w:val="18"/>
                <w:szCs w:val="18"/>
              </w:rPr>
              <w:t>应收账款</w:t>
            </w:r>
            <w:r>
              <w:rPr>
                <w:rFonts w:ascii="Times New Roman" w:hAnsi="Times New Roman" w:cs="Times New Roman" w:eastAsia="Times New Roman" w:hint="default"/>
                <w:sz w:val="18"/>
                <w:szCs w:val="18"/>
              </w:rPr>
              <w:t>”</w:t>
            </w:r>
            <w:r>
              <w:rPr>
                <w:rFonts w:ascii="宋体" w:hAnsi="宋体" w:cs="宋体" w:eastAsia="宋体" w:hint="default"/>
                <w:sz w:val="18"/>
                <w:szCs w:val="18"/>
              </w:rPr>
              <w:t>合并列示为</w:t>
            </w:r>
            <w:r>
              <w:rPr>
                <w:rFonts w:ascii="Times New Roman" w:hAnsi="Times New Roman" w:cs="Times New Roman" w:eastAsia="Times New Roman" w:hint="default"/>
                <w:sz w:val="18"/>
                <w:szCs w:val="18"/>
              </w:rPr>
              <w:t>“</w:t>
            </w:r>
            <w:r>
              <w:rPr>
                <w:rFonts w:ascii="宋体" w:hAnsi="宋体" w:cs="宋体" w:eastAsia="宋体" w:hint="default"/>
                <w:sz w:val="18"/>
                <w:szCs w:val="18"/>
              </w:rPr>
              <w:t>应收票据</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及应收账款</w:t>
            </w:r>
            <w:r>
              <w:rPr>
                <w:rFonts w:ascii="Times New Roman" w:hAnsi="Times New Roman" w:cs="Times New Roman" w:eastAsia="Times New Roman" w:hint="default"/>
                <w:sz w:val="18"/>
                <w:szCs w:val="18"/>
              </w:rPr>
              <w:t>”</w:t>
            </w:r>
            <w:r>
              <w:rPr>
                <w:rFonts w:ascii="宋体" w:hAnsi="宋体" w:cs="宋体" w:eastAsia="宋体" w:hint="default"/>
                <w:sz w:val="18"/>
                <w:szCs w:val="18"/>
              </w:rPr>
              <w:t>，本期金额</w:t>
            </w:r>
            <w:r>
              <w:rPr>
                <w:rFonts w:ascii="Times New Roman" w:hAnsi="Times New Roman" w:cs="Times New Roman" w:eastAsia="Times New Roman" w:hint="default"/>
                <w:sz w:val="18"/>
                <w:szCs w:val="18"/>
              </w:rPr>
              <w:t>418,176,051.07 </w:t>
            </w:r>
            <w:r>
              <w:rPr>
                <w:rFonts w:ascii="宋体" w:hAnsi="宋体" w:cs="宋体" w:eastAsia="宋体" w:hint="default"/>
                <w:sz w:val="18"/>
                <w:szCs w:val="18"/>
              </w:rPr>
              <w:t>元，上</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期金额</w:t>
            </w:r>
            <w:r>
              <w:rPr>
                <w:rFonts w:ascii="Times New Roman" w:hAnsi="Times New Roman" w:cs="Times New Roman" w:eastAsia="Times New Roman" w:hint="default"/>
                <w:sz w:val="18"/>
                <w:szCs w:val="18"/>
              </w:rPr>
              <w:t>316,839,429.76</w:t>
            </w:r>
            <w:r>
              <w:rPr>
                <w:rFonts w:ascii="Times New Roman" w:hAnsi="Times New Roman" w:cs="Times New Roman" w:eastAsia="Times New Roman" w:hint="default"/>
                <w:spacing w:val="28"/>
                <w:sz w:val="18"/>
                <w:szCs w:val="18"/>
              </w:rPr>
              <w:t> </w:t>
            </w:r>
            <w:r>
              <w:rPr>
                <w:rFonts w:ascii="宋体" w:hAnsi="宋体" w:cs="宋体" w:eastAsia="宋体" w:hint="default"/>
                <w:sz w:val="18"/>
                <w:szCs w:val="18"/>
              </w:rPr>
              <w:t>元；</w:t>
            </w:r>
          </w:p>
          <w:p>
            <w:pPr>
              <w:pStyle w:val="TableParagraph"/>
              <w:spacing w:line="451" w:lineRule="auto" w:before="43"/>
              <w:ind w:left="4" w:right="4"/>
              <w:jc w:val="both"/>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应付票据</w:t>
            </w:r>
            <w:r>
              <w:rPr>
                <w:rFonts w:ascii="Times New Roman" w:hAnsi="Times New Roman" w:cs="Times New Roman" w:eastAsia="Times New Roman" w:hint="default"/>
                <w:sz w:val="18"/>
                <w:szCs w:val="18"/>
              </w:rPr>
              <w:t>”</w:t>
            </w:r>
            <w:r>
              <w:rPr>
                <w:rFonts w:ascii="宋体" w:hAnsi="宋体" w:cs="宋体" w:eastAsia="宋体" w:hint="default"/>
                <w:sz w:val="18"/>
                <w:szCs w:val="18"/>
              </w:rPr>
              <w:t>和</w:t>
            </w:r>
            <w:r>
              <w:rPr>
                <w:rFonts w:ascii="Times New Roman" w:hAnsi="Times New Roman" w:cs="Times New Roman" w:eastAsia="Times New Roman" w:hint="default"/>
                <w:sz w:val="18"/>
                <w:szCs w:val="18"/>
              </w:rPr>
              <w:t>“</w:t>
            </w:r>
            <w:r>
              <w:rPr>
                <w:rFonts w:ascii="宋体" w:hAnsi="宋体" w:cs="宋体" w:eastAsia="宋体" w:hint="default"/>
                <w:sz w:val="18"/>
                <w:szCs w:val="18"/>
              </w:rPr>
              <w:t>应付账款</w:t>
            </w:r>
            <w:r>
              <w:rPr>
                <w:rFonts w:ascii="Times New Roman" w:hAnsi="Times New Roman" w:cs="Times New Roman" w:eastAsia="Times New Roman" w:hint="default"/>
                <w:sz w:val="18"/>
                <w:szCs w:val="18"/>
              </w:rPr>
              <w:t>”</w:t>
            </w:r>
            <w:r>
              <w:rPr>
                <w:rFonts w:ascii="宋体" w:hAnsi="宋体" w:cs="宋体" w:eastAsia="宋体" w:hint="default"/>
                <w:sz w:val="18"/>
                <w:szCs w:val="18"/>
              </w:rPr>
              <w:t>合并列示为</w:t>
            </w:r>
            <w:r>
              <w:rPr>
                <w:rFonts w:ascii="Times New Roman" w:hAnsi="Times New Roman" w:cs="Times New Roman" w:eastAsia="Times New Roman" w:hint="default"/>
                <w:sz w:val="18"/>
                <w:szCs w:val="18"/>
              </w:rPr>
              <w:t>“</w:t>
            </w:r>
            <w:r>
              <w:rPr>
                <w:rFonts w:ascii="宋体" w:hAnsi="宋体" w:cs="宋体" w:eastAsia="宋体" w:hint="default"/>
                <w:sz w:val="18"/>
                <w:szCs w:val="18"/>
              </w:rPr>
              <w:t>应付票据</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及应付账款</w:t>
            </w:r>
            <w:r>
              <w:rPr>
                <w:rFonts w:ascii="Times New Roman" w:hAnsi="Times New Roman" w:cs="Times New Roman" w:eastAsia="Times New Roman" w:hint="default"/>
                <w:sz w:val="18"/>
                <w:szCs w:val="18"/>
              </w:rPr>
              <w:t>”</w:t>
            </w:r>
            <w:r>
              <w:rPr>
                <w:rFonts w:ascii="宋体" w:hAnsi="宋体" w:cs="宋体" w:eastAsia="宋体" w:hint="default"/>
                <w:sz w:val="18"/>
                <w:szCs w:val="18"/>
              </w:rPr>
              <w:t>，本期金额</w:t>
            </w:r>
            <w:r>
              <w:rPr>
                <w:rFonts w:ascii="Times New Roman" w:hAnsi="Times New Roman" w:cs="Times New Roman" w:eastAsia="Times New Roman" w:hint="default"/>
                <w:sz w:val="18"/>
                <w:szCs w:val="18"/>
              </w:rPr>
              <w:t>215,579,345.42 </w:t>
            </w:r>
            <w:r>
              <w:rPr>
                <w:rFonts w:ascii="宋体" w:hAnsi="宋体" w:cs="宋体" w:eastAsia="宋体" w:hint="default"/>
                <w:sz w:val="18"/>
                <w:szCs w:val="18"/>
              </w:rPr>
              <w:t>元，上</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期金额</w:t>
            </w:r>
            <w:r>
              <w:rPr>
                <w:rFonts w:ascii="Times New Roman" w:hAnsi="Times New Roman" w:cs="Times New Roman" w:eastAsia="Times New Roman" w:hint="default"/>
                <w:sz w:val="18"/>
                <w:szCs w:val="18"/>
              </w:rPr>
              <w:t>174,962,218.66</w:t>
            </w:r>
            <w:r>
              <w:rPr>
                <w:rFonts w:ascii="Times New Roman" w:hAnsi="Times New Roman" w:cs="Times New Roman" w:eastAsia="Times New Roman" w:hint="default"/>
                <w:spacing w:val="28"/>
                <w:sz w:val="18"/>
                <w:szCs w:val="18"/>
              </w:rPr>
              <w:t> </w:t>
            </w:r>
            <w:r>
              <w:rPr>
                <w:rFonts w:ascii="宋体" w:hAnsi="宋体" w:cs="宋体" w:eastAsia="宋体" w:hint="default"/>
                <w:sz w:val="18"/>
                <w:szCs w:val="18"/>
              </w:rPr>
              <w:t>元；</w:t>
            </w:r>
          </w:p>
          <w:p>
            <w:pPr>
              <w:pStyle w:val="TableParagraph"/>
              <w:spacing w:line="451" w:lineRule="auto" w:before="43"/>
              <w:ind w:left="4" w:right="2"/>
              <w:jc w:val="both"/>
              <w:rPr>
                <w:rFonts w:ascii="宋体" w:hAnsi="宋体" w:cs="宋体" w:eastAsia="宋体" w:hint="default"/>
                <w:sz w:val="18"/>
                <w:szCs w:val="18"/>
              </w:rPr>
            </w:pPr>
            <w:r>
              <w:rPr>
                <w:rFonts w:ascii="宋体" w:hAnsi="宋体" w:cs="宋体" w:eastAsia="宋体" w:hint="default"/>
                <w:spacing w:val="8"/>
                <w:sz w:val="18"/>
                <w:szCs w:val="18"/>
              </w:rPr>
              <w:t>调增</w:t>
            </w:r>
            <w:r>
              <w:rPr>
                <w:rFonts w:ascii="Times New Roman" w:hAnsi="Times New Roman" w:cs="Times New Roman" w:eastAsia="Times New Roman" w:hint="default"/>
                <w:spacing w:val="8"/>
                <w:sz w:val="18"/>
                <w:szCs w:val="18"/>
              </w:rPr>
              <w:t>“</w:t>
            </w:r>
            <w:r>
              <w:rPr>
                <w:rFonts w:ascii="宋体" w:hAnsi="宋体" w:cs="宋体" w:eastAsia="宋体" w:hint="default"/>
                <w:spacing w:val="8"/>
                <w:sz w:val="18"/>
                <w:szCs w:val="18"/>
              </w:rPr>
              <w:t>其他应收款</w:t>
            </w:r>
            <w:r>
              <w:rPr>
                <w:rFonts w:ascii="Times New Roman" w:hAnsi="Times New Roman" w:cs="Times New Roman" w:eastAsia="Times New Roman" w:hint="default"/>
                <w:spacing w:val="8"/>
                <w:sz w:val="18"/>
                <w:szCs w:val="18"/>
              </w:rPr>
              <w:t>”</w:t>
            </w:r>
            <w:r>
              <w:rPr>
                <w:rFonts w:ascii="宋体" w:hAnsi="宋体" w:cs="宋体" w:eastAsia="宋体" w:hint="default"/>
                <w:spacing w:val="8"/>
                <w:sz w:val="18"/>
                <w:szCs w:val="18"/>
              </w:rPr>
              <w:t>本期金额</w:t>
            </w:r>
            <w:r>
              <w:rPr>
                <w:rFonts w:ascii="Times New Roman" w:hAnsi="Times New Roman" w:cs="Times New Roman" w:eastAsia="Times New Roman" w:hint="default"/>
                <w:spacing w:val="8"/>
                <w:sz w:val="18"/>
                <w:szCs w:val="18"/>
              </w:rPr>
              <w:t>0</w:t>
            </w:r>
            <w:r>
              <w:rPr>
                <w:rFonts w:ascii="Times New Roman" w:hAnsi="Times New Roman" w:cs="Times New Roman" w:eastAsia="Times New Roman" w:hint="default"/>
                <w:spacing w:val="43"/>
                <w:sz w:val="18"/>
                <w:szCs w:val="18"/>
              </w:rPr>
              <w:t> </w:t>
            </w:r>
            <w:r>
              <w:rPr>
                <w:rFonts w:ascii="宋体" w:hAnsi="宋体" w:cs="宋体" w:eastAsia="宋体" w:hint="default"/>
                <w:spacing w:val="7"/>
                <w:sz w:val="18"/>
                <w:szCs w:val="18"/>
              </w:rPr>
              <w:t>元，上期金额</w:t>
            </w:r>
            <w:r>
              <w:rPr>
                <w:rFonts w:ascii="Times New Roman" w:hAnsi="Times New Roman" w:cs="Times New Roman" w:eastAsia="Times New Roman" w:hint="default"/>
                <w:spacing w:val="7"/>
                <w:sz w:val="18"/>
                <w:szCs w:val="18"/>
              </w:rPr>
              <w:t>0</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元；</w:t>
            </w:r>
          </w:p>
          <w:p>
            <w:pPr>
              <w:pStyle w:val="TableParagraph"/>
              <w:spacing w:line="240" w:lineRule="auto" w:before="74"/>
              <w:ind w:left="4" w:right="0"/>
              <w:jc w:val="both"/>
              <w:rPr>
                <w:rFonts w:ascii="宋体" w:hAnsi="宋体" w:cs="宋体" w:eastAsia="宋体" w:hint="default"/>
                <w:sz w:val="18"/>
                <w:szCs w:val="18"/>
              </w:rPr>
            </w:pPr>
            <w:r>
              <w:rPr>
                <w:rFonts w:ascii="宋体" w:hAnsi="宋体" w:cs="宋体" w:eastAsia="宋体" w:hint="default"/>
                <w:sz w:val="18"/>
                <w:szCs w:val="18"/>
              </w:rPr>
              <w:t>调增</w:t>
            </w:r>
            <w:r>
              <w:rPr>
                <w:rFonts w:ascii="Times New Roman" w:hAnsi="Times New Roman" w:cs="Times New Roman" w:eastAsia="Times New Roman" w:hint="default"/>
                <w:sz w:val="18"/>
                <w:szCs w:val="18"/>
              </w:rPr>
              <w:t>“</w:t>
            </w:r>
            <w:r>
              <w:rPr>
                <w:rFonts w:ascii="宋体" w:hAnsi="宋体" w:cs="宋体" w:eastAsia="宋体" w:hint="default"/>
                <w:sz w:val="18"/>
                <w:szCs w:val="18"/>
              </w:rPr>
              <w:t>其他应付款</w:t>
            </w:r>
            <w:r>
              <w:rPr>
                <w:rFonts w:ascii="Times New Roman" w:hAnsi="Times New Roman" w:cs="Times New Roman" w:eastAsia="Times New Roman" w:hint="default"/>
                <w:sz w:val="18"/>
                <w:szCs w:val="18"/>
              </w:rPr>
              <w:t>”</w:t>
            </w:r>
            <w:r>
              <w:rPr>
                <w:rFonts w:ascii="宋体" w:hAnsi="宋体" w:cs="宋体" w:eastAsia="宋体" w:hint="default"/>
                <w:sz w:val="18"/>
                <w:szCs w:val="18"/>
              </w:rPr>
              <w:t>上期金额</w:t>
            </w:r>
            <w:r>
              <w:rPr>
                <w:rFonts w:ascii="Times New Roman" w:hAnsi="Times New Roman" w:cs="Times New Roman" w:eastAsia="Times New Roman" w:hint="default"/>
                <w:sz w:val="18"/>
                <w:szCs w:val="18"/>
              </w:rPr>
              <w:t>317,324.70</w:t>
            </w:r>
            <w:r>
              <w:rPr>
                <w:rFonts w:ascii="宋体" w:hAnsi="宋体" w:cs="宋体" w:eastAsia="宋体" w:hint="default"/>
                <w:sz w:val="18"/>
                <w:szCs w:val="18"/>
              </w:rPr>
              <w:t>元；</w:t>
            </w:r>
          </w:p>
        </w:tc>
      </w:tr>
      <w:tr>
        <w:trPr>
          <w:trHeight w:val="966" w:hRule="exact"/>
        </w:trPr>
        <w:tc>
          <w:tcPr>
            <w:tcW w:w="4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left="5"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）在利润表中新增</w:t>
            </w:r>
            <w:r>
              <w:rPr>
                <w:rFonts w:ascii="Times New Roman" w:hAnsi="Times New Roman" w:cs="Times New Roman" w:eastAsia="Times New Roman" w:hint="default"/>
                <w:sz w:val="18"/>
                <w:szCs w:val="18"/>
              </w:rPr>
              <w:t>“</w:t>
            </w:r>
            <w:r>
              <w:rPr>
                <w:rFonts w:ascii="宋体" w:hAnsi="宋体" w:cs="宋体" w:eastAsia="宋体" w:hint="default"/>
                <w:sz w:val="18"/>
                <w:szCs w:val="18"/>
              </w:rPr>
              <w:t>研发费用</w:t>
            </w:r>
            <w:r>
              <w:rPr>
                <w:rFonts w:ascii="Times New Roman" w:hAnsi="Times New Roman" w:cs="Times New Roman" w:eastAsia="Times New Roman" w:hint="default"/>
                <w:sz w:val="18"/>
                <w:szCs w:val="18"/>
              </w:rPr>
              <w:t>”</w:t>
            </w:r>
            <w:r>
              <w:rPr>
                <w:rFonts w:ascii="宋体" w:hAnsi="宋体" w:cs="宋体" w:eastAsia="宋体" w:hint="default"/>
                <w:sz w:val="18"/>
                <w:szCs w:val="18"/>
              </w:rPr>
              <w:t>项目，将原</w:t>
            </w:r>
            <w:r>
              <w:rPr>
                <w:rFonts w:ascii="Times New Roman" w:hAnsi="Times New Roman" w:cs="Times New Roman" w:eastAsia="Times New Roman" w:hint="default"/>
                <w:sz w:val="18"/>
                <w:szCs w:val="18"/>
              </w:rPr>
              <w:t>“</w:t>
            </w:r>
            <w:r>
              <w:rPr>
                <w:rFonts w:ascii="宋体" w:hAnsi="宋体" w:cs="宋体" w:eastAsia="宋体" w:hint="default"/>
                <w:sz w:val="18"/>
                <w:szCs w:val="18"/>
              </w:rPr>
              <w:t>管理费用</w:t>
            </w:r>
            <w:r>
              <w:rPr>
                <w:rFonts w:ascii="Times New Roman" w:hAnsi="Times New Roman" w:cs="Times New Roman" w:eastAsia="Times New Roman" w:hint="default"/>
                <w:sz w:val="18"/>
                <w:szCs w:val="18"/>
              </w:rPr>
              <w:t>”</w:t>
            </w:r>
          </w:p>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left="5" w:right="0"/>
              <w:jc w:val="left"/>
              <w:rPr>
                <w:rFonts w:ascii="宋体" w:hAnsi="宋体" w:cs="宋体" w:eastAsia="宋体" w:hint="default"/>
                <w:sz w:val="18"/>
                <w:szCs w:val="18"/>
              </w:rPr>
            </w:pPr>
            <w:r>
              <w:rPr>
                <w:rFonts w:ascii="宋体" w:hAnsi="宋体" w:cs="宋体" w:eastAsia="宋体" w:hint="default"/>
                <w:spacing w:val="2"/>
                <w:sz w:val="18"/>
                <w:szCs w:val="18"/>
              </w:rPr>
              <w:t>中的研发费用重分类至</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研发费用</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单独列示；在利润表</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5"/>
                <w:szCs w:val="25"/>
              </w:rPr>
            </w:pPr>
          </w:p>
          <w:p>
            <w:pPr>
              <w:pStyle w:val="TableParagraph"/>
              <w:spacing w:line="240" w:lineRule="auto"/>
              <w:ind w:right="216"/>
              <w:jc w:val="right"/>
              <w:rPr>
                <w:rFonts w:ascii="宋体" w:hAnsi="宋体" w:cs="宋体" w:eastAsia="宋体" w:hint="default"/>
                <w:sz w:val="18"/>
                <w:szCs w:val="18"/>
              </w:rPr>
            </w:pPr>
            <w:r>
              <w:rPr>
                <w:rFonts w:ascii="宋体" w:hAnsi="宋体" w:cs="宋体" w:eastAsia="宋体" w:hint="default"/>
                <w:sz w:val="18"/>
                <w:szCs w:val="18"/>
              </w:rPr>
              <w:t>董事会批准</w:t>
            </w:r>
          </w:p>
        </w:tc>
        <w:tc>
          <w:tcPr>
            <w:tcW w:w="3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left="4" w:right="0"/>
              <w:jc w:val="left"/>
              <w:rPr>
                <w:rFonts w:ascii="宋体" w:hAnsi="宋体" w:cs="宋体" w:eastAsia="宋体" w:hint="default"/>
                <w:sz w:val="18"/>
                <w:szCs w:val="18"/>
              </w:rPr>
            </w:pPr>
            <w:r>
              <w:rPr>
                <w:rFonts w:ascii="宋体" w:hAnsi="宋体" w:cs="宋体" w:eastAsia="宋体" w:hint="default"/>
                <w:spacing w:val="-2"/>
                <w:sz w:val="18"/>
                <w:szCs w:val="18"/>
              </w:rPr>
              <w:t>调减</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管理费用</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本期金额</w:t>
            </w:r>
            <w:r>
              <w:rPr>
                <w:rFonts w:ascii="Times New Roman" w:hAnsi="Times New Roman" w:cs="Times New Roman" w:eastAsia="Times New Roman" w:hint="default"/>
                <w:spacing w:val="-2"/>
                <w:sz w:val="18"/>
                <w:szCs w:val="18"/>
              </w:rPr>
              <w:t>87,499,160.98</w:t>
            </w:r>
            <w:r>
              <w:rPr>
                <w:rFonts w:ascii="宋体" w:hAnsi="宋体" w:cs="宋体" w:eastAsia="宋体" w:hint="default"/>
                <w:spacing w:val="-2"/>
                <w:sz w:val="18"/>
                <w:szCs w:val="18"/>
              </w:rPr>
              <w:t>元，上期</w:t>
            </w:r>
          </w:p>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left="4" w:right="0"/>
              <w:jc w:val="left"/>
              <w:rPr>
                <w:rFonts w:ascii="宋体" w:hAnsi="宋体" w:cs="宋体" w:eastAsia="宋体" w:hint="default"/>
                <w:sz w:val="18"/>
                <w:szCs w:val="18"/>
              </w:rPr>
            </w:pPr>
            <w:r>
              <w:rPr>
                <w:rFonts w:ascii="宋体" w:hAnsi="宋体" w:cs="宋体" w:eastAsia="宋体" w:hint="default"/>
                <w:sz w:val="18"/>
                <w:szCs w:val="18"/>
              </w:rPr>
              <w:t>金额</w:t>
            </w:r>
            <w:r>
              <w:rPr>
                <w:rFonts w:ascii="Times New Roman" w:hAnsi="Times New Roman" w:cs="Times New Roman" w:eastAsia="Times New Roman" w:hint="default"/>
                <w:sz w:val="18"/>
                <w:szCs w:val="18"/>
              </w:rPr>
              <w:t>77,542,170.48</w:t>
            </w:r>
            <w:r>
              <w:rPr>
                <w:rFonts w:ascii="宋体" w:hAnsi="宋体" w:cs="宋体" w:eastAsia="宋体" w:hint="default"/>
                <w:sz w:val="18"/>
                <w:szCs w:val="18"/>
              </w:rPr>
              <w:t>元，重分类至</w:t>
            </w:r>
            <w:r>
              <w:rPr>
                <w:rFonts w:ascii="Times New Roman" w:hAnsi="Times New Roman" w:cs="Times New Roman" w:eastAsia="Times New Roman" w:hint="default"/>
                <w:sz w:val="18"/>
                <w:szCs w:val="18"/>
              </w:rPr>
              <w:t>“</w:t>
            </w:r>
            <w:r>
              <w:rPr>
                <w:rFonts w:ascii="宋体" w:hAnsi="宋体" w:cs="宋体" w:eastAsia="宋体" w:hint="default"/>
                <w:sz w:val="18"/>
                <w:szCs w:val="18"/>
              </w:rPr>
              <w:t>研发费用</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r>
    </w:tbl>
    <w:p>
      <w:pPr>
        <w:spacing w:after="0" w:line="240" w:lineRule="auto"/>
        <w:jc w:val="left"/>
        <w:rPr>
          <w:rFonts w:ascii="宋体" w:hAnsi="宋体" w:cs="宋体" w:eastAsia="宋体" w:hint="default"/>
          <w:sz w:val="18"/>
          <w:szCs w:val="18"/>
        </w:rPr>
        <w:sectPr>
          <w:headerReference w:type="default" r:id="rId37"/>
          <w:footerReference w:type="default" r:id="rId38"/>
          <w:pgSz w:w="11910" w:h="16840"/>
          <w:pgMar w:header="877" w:footer="979" w:top="1060" w:bottom="1160" w:left="980" w:right="0"/>
          <w:pgNumType w:start="97"/>
        </w:sectPr>
      </w:pPr>
    </w:p>
    <w:p>
      <w:pPr>
        <w:spacing w:line="240" w:lineRule="auto" w:before="6"/>
        <w:rPr>
          <w:rFonts w:ascii="宋体" w:hAnsi="宋体" w:cs="宋体" w:eastAsia="宋体" w:hint="default"/>
          <w:sz w:val="24"/>
          <w:szCs w:val="24"/>
        </w:rPr>
      </w:pPr>
    </w:p>
    <w:tbl>
      <w:tblPr>
        <w:tblW w:w="0" w:type="auto"/>
        <w:jc w:val="left"/>
        <w:tblInd w:w="290" w:type="dxa"/>
        <w:tblLayout w:type="fixed"/>
        <w:tblCellMar>
          <w:top w:w="0" w:type="dxa"/>
          <w:left w:w="0" w:type="dxa"/>
          <w:bottom w:w="0" w:type="dxa"/>
          <w:right w:w="0" w:type="dxa"/>
        </w:tblCellMar>
        <w:tblLook w:val="01E0"/>
      </w:tblPr>
      <w:tblGrid>
        <w:gridCol w:w="4400"/>
        <w:gridCol w:w="1134"/>
        <w:gridCol w:w="3682"/>
      </w:tblGrid>
      <w:tr>
        <w:trPr>
          <w:trHeight w:val="966" w:hRule="exact"/>
        </w:trPr>
        <w:tc>
          <w:tcPr>
            <w:tcW w:w="4400" w:type="dxa"/>
            <w:tcBorders>
              <w:top w:val="single" w:sz="4" w:space="0" w:color="000000"/>
              <w:left w:val="single" w:sz="4" w:space="0" w:color="000000"/>
              <w:bottom w:val="single" w:sz="4" w:space="0" w:color="000000"/>
              <w:right w:val="single" w:sz="4" w:space="0" w:color="000000"/>
            </w:tcBorders>
          </w:tcPr>
          <w:p>
            <w:pPr>
              <w:pStyle w:val="TableParagraph"/>
              <w:spacing w:line="451" w:lineRule="auto" w:before="99"/>
              <w:ind w:left="5" w:right="5"/>
              <w:jc w:val="left"/>
              <w:rPr>
                <w:rFonts w:ascii="宋体" w:hAnsi="宋体" w:cs="宋体" w:eastAsia="宋体" w:hint="default"/>
                <w:sz w:val="18"/>
                <w:szCs w:val="18"/>
              </w:rPr>
            </w:pPr>
            <w:r>
              <w:rPr>
                <w:rFonts w:ascii="宋体" w:hAnsi="宋体" w:cs="宋体" w:eastAsia="宋体" w:hint="default"/>
                <w:spacing w:val="3"/>
                <w:sz w:val="18"/>
                <w:szCs w:val="18"/>
              </w:rPr>
              <w:t>中财务费用项下新增</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其中：利息费用</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和</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利息收入</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项</w:t>
            </w:r>
            <w:r>
              <w:rPr>
                <w:rFonts w:ascii="宋体" w:hAnsi="宋体" w:cs="宋体" w:eastAsia="宋体" w:hint="default"/>
                <w:spacing w:val="-82"/>
                <w:sz w:val="18"/>
                <w:szCs w:val="18"/>
              </w:rPr>
              <w:t> </w:t>
            </w:r>
            <w:r>
              <w:rPr>
                <w:rFonts w:ascii="宋体" w:hAnsi="宋体" w:cs="宋体" w:eastAsia="宋体" w:hint="default"/>
                <w:sz w:val="18"/>
                <w:szCs w:val="18"/>
              </w:rPr>
              <w:t>目。比较数据相应调整。</w:t>
            </w:r>
          </w:p>
        </w:tc>
        <w:tc>
          <w:tcPr>
            <w:tcW w:w="1134" w:type="dxa"/>
            <w:tcBorders>
              <w:top w:val="single" w:sz="4" w:space="0" w:color="000000"/>
              <w:left w:val="single" w:sz="4" w:space="0" w:color="000000"/>
              <w:bottom w:val="single" w:sz="4" w:space="0" w:color="000000"/>
              <w:right w:val="single" w:sz="4" w:space="0" w:color="000000"/>
            </w:tcBorders>
          </w:tcPr>
          <w:p>
            <w:pPr/>
          </w:p>
        </w:tc>
        <w:tc>
          <w:tcPr>
            <w:tcW w:w="3682" w:type="dxa"/>
            <w:tcBorders>
              <w:top w:val="single" w:sz="4" w:space="0" w:color="000000"/>
              <w:left w:val="single" w:sz="4" w:space="0" w:color="000000"/>
              <w:bottom w:val="single" w:sz="4" w:space="0" w:color="000000"/>
              <w:right w:val="single" w:sz="4" w:space="0" w:color="000000"/>
            </w:tcBorders>
          </w:tcPr>
          <w:p>
            <w:pPr/>
          </w:p>
        </w:tc>
      </w:tr>
      <w:tr>
        <w:trPr>
          <w:trHeight w:val="966" w:hRule="exact"/>
        </w:trPr>
        <w:tc>
          <w:tcPr>
            <w:tcW w:w="4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left="5" w:right="0"/>
              <w:jc w:val="left"/>
              <w:rPr>
                <w:rFonts w:ascii="宋体" w:hAnsi="宋体" w:cs="宋体" w:eastAsia="宋体" w:hint="default"/>
                <w:sz w:val="18"/>
                <w:szCs w:val="18"/>
              </w:rPr>
            </w:pPr>
            <w:r>
              <w:rPr>
                <w:rFonts w:ascii="宋体" w:hAnsi="宋体" w:cs="宋体" w:eastAsia="宋体" w:hint="default"/>
                <w:spacing w:val="2"/>
                <w:sz w:val="18"/>
                <w:szCs w:val="18"/>
              </w:rPr>
              <w:t>（</w:t>
            </w:r>
            <w:r>
              <w:rPr>
                <w:rFonts w:ascii="Times New Roman" w:hAnsi="Times New Roman" w:cs="Times New Roman" w:eastAsia="Times New Roman" w:hint="default"/>
                <w:spacing w:val="2"/>
                <w:sz w:val="18"/>
                <w:szCs w:val="18"/>
              </w:rPr>
              <w:t>3</w:t>
            </w:r>
            <w:r>
              <w:rPr>
                <w:rFonts w:ascii="宋体" w:hAnsi="宋体" w:cs="宋体" w:eastAsia="宋体" w:hint="default"/>
                <w:spacing w:val="2"/>
                <w:sz w:val="18"/>
                <w:szCs w:val="18"/>
              </w:rPr>
              <w:t>）所有者权益变动表中新增</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设定受益计划变动额结</w:t>
            </w:r>
          </w:p>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left="5" w:right="0"/>
              <w:jc w:val="left"/>
              <w:rPr>
                <w:rFonts w:ascii="宋体" w:hAnsi="宋体" w:cs="宋体" w:eastAsia="宋体" w:hint="default"/>
                <w:sz w:val="18"/>
                <w:szCs w:val="18"/>
              </w:rPr>
            </w:pPr>
            <w:r>
              <w:rPr>
                <w:rFonts w:ascii="宋体" w:hAnsi="宋体" w:cs="宋体" w:eastAsia="宋体" w:hint="default"/>
                <w:sz w:val="18"/>
                <w:szCs w:val="18"/>
              </w:rPr>
              <w:t>转留存收益</w:t>
            </w:r>
            <w:r>
              <w:rPr>
                <w:rFonts w:ascii="Times New Roman" w:hAnsi="Times New Roman" w:cs="Times New Roman" w:eastAsia="Times New Roman" w:hint="default"/>
                <w:sz w:val="18"/>
                <w:szCs w:val="18"/>
              </w:rPr>
              <w:t>”</w:t>
            </w:r>
            <w:r>
              <w:rPr>
                <w:rFonts w:ascii="宋体" w:hAnsi="宋体" w:cs="宋体" w:eastAsia="宋体" w:hint="default"/>
                <w:sz w:val="18"/>
                <w:szCs w:val="18"/>
              </w:rPr>
              <w:t>项目。比较数据相应调整。</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5"/>
                <w:szCs w:val="25"/>
              </w:rPr>
            </w:pPr>
          </w:p>
          <w:p>
            <w:pPr>
              <w:pStyle w:val="TableParagraph"/>
              <w:spacing w:line="240" w:lineRule="auto"/>
              <w:ind w:left="6" w:right="0"/>
              <w:jc w:val="left"/>
              <w:rPr>
                <w:rFonts w:ascii="宋体" w:hAnsi="宋体" w:cs="宋体" w:eastAsia="宋体" w:hint="default"/>
                <w:sz w:val="18"/>
                <w:szCs w:val="18"/>
              </w:rPr>
            </w:pPr>
            <w:r>
              <w:rPr>
                <w:rFonts w:ascii="宋体" w:hAnsi="宋体" w:cs="宋体" w:eastAsia="宋体" w:hint="default"/>
                <w:sz w:val="18"/>
                <w:szCs w:val="18"/>
              </w:rPr>
              <w:t>董事会批准</w:t>
            </w:r>
          </w:p>
        </w:tc>
        <w:tc>
          <w:tcPr>
            <w:tcW w:w="3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left="4"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设定受益计划变动额结转留存收益</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本期金额</w:t>
            </w:r>
          </w:p>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left="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0.00</w:t>
            </w:r>
            <w:r>
              <w:rPr>
                <w:rFonts w:ascii="宋体" w:hAnsi="宋体" w:cs="宋体" w:eastAsia="宋体" w:hint="default"/>
                <w:sz w:val="18"/>
                <w:szCs w:val="18"/>
              </w:rPr>
              <w:t>元，上期金额</w:t>
            </w:r>
            <w:r>
              <w:rPr>
                <w:rFonts w:ascii="Times New Roman" w:hAnsi="Times New Roman" w:cs="Times New Roman" w:eastAsia="Times New Roman" w:hint="default"/>
                <w:sz w:val="18"/>
                <w:szCs w:val="18"/>
              </w:rPr>
              <w:t>0.00</w:t>
            </w:r>
            <w:r>
              <w:rPr>
                <w:rFonts w:ascii="宋体" w:hAnsi="宋体" w:cs="宋体" w:eastAsia="宋体" w:hint="default"/>
                <w:sz w:val="18"/>
                <w:szCs w:val="18"/>
              </w:rPr>
              <w:t>元。</w:t>
            </w:r>
          </w:p>
        </w:tc>
      </w:tr>
    </w:tbl>
    <w:p>
      <w:pPr>
        <w:spacing w:line="240" w:lineRule="auto" w:before="2"/>
        <w:rPr>
          <w:rFonts w:ascii="宋体" w:hAnsi="宋体" w:cs="宋体" w:eastAsia="宋体" w:hint="default"/>
          <w:sz w:val="18"/>
          <w:szCs w:val="18"/>
        </w:rPr>
      </w:pPr>
    </w:p>
    <w:p>
      <w:pPr>
        <w:pStyle w:val="Heading2"/>
        <w:spacing w:line="240" w:lineRule="auto" w:before="26"/>
        <w:ind w:right="1117"/>
        <w:jc w:val="left"/>
        <w:rPr>
          <w:b w:val="0"/>
          <w:bCs w:val="0"/>
        </w:rPr>
      </w:pPr>
      <w:bookmarkStart w:name="七、与上年度财务报告相比，合并报表范围发生变化的情况说明" w:id="70"/>
      <w:bookmarkEnd w:id="70"/>
      <w:r>
        <w:rPr>
          <w:b w:val="0"/>
          <w:bCs w:val="0"/>
        </w:rPr>
      </w:r>
      <w:r>
        <w:rPr/>
        <w:t>七、与上年度财务报告相比，合并报表范围发生变化的情况说明</w:t>
      </w:r>
      <w:r>
        <w:rPr>
          <w:b w:val="0"/>
          <w:bCs w:val="0"/>
        </w:rPr>
      </w:r>
    </w:p>
    <w:p>
      <w:pPr>
        <w:spacing w:line="240" w:lineRule="auto" w:before="7"/>
        <w:rPr>
          <w:rFonts w:ascii="宋体" w:hAnsi="宋体" w:cs="宋体" w:eastAsia="宋体" w:hint="default"/>
          <w:b/>
          <w:bCs/>
          <w:sz w:val="26"/>
          <w:szCs w:val="26"/>
        </w:rPr>
      </w:pPr>
    </w:p>
    <w:p>
      <w:pPr>
        <w:spacing w:before="0"/>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pStyle w:val="BodyText"/>
        <w:spacing w:line="386" w:lineRule="auto" w:before="155"/>
        <w:ind w:right="1194" w:firstLine="423"/>
        <w:jc w:val="left"/>
      </w:pPr>
      <w:r>
        <w:rPr>
          <w:rFonts w:ascii="Times New Roman" w:hAnsi="Times New Roman" w:cs="Times New Roman" w:eastAsia="Times New Roman" w:hint="default"/>
        </w:rPr>
        <w:t>1</w:t>
      </w:r>
      <w:r>
        <w:rPr/>
        <w:t>、本年度公司新设子公司完美数联（北京）科技有限公司、北京开普力维科技有限公司，将其纳入 报表合并范围内；</w:t>
      </w:r>
    </w:p>
    <w:p>
      <w:pPr>
        <w:pStyle w:val="BodyText"/>
        <w:spacing w:line="386" w:lineRule="auto" w:before="65"/>
        <w:ind w:right="1194" w:firstLine="423"/>
        <w:jc w:val="left"/>
      </w:pPr>
      <w:r>
        <w:rPr>
          <w:rFonts w:ascii="Times New Roman" w:hAnsi="Times New Roman" w:cs="Times New Roman" w:eastAsia="Times New Roman" w:hint="default"/>
        </w:rPr>
        <w:t>2</w:t>
      </w:r>
      <w:r>
        <w:rPr/>
        <w:t>、本年度新设郑州惠品优购商贸有限公司并于本年度注销，自成立日至处置日的收入、费用、利润 纳入合并利润表；自成立日至处置日的现金流量纳入合并现金流量表；</w:t>
      </w:r>
    </w:p>
    <w:p>
      <w:pPr>
        <w:pStyle w:val="BodyText"/>
        <w:spacing w:line="386" w:lineRule="auto" w:before="65"/>
        <w:ind w:right="1194" w:firstLine="423"/>
        <w:jc w:val="left"/>
      </w:pPr>
      <w:r>
        <w:rPr>
          <w:rFonts w:ascii="Times New Roman" w:hAnsi="Times New Roman" w:cs="Times New Roman" w:eastAsia="Times New Roman" w:hint="default"/>
        </w:rPr>
        <w:t>3</w:t>
      </w:r>
      <w:r>
        <w:rPr/>
        <w:t>、本年度注销子公司山西新开普信息科技有限公司，期初至处置日的收入、费用、利润纳入合并利 润表；期初至处置日的现金流量纳入合并现金流量表。</w:t>
      </w:r>
    </w:p>
    <w:p>
      <w:pPr>
        <w:spacing w:line="240" w:lineRule="auto" w:before="4"/>
        <w:rPr>
          <w:rFonts w:ascii="宋体" w:hAnsi="宋体" w:cs="宋体" w:eastAsia="宋体" w:hint="default"/>
          <w:sz w:val="20"/>
          <w:szCs w:val="20"/>
        </w:rPr>
      </w:pPr>
    </w:p>
    <w:p>
      <w:pPr>
        <w:pStyle w:val="Heading2"/>
        <w:spacing w:line="240" w:lineRule="auto"/>
        <w:ind w:right="1117"/>
        <w:jc w:val="left"/>
        <w:rPr>
          <w:b w:val="0"/>
          <w:bCs w:val="0"/>
        </w:rPr>
      </w:pPr>
      <w:bookmarkStart w:name="八、聘任、解聘会计师事务所情况" w:id="71"/>
      <w:bookmarkEnd w:id="71"/>
      <w:r>
        <w:rPr>
          <w:b w:val="0"/>
          <w:bCs w:val="0"/>
        </w:rPr>
      </w:r>
      <w:r>
        <w:rPr/>
        <w:t>八、聘任、解聘会计师事务所情况</w:t>
      </w:r>
      <w:r>
        <w:rPr>
          <w:b w:val="0"/>
          <w:bCs w:val="0"/>
        </w:rPr>
      </w:r>
    </w:p>
    <w:p>
      <w:pPr>
        <w:spacing w:line="240" w:lineRule="auto" w:before="8"/>
        <w:rPr>
          <w:rFonts w:ascii="宋体" w:hAnsi="宋体" w:cs="宋体" w:eastAsia="宋体" w:hint="default"/>
          <w:b/>
          <w:bCs/>
          <w:sz w:val="26"/>
          <w:szCs w:val="26"/>
        </w:rPr>
      </w:pPr>
    </w:p>
    <w:p>
      <w:pPr>
        <w:spacing w:before="0"/>
        <w:ind w:left="154" w:right="1117" w:firstLine="0"/>
        <w:jc w:val="left"/>
        <w:rPr>
          <w:rFonts w:ascii="宋体" w:hAnsi="宋体" w:cs="宋体" w:eastAsia="宋体" w:hint="default"/>
          <w:sz w:val="18"/>
          <w:szCs w:val="18"/>
        </w:rPr>
      </w:pPr>
      <w:r>
        <w:rPr>
          <w:rFonts w:ascii="宋体" w:hAnsi="宋体" w:cs="宋体" w:eastAsia="宋体" w:hint="default"/>
          <w:sz w:val="18"/>
          <w:szCs w:val="18"/>
        </w:rPr>
        <w:t>现聘任的会计事务所</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4792"/>
        <w:gridCol w:w="4777"/>
      </w:tblGrid>
      <w:tr>
        <w:trPr>
          <w:trHeight w:val="402" w:hRule="exact"/>
        </w:trPr>
        <w:tc>
          <w:tcPr>
            <w:tcW w:w="47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境内会计师事务所名称</w:t>
            </w:r>
          </w:p>
        </w:tc>
        <w:tc>
          <w:tcPr>
            <w:tcW w:w="4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立信会计师事务所（特殊普通合伙）</w:t>
            </w:r>
          </w:p>
        </w:tc>
      </w:tr>
      <w:tr>
        <w:trPr>
          <w:trHeight w:val="402" w:hRule="exact"/>
        </w:trPr>
        <w:tc>
          <w:tcPr>
            <w:tcW w:w="47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境内会计师事务所报酬（万元）</w:t>
            </w:r>
          </w:p>
        </w:tc>
        <w:tc>
          <w:tcPr>
            <w:tcW w:w="4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60</w:t>
            </w:r>
          </w:p>
        </w:tc>
      </w:tr>
      <w:tr>
        <w:trPr>
          <w:trHeight w:val="402" w:hRule="exact"/>
        </w:trPr>
        <w:tc>
          <w:tcPr>
            <w:tcW w:w="47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境内会计师事务所审计服务的连续年限</w:t>
            </w:r>
          </w:p>
        </w:tc>
        <w:tc>
          <w:tcPr>
            <w:tcW w:w="4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6</w:t>
            </w:r>
          </w:p>
        </w:tc>
      </w:tr>
      <w:tr>
        <w:trPr>
          <w:trHeight w:val="402" w:hRule="exact"/>
        </w:trPr>
        <w:tc>
          <w:tcPr>
            <w:tcW w:w="47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境内会计师事务所注册会计师姓名</w:t>
            </w:r>
          </w:p>
        </w:tc>
        <w:tc>
          <w:tcPr>
            <w:tcW w:w="4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王娜、王幈</w:t>
            </w:r>
          </w:p>
        </w:tc>
      </w:tr>
      <w:tr>
        <w:trPr>
          <w:trHeight w:val="402" w:hRule="exact"/>
        </w:trPr>
        <w:tc>
          <w:tcPr>
            <w:tcW w:w="47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境内会计师事务所注册会计师审计服务的连续年限</w:t>
            </w:r>
          </w:p>
        </w:tc>
        <w:tc>
          <w:tcPr>
            <w:tcW w:w="4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1</w:t>
            </w:r>
          </w:p>
        </w:tc>
      </w:tr>
    </w:tbl>
    <w:p>
      <w:pPr>
        <w:spacing w:before="51"/>
        <w:ind w:left="154" w:right="1117" w:firstLine="0"/>
        <w:jc w:val="left"/>
        <w:rPr>
          <w:rFonts w:ascii="宋体" w:hAnsi="宋体" w:cs="宋体" w:eastAsia="宋体" w:hint="default"/>
          <w:sz w:val="18"/>
          <w:szCs w:val="18"/>
        </w:rPr>
      </w:pPr>
      <w:r>
        <w:rPr>
          <w:rFonts w:ascii="宋体" w:hAnsi="宋体" w:cs="宋体" w:eastAsia="宋体" w:hint="default"/>
          <w:sz w:val="18"/>
          <w:szCs w:val="18"/>
        </w:rPr>
        <w:t>是否改聘会计师事务所</w:t>
      </w:r>
    </w:p>
    <w:p>
      <w:pPr>
        <w:spacing w:line="338" w:lineRule="auto" w:before="117"/>
        <w:ind w:left="154" w:right="625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否 聘请内部控制审计会计师事务所、财务顾问或保荐人情况</w:t>
      </w:r>
    </w:p>
    <w:p>
      <w:pPr>
        <w:spacing w:before="43"/>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2"/>
        <w:rPr>
          <w:rFonts w:ascii="宋体" w:hAnsi="宋体" w:cs="宋体" w:eastAsia="宋体" w:hint="default"/>
          <w:sz w:val="23"/>
          <w:szCs w:val="23"/>
        </w:rPr>
      </w:pPr>
    </w:p>
    <w:p>
      <w:pPr>
        <w:pStyle w:val="Heading2"/>
        <w:spacing w:line="240" w:lineRule="auto"/>
        <w:ind w:right="1117"/>
        <w:jc w:val="left"/>
        <w:rPr>
          <w:b w:val="0"/>
          <w:bCs w:val="0"/>
        </w:rPr>
      </w:pPr>
      <w:bookmarkStart w:name="九、年度报告披露后面临暂停上市和终止上市情况" w:id="72"/>
      <w:bookmarkEnd w:id="72"/>
      <w:r>
        <w:rPr>
          <w:b w:val="0"/>
          <w:bCs w:val="0"/>
        </w:rPr>
      </w:r>
      <w:r>
        <w:rPr/>
        <w:t>九、年度报告披露后面临暂停上市和终止上市情况</w:t>
      </w:r>
      <w:r>
        <w:rPr>
          <w:b w:val="0"/>
          <w:bCs w:val="0"/>
        </w:rPr>
      </w:r>
    </w:p>
    <w:p>
      <w:pPr>
        <w:spacing w:line="240" w:lineRule="auto" w:before="9"/>
        <w:rPr>
          <w:rFonts w:ascii="宋体" w:hAnsi="宋体" w:cs="宋体" w:eastAsia="宋体" w:hint="default"/>
          <w:b/>
          <w:bCs/>
          <w:sz w:val="26"/>
          <w:szCs w:val="26"/>
        </w:rPr>
      </w:pPr>
    </w:p>
    <w:p>
      <w:pPr>
        <w:spacing w:before="0"/>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2"/>
        <w:rPr>
          <w:rFonts w:ascii="宋体" w:hAnsi="宋体" w:cs="宋体" w:eastAsia="宋体" w:hint="default"/>
          <w:sz w:val="23"/>
          <w:szCs w:val="23"/>
        </w:rPr>
      </w:pPr>
    </w:p>
    <w:p>
      <w:pPr>
        <w:pStyle w:val="Heading2"/>
        <w:spacing w:line="240" w:lineRule="auto"/>
        <w:ind w:right="1117"/>
        <w:jc w:val="left"/>
        <w:rPr>
          <w:b w:val="0"/>
          <w:bCs w:val="0"/>
        </w:rPr>
      </w:pPr>
      <w:bookmarkStart w:name="十、破产重整相关事项" w:id="73"/>
      <w:bookmarkEnd w:id="73"/>
      <w:r>
        <w:rPr>
          <w:b w:val="0"/>
          <w:bCs w:val="0"/>
        </w:rPr>
      </w:r>
      <w:r>
        <w:rPr/>
        <w:t>十、破产重整相关事项</w:t>
      </w:r>
      <w:r>
        <w:rPr>
          <w:b w:val="0"/>
          <w:bCs w:val="0"/>
        </w:rPr>
      </w:r>
    </w:p>
    <w:p>
      <w:pPr>
        <w:spacing w:line="240" w:lineRule="auto" w:before="9"/>
        <w:rPr>
          <w:rFonts w:ascii="宋体" w:hAnsi="宋体" w:cs="宋体" w:eastAsia="宋体" w:hint="default"/>
          <w:b/>
          <w:bCs/>
          <w:sz w:val="26"/>
          <w:szCs w:val="26"/>
        </w:rPr>
      </w:pPr>
    </w:p>
    <w:p>
      <w:pPr>
        <w:spacing w:line="338" w:lineRule="auto" w:before="0"/>
        <w:ind w:left="154" w:right="769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公司报告期未发生破产重整相关事项。</w:t>
      </w:r>
    </w:p>
    <w:p>
      <w:pPr>
        <w:spacing w:after="0" w:line="338" w:lineRule="auto"/>
        <w:jc w:val="left"/>
        <w:rPr>
          <w:rFonts w:ascii="宋体" w:hAnsi="宋体" w:cs="宋体" w:eastAsia="宋体" w:hint="default"/>
          <w:sz w:val="18"/>
          <w:szCs w:val="18"/>
        </w:rPr>
        <w:sectPr>
          <w:pgSz w:w="11910" w:h="16840"/>
          <w:pgMar w:header="877" w:footer="979" w:top="1100" w:bottom="1160" w:left="980" w:right="0"/>
        </w:sectPr>
      </w:pPr>
    </w:p>
    <w:p>
      <w:pPr>
        <w:spacing w:line="240" w:lineRule="auto" w:before="8"/>
        <w:rPr>
          <w:rFonts w:ascii="宋体" w:hAnsi="宋体" w:cs="宋体" w:eastAsia="宋体" w:hint="default"/>
          <w:sz w:val="19"/>
          <w:szCs w:val="19"/>
        </w:rPr>
      </w:pPr>
    </w:p>
    <w:p>
      <w:pPr>
        <w:pStyle w:val="Heading2"/>
        <w:spacing w:line="240" w:lineRule="auto" w:before="26"/>
        <w:ind w:right="1117"/>
        <w:jc w:val="left"/>
        <w:rPr>
          <w:b w:val="0"/>
          <w:bCs w:val="0"/>
        </w:rPr>
      </w:pPr>
      <w:bookmarkStart w:name="十一、重大诉讼、仲裁事项" w:id="74"/>
      <w:bookmarkEnd w:id="74"/>
      <w:r>
        <w:rPr>
          <w:b w:val="0"/>
          <w:bCs w:val="0"/>
        </w:rPr>
      </w:r>
      <w:r>
        <w:rPr/>
        <w:t>十一、重大诉讼、仲裁事项</w:t>
      </w:r>
      <w:r>
        <w:rPr>
          <w:b w:val="0"/>
          <w:bCs w:val="0"/>
        </w:rPr>
      </w:r>
    </w:p>
    <w:p>
      <w:pPr>
        <w:spacing w:line="240" w:lineRule="auto" w:before="9"/>
        <w:rPr>
          <w:rFonts w:ascii="宋体" w:hAnsi="宋体" w:cs="宋体" w:eastAsia="宋体" w:hint="default"/>
          <w:b/>
          <w:bCs/>
          <w:sz w:val="26"/>
          <w:szCs w:val="26"/>
        </w:rPr>
      </w:pPr>
    </w:p>
    <w:p>
      <w:pPr>
        <w:spacing w:before="0"/>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3"/>
        <w:rPr>
          <w:rFonts w:ascii="宋体" w:hAnsi="宋体" w:cs="宋体" w:eastAsia="宋体" w:hint="default"/>
          <w:sz w:val="6"/>
          <w:szCs w:val="6"/>
        </w:rPr>
      </w:pPr>
    </w:p>
    <w:tbl>
      <w:tblPr>
        <w:tblW w:w="0" w:type="auto"/>
        <w:jc w:val="left"/>
        <w:tblInd w:w="149" w:type="dxa"/>
        <w:tblLayout w:type="fixed"/>
        <w:tblCellMar>
          <w:top w:w="0" w:type="dxa"/>
          <w:left w:w="0" w:type="dxa"/>
          <w:bottom w:w="0" w:type="dxa"/>
          <w:right w:w="0" w:type="dxa"/>
        </w:tblCellMar>
        <w:tblLook w:val="01E0"/>
      </w:tblPr>
      <w:tblGrid>
        <w:gridCol w:w="1451"/>
        <w:gridCol w:w="1086"/>
        <w:gridCol w:w="1265"/>
        <w:gridCol w:w="954"/>
        <w:gridCol w:w="1392"/>
        <w:gridCol w:w="1266"/>
        <w:gridCol w:w="1080"/>
        <w:gridCol w:w="1076"/>
      </w:tblGrid>
      <w:tr>
        <w:trPr>
          <w:trHeight w:val="714" w:hRule="exact"/>
        </w:trPr>
        <w:tc>
          <w:tcPr>
            <w:tcW w:w="14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2"/>
              <w:ind w:left="630" w:right="29" w:hanging="601"/>
              <w:jc w:val="left"/>
              <w:rPr>
                <w:rFonts w:ascii="宋体" w:hAnsi="宋体" w:cs="宋体" w:eastAsia="宋体" w:hint="default"/>
                <w:sz w:val="18"/>
                <w:szCs w:val="18"/>
              </w:rPr>
            </w:pPr>
            <w:r>
              <w:rPr>
                <w:rFonts w:ascii="宋体" w:hAnsi="宋体" w:cs="宋体" w:eastAsia="宋体" w:hint="default"/>
                <w:sz w:val="18"/>
                <w:szCs w:val="18"/>
              </w:rPr>
              <w:t>诉讼</w:t>
            </w:r>
            <w:r>
              <w:rPr>
                <w:rFonts w:ascii="Times New Roman" w:hAnsi="Times New Roman" w:cs="Times New Roman" w:eastAsia="Times New Roman" w:hint="default"/>
                <w:sz w:val="18"/>
                <w:szCs w:val="18"/>
              </w:rPr>
              <w:t>(</w:t>
            </w:r>
            <w:r>
              <w:rPr>
                <w:rFonts w:ascii="宋体" w:hAnsi="宋体" w:cs="宋体" w:eastAsia="宋体" w:hint="default"/>
                <w:sz w:val="18"/>
                <w:szCs w:val="18"/>
              </w:rPr>
              <w:t>仲裁</w:t>
            </w:r>
            <w:r>
              <w:rPr>
                <w:rFonts w:ascii="Times New Roman" w:hAnsi="Times New Roman" w:cs="Times New Roman" w:eastAsia="Times New Roman" w:hint="default"/>
                <w:sz w:val="18"/>
                <w:szCs w:val="18"/>
              </w:rPr>
              <w:t>)</w:t>
            </w:r>
            <w:r>
              <w:rPr>
                <w:rFonts w:ascii="宋体" w:hAnsi="宋体" w:cs="宋体" w:eastAsia="宋体" w:hint="default"/>
                <w:sz w:val="18"/>
                <w:szCs w:val="18"/>
              </w:rPr>
              <w:t>基本情 况</w:t>
            </w:r>
          </w:p>
        </w:tc>
        <w:tc>
          <w:tcPr>
            <w:tcW w:w="10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2"/>
              <w:ind w:left="357" w:right="23" w:hanging="335"/>
              <w:jc w:val="left"/>
              <w:rPr>
                <w:rFonts w:ascii="宋体" w:hAnsi="宋体" w:cs="宋体" w:eastAsia="宋体" w:hint="default"/>
                <w:sz w:val="18"/>
                <w:szCs w:val="18"/>
              </w:rPr>
            </w:pPr>
            <w:r>
              <w:rPr>
                <w:rFonts w:ascii="宋体" w:hAnsi="宋体" w:cs="宋体" w:eastAsia="宋体" w:hint="default"/>
                <w:spacing w:val="-9"/>
                <w:sz w:val="18"/>
                <w:szCs w:val="18"/>
              </w:rPr>
              <w:t>涉案金额（万</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元）</w:t>
            </w:r>
          </w:p>
        </w:tc>
        <w:tc>
          <w:tcPr>
            <w:tcW w:w="12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2"/>
              <w:ind w:left="446" w:right="87" w:hanging="360"/>
              <w:jc w:val="left"/>
              <w:rPr>
                <w:rFonts w:ascii="宋体" w:hAnsi="宋体" w:cs="宋体" w:eastAsia="宋体" w:hint="default"/>
                <w:sz w:val="18"/>
                <w:szCs w:val="18"/>
              </w:rPr>
            </w:pPr>
            <w:r>
              <w:rPr>
                <w:rFonts w:ascii="宋体" w:hAnsi="宋体" w:cs="宋体" w:eastAsia="宋体" w:hint="default"/>
                <w:sz w:val="18"/>
                <w:szCs w:val="18"/>
              </w:rPr>
              <w:t>是否形成预计 负债</w:t>
            </w:r>
          </w:p>
        </w:tc>
        <w:tc>
          <w:tcPr>
            <w:tcW w:w="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2"/>
              <w:ind w:left="292" w:right="49" w:hanging="240"/>
              <w:jc w:val="left"/>
              <w:rPr>
                <w:rFonts w:ascii="宋体" w:hAnsi="宋体" w:cs="宋体" w:eastAsia="宋体" w:hint="default"/>
                <w:sz w:val="18"/>
                <w:szCs w:val="18"/>
              </w:rPr>
            </w:pPr>
            <w:r>
              <w:rPr>
                <w:rFonts w:ascii="宋体" w:hAnsi="宋体" w:cs="宋体" w:eastAsia="宋体" w:hint="default"/>
                <w:sz w:val="18"/>
                <w:szCs w:val="18"/>
              </w:rPr>
              <w:t>诉讼</w:t>
            </w:r>
            <w:r>
              <w:rPr>
                <w:rFonts w:ascii="Times New Roman" w:hAnsi="Times New Roman" w:cs="Times New Roman" w:eastAsia="Times New Roman" w:hint="default"/>
                <w:sz w:val="18"/>
                <w:szCs w:val="18"/>
              </w:rPr>
              <w:t>(</w:t>
            </w:r>
            <w:r>
              <w:rPr>
                <w:rFonts w:ascii="宋体" w:hAnsi="宋体" w:cs="宋体" w:eastAsia="宋体" w:hint="default"/>
                <w:sz w:val="18"/>
                <w:szCs w:val="18"/>
              </w:rPr>
              <w:t>仲裁</w:t>
            </w:r>
            <w:r>
              <w:rPr>
                <w:rFonts w:ascii="Times New Roman" w:hAnsi="Times New Roman" w:cs="Times New Roman" w:eastAsia="Times New Roman" w:hint="default"/>
                <w:sz w:val="18"/>
                <w:szCs w:val="18"/>
              </w:rPr>
              <w:t>) </w:t>
            </w:r>
            <w:r>
              <w:rPr>
                <w:rFonts w:ascii="宋体" w:hAnsi="宋体" w:cs="宋体" w:eastAsia="宋体" w:hint="default"/>
                <w:sz w:val="18"/>
                <w:szCs w:val="18"/>
              </w:rPr>
              <w:t>进展</w:t>
            </w:r>
          </w:p>
        </w:tc>
        <w:tc>
          <w:tcPr>
            <w:tcW w:w="1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2"/>
              <w:ind w:left="241" w:right="89" w:hanging="150"/>
              <w:jc w:val="left"/>
              <w:rPr>
                <w:rFonts w:ascii="宋体" w:hAnsi="宋体" w:cs="宋体" w:eastAsia="宋体" w:hint="default"/>
                <w:sz w:val="18"/>
                <w:szCs w:val="18"/>
              </w:rPr>
            </w:pPr>
            <w:r>
              <w:rPr>
                <w:rFonts w:ascii="宋体" w:hAnsi="宋体" w:cs="宋体" w:eastAsia="宋体" w:hint="default"/>
                <w:sz w:val="18"/>
                <w:szCs w:val="18"/>
              </w:rPr>
              <w:t>诉讼</w:t>
            </w:r>
            <w:r>
              <w:rPr>
                <w:rFonts w:ascii="Times New Roman" w:hAnsi="Times New Roman" w:cs="Times New Roman" w:eastAsia="Times New Roman" w:hint="default"/>
                <w:sz w:val="18"/>
                <w:szCs w:val="18"/>
              </w:rPr>
              <w:t>(</w:t>
            </w:r>
            <w:r>
              <w:rPr>
                <w:rFonts w:ascii="宋体" w:hAnsi="宋体" w:cs="宋体" w:eastAsia="宋体" w:hint="default"/>
                <w:sz w:val="18"/>
                <w:szCs w:val="18"/>
              </w:rPr>
              <w:t>仲裁</w:t>
            </w:r>
            <w:r>
              <w:rPr>
                <w:rFonts w:ascii="Times New Roman" w:hAnsi="Times New Roman" w:cs="Times New Roman" w:eastAsia="Times New Roman" w:hint="default"/>
                <w:sz w:val="18"/>
                <w:szCs w:val="18"/>
              </w:rPr>
              <w:t>)</w:t>
            </w:r>
            <w:r>
              <w:rPr>
                <w:rFonts w:ascii="宋体" w:hAnsi="宋体" w:cs="宋体" w:eastAsia="宋体" w:hint="default"/>
                <w:sz w:val="18"/>
                <w:szCs w:val="18"/>
              </w:rPr>
              <w:t>审理 结果及影响</w:t>
            </w:r>
          </w:p>
        </w:tc>
        <w:tc>
          <w:tcPr>
            <w:tcW w:w="12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2"/>
              <w:ind w:left="267" w:right="26" w:hanging="240"/>
              <w:jc w:val="left"/>
              <w:rPr>
                <w:rFonts w:ascii="宋体" w:hAnsi="宋体" w:cs="宋体" w:eastAsia="宋体" w:hint="default"/>
                <w:sz w:val="18"/>
                <w:szCs w:val="18"/>
              </w:rPr>
            </w:pPr>
            <w:r>
              <w:rPr>
                <w:rFonts w:ascii="宋体" w:hAnsi="宋体" w:cs="宋体" w:eastAsia="宋体" w:hint="default"/>
                <w:sz w:val="18"/>
                <w:szCs w:val="18"/>
              </w:rPr>
              <w:t>诉讼</w:t>
            </w:r>
            <w:r>
              <w:rPr>
                <w:rFonts w:ascii="Times New Roman" w:hAnsi="Times New Roman" w:cs="Times New Roman" w:eastAsia="Times New Roman" w:hint="default"/>
                <w:sz w:val="18"/>
                <w:szCs w:val="18"/>
              </w:rPr>
              <w:t>(</w:t>
            </w:r>
            <w:r>
              <w:rPr>
                <w:rFonts w:ascii="宋体" w:hAnsi="宋体" w:cs="宋体" w:eastAsia="宋体" w:hint="default"/>
                <w:sz w:val="18"/>
                <w:szCs w:val="18"/>
              </w:rPr>
              <w:t>仲裁</w:t>
            </w:r>
            <w:r>
              <w:rPr>
                <w:rFonts w:ascii="Times New Roman" w:hAnsi="Times New Roman" w:cs="Times New Roman" w:eastAsia="Times New Roman" w:hint="default"/>
                <w:sz w:val="18"/>
                <w:szCs w:val="18"/>
              </w:rPr>
              <w:t>)</w:t>
            </w:r>
            <w:r>
              <w:rPr>
                <w:rFonts w:ascii="宋体" w:hAnsi="宋体" w:cs="宋体" w:eastAsia="宋体" w:hint="default"/>
                <w:sz w:val="18"/>
                <w:szCs w:val="18"/>
              </w:rPr>
              <w:t>判决 执行情况</w:t>
            </w:r>
          </w:p>
        </w:tc>
        <w:tc>
          <w:tcPr>
            <w:tcW w:w="1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73" w:right="0"/>
              <w:jc w:val="left"/>
              <w:rPr>
                <w:rFonts w:ascii="宋体" w:hAnsi="宋体" w:cs="宋体" w:eastAsia="宋体" w:hint="default"/>
                <w:sz w:val="18"/>
                <w:szCs w:val="18"/>
              </w:rPr>
            </w:pPr>
            <w:r>
              <w:rPr>
                <w:rFonts w:ascii="宋体" w:hAnsi="宋体" w:cs="宋体" w:eastAsia="宋体" w:hint="default"/>
                <w:sz w:val="18"/>
                <w:szCs w:val="18"/>
              </w:rPr>
              <w:t>披露日期</w:t>
            </w:r>
          </w:p>
        </w:tc>
        <w:tc>
          <w:tcPr>
            <w:tcW w:w="10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73"/>
              <w:jc w:val="right"/>
              <w:rPr>
                <w:rFonts w:ascii="宋体" w:hAnsi="宋体" w:cs="宋体" w:eastAsia="宋体" w:hint="default"/>
                <w:sz w:val="18"/>
                <w:szCs w:val="18"/>
              </w:rPr>
            </w:pPr>
            <w:r>
              <w:rPr>
                <w:rFonts w:ascii="宋体" w:hAnsi="宋体" w:cs="宋体" w:eastAsia="宋体" w:hint="default"/>
                <w:sz w:val="18"/>
                <w:szCs w:val="18"/>
              </w:rPr>
              <w:t>披露索引</w:t>
            </w:r>
          </w:p>
        </w:tc>
      </w:tr>
      <w:tr>
        <w:trPr>
          <w:trHeight w:val="6020" w:hRule="exact"/>
        </w:trPr>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22" w:right="22"/>
              <w:jc w:val="left"/>
              <w:rPr>
                <w:rFonts w:ascii="宋体" w:hAnsi="宋体" w:cs="宋体" w:eastAsia="宋体" w:hint="default"/>
                <w:sz w:val="18"/>
                <w:szCs w:val="18"/>
              </w:rPr>
            </w:pPr>
            <w:r>
              <w:rPr>
                <w:rFonts w:ascii="宋体" w:hAnsi="宋体" w:cs="宋体" w:eastAsia="宋体" w:hint="default"/>
                <w:sz w:val="18"/>
                <w:szCs w:val="18"/>
              </w:rPr>
              <w:t>由新开普控股 </w:t>
            </w:r>
            <w:r>
              <w:rPr>
                <w:rFonts w:ascii="Times New Roman" w:hAnsi="Times New Roman" w:cs="Times New Roman" w:eastAsia="Times New Roman" w:hint="default"/>
                <w:sz w:val="18"/>
                <w:szCs w:val="18"/>
              </w:rPr>
              <w:t>35%</w:t>
            </w:r>
            <w:r>
              <w:rPr>
                <w:rFonts w:ascii="宋体" w:hAnsi="宋体" w:cs="宋体" w:eastAsia="宋体" w:hint="default"/>
                <w:sz w:val="18"/>
                <w:szCs w:val="18"/>
              </w:rPr>
              <w:t>的凯里通卡 公司已持续两年 以上无法召开股 </w:t>
            </w:r>
            <w:r>
              <w:rPr>
                <w:rFonts w:ascii="宋体" w:hAnsi="宋体" w:cs="宋体" w:eastAsia="宋体" w:hint="default"/>
                <w:spacing w:val="-6"/>
                <w:sz w:val="18"/>
                <w:szCs w:val="18"/>
              </w:rPr>
              <w:t>东会，更未形成有</w:t>
            </w:r>
            <w:r>
              <w:rPr>
                <w:rFonts w:ascii="宋体" w:hAnsi="宋体" w:cs="宋体" w:eastAsia="宋体" w:hint="default"/>
                <w:sz w:val="18"/>
                <w:szCs w:val="18"/>
              </w:rPr>
              <w:t> </w:t>
            </w:r>
            <w:r>
              <w:rPr>
                <w:rFonts w:ascii="宋体" w:hAnsi="宋体" w:cs="宋体" w:eastAsia="宋体" w:hint="default"/>
                <w:spacing w:val="-6"/>
                <w:sz w:val="18"/>
                <w:szCs w:val="18"/>
              </w:rPr>
              <w:t>效决议，凯里通卡</w:t>
            </w:r>
            <w:r>
              <w:rPr>
                <w:rFonts w:ascii="宋体" w:hAnsi="宋体" w:cs="宋体" w:eastAsia="宋体" w:hint="default"/>
                <w:sz w:val="18"/>
                <w:szCs w:val="18"/>
              </w:rPr>
              <w:t> 公司也已无力持 </w:t>
            </w:r>
            <w:r>
              <w:rPr>
                <w:rFonts w:ascii="宋体" w:hAnsi="宋体" w:cs="宋体" w:eastAsia="宋体" w:hint="default"/>
                <w:spacing w:val="-6"/>
                <w:sz w:val="18"/>
                <w:szCs w:val="18"/>
              </w:rPr>
              <w:t>续经营，经营管理</w:t>
            </w:r>
            <w:r>
              <w:rPr>
                <w:rFonts w:ascii="宋体" w:hAnsi="宋体" w:cs="宋体" w:eastAsia="宋体" w:hint="default"/>
                <w:sz w:val="18"/>
                <w:szCs w:val="18"/>
              </w:rPr>
              <w:t> </w:t>
            </w:r>
            <w:r>
              <w:rPr>
                <w:rFonts w:ascii="宋体" w:hAnsi="宋体" w:cs="宋体" w:eastAsia="宋体" w:hint="default"/>
                <w:spacing w:val="-6"/>
                <w:sz w:val="18"/>
                <w:szCs w:val="18"/>
              </w:rPr>
              <w:t>陷入僵局，继续存</w:t>
            </w:r>
            <w:r>
              <w:rPr>
                <w:rFonts w:ascii="宋体" w:hAnsi="宋体" w:cs="宋体" w:eastAsia="宋体" w:hint="default"/>
                <w:sz w:val="18"/>
                <w:szCs w:val="18"/>
              </w:rPr>
              <w:t> 续将会给股东利 </w:t>
            </w:r>
            <w:r>
              <w:rPr>
                <w:rFonts w:ascii="宋体" w:hAnsi="宋体" w:cs="宋体" w:eastAsia="宋体" w:hint="default"/>
                <w:spacing w:val="-6"/>
                <w:sz w:val="18"/>
                <w:szCs w:val="18"/>
              </w:rPr>
              <w:t>益造成损失。为维</w:t>
            </w:r>
            <w:r>
              <w:rPr>
                <w:rFonts w:ascii="宋体" w:hAnsi="宋体" w:cs="宋体" w:eastAsia="宋体" w:hint="default"/>
                <w:sz w:val="18"/>
                <w:szCs w:val="18"/>
              </w:rPr>
              <w:t> 护公司的合法权 </w:t>
            </w:r>
            <w:r>
              <w:rPr>
                <w:rFonts w:ascii="宋体" w:hAnsi="宋体" w:cs="宋体" w:eastAsia="宋体" w:hint="default"/>
                <w:spacing w:val="-6"/>
                <w:sz w:val="18"/>
                <w:szCs w:val="18"/>
              </w:rPr>
              <w:t>益，公司向贵州省</w:t>
            </w:r>
            <w:r>
              <w:rPr>
                <w:rFonts w:ascii="宋体" w:hAnsi="宋体" w:cs="宋体" w:eastAsia="宋体" w:hint="default"/>
                <w:sz w:val="18"/>
                <w:szCs w:val="18"/>
              </w:rPr>
              <w:t> 黔东南苗族侗族 自治州中 级人民 法院依法提起诉 </w:t>
            </w:r>
            <w:r>
              <w:rPr>
                <w:rFonts w:ascii="宋体" w:hAnsi="宋体" w:cs="宋体" w:eastAsia="宋体" w:hint="default"/>
                <w:spacing w:val="-6"/>
                <w:sz w:val="18"/>
                <w:szCs w:val="18"/>
              </w:rPr>
              <w:t>讼，目前本案已由</w:t>
            </w:r>
            <w:r>
              <w:rPr>
                <w:rFonts w:ascii="宋体" w:hAnsi="宋体" w:cs="宋体" w:eastAsia="宋体" w:hint="default"/>
                <w:sz w:val="18"/>
                <w:szCs w:val="18"/>
              </w:rPr>
              <w:t> 法院依法受理。</w:t>
            </w:r>
          </w:p>
        </w:tc>
        <w:tc>
          <w:tcPr>
            <w:tcW w:w="10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3"/>
                <w:szCs w:val="23"/>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0"/>
                <w:szCs w:val="20"/>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9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0"/>
                <w:szCs w:val="20"/>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已判决</w:t>
            </w:r>
          </w:p>
        </w:tc>
        <w:tc>
          <w:tcPr>
            <w:tcW w:w="1392" w:type="dxa"/>
            <w:tcBorders>
              <w:top w:val="single" w:sz="4" w:space="0" w:color="000000"/>
              <w:left w:val="single" w:sz="4" w:space="0" w:color="000000"/>
              <w:bottom w:val="single" w:sz="4" w:space="0" w:color="000000"/>
              <w:right w:val="single" w:sz="4" w:space="0" w:color="000000"/>
            </w:tcBorders>
          </w:tcPr>
          <w:p>
            <w:pPr>
              <w:pStyle w:val="TableParagraph"/>
              <w:spacing w:line="304" w:lineRule="auto" w:before="52"/>
              <w:ind w:left="22" w:right="2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2"/>
                <w:sz w:val="18"/>
                <w:szCs w:val="18"/>
              </w:rPr>
              <w:t>1</w:t>
            </w:r>
            <w:r>
              <w:rPr>
                <w:rFonts w:ascii="宋体" w:hAnsi="宋体" w:cs="宋体" w:eastAsia="宋体" w:hint="default"/>
                <w:spacing w:val="-2"/>
                <w:sz w:val="18"/>
                <w:szCs w:val="18"/>
              </w:rPr>
              <w:t>、解散凯里智慧</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城市通卡管理有 </w:t>
            </w:r>
            <w:r>
              <w:rPr>
                <w:rFonts w:ascii="宋体" w:hAnsi="宋体" w:cs="宋体" w:eastAsia="宋体" w:hint="default"/>
                <w:spacing w:val="-2"/>
                <w:sz w:val="18"/>
                <w:szCs w:val="18"/>
              </w:rPr>
              <w:t>限公司。</w:t>
            </w:r>
            <w:r>
              <w:rPr>
                <w:rFonts w:ascii="Times New Roman" w:hAnsi="Times New Roman" w:cs="Times New Roman" w:eastAsia="Times New Roman" w:hint="default"/>
                <w:spacing w:val="-2"/>
                <w:sz w:val="18"/>
                <w:szCs w:val="18"/>
              </w:rPr>
              <w:t>2</w:t>
            </w:r>
            <w:r>
              <w:rPr>
                <w:rFonts w:ascii="宋体" w:hAnsi="宋体" w:cs="宋体" w:eastAsia="宋体" w:hint="default"/>
                <w:spacing w:val="-2"/>
                <w:sz w:val="18"/>
                <w:szCs w:val="18"/>
              </w:rPr>
              <w:t>、案件</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受理费</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81,800.00</w:t>
            </w:r>
          </w:p>
          <w:p>
            <w:pPr>
              <w:pStyle w:val="TableParagraph"/>
              <w:spacing w:line="319" w:lineRule="auto" w:before="9"/>
              <w:ind w:left="22" w:right="97"/>
              <w:jc w:val="left"/>
              <w:rPr>
                <w:rFonts w:ascii="宋体" w:hAnsi="宋体" w:cs="宋体" w:eastAsia="宋体" w:hint="default"/>
                <w:sz w:val="18"/>
                <w:szCs w:val="18"/>
              </w:rPr>
            </w:pPr>
            <w:r>
              <w:rPr>
                <w:rFonts w:ascii="宋体" w:hAnsi="宋体" w:cs="宋体" w:eastAsia="宋体" w:hint="default"/>
                <w:sz w:val="18"/>
                <w:szCs w:val="18"/>
              </w:rPr>
              <w:t>元，由被告凯里 智慧城市通卡管 理有限公司承 担。如不服该判 决，可在判决书 送达之日起十五 日内，向贵州省 黔东南苗族侗族 自治州中级人民 法院递交上诉 状，并按对方当 事人的人数提交 副本，上诉于贵 州省高级人民法 院。</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6"/>
                <w:szCs w:val="26"/>
              </w:rPr>
            </w:pPr>
          </w:p>
          <w:p>
            <w:pPr>
              <w:pStyle w:val="TableParagraph"/>
              <w:spacing w:line="316" w:lineRule="auto"/>
              <w:ind w:left="24" w:right="150"/>
              <w:jc w:val="left"/>
              <w:rPr>
                <w:rFonts w:ascii="宋体" w:hAnsi="宋体" w:cs="宋体" w:eastAsia="宋体" w:hint="default"/>
                <w:sz w:val="18"/>
                <w:szCs w:val="18"/>
              </w:rPr>
            </w:pPr>
            <w:r>
              <w:rPr>
                <w:rFonts w:ascii="宋体" w:hAnsi="宋体" w:cs="宋体" w:eastAsia="宋体" w:hint="default"/>
                <w:sz w:val="18"/>
                <w:szCs w:val="18"/>
              </w:rPr>
              <w:t>报告期末未执 行</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6"/>
                <w:szCs w:val="26"/>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p>
          <w:p>
            <w:pPr>
              <w:pStyle w:val="TableParagraph"/>
              <w:spacing w:line="240" w:lineRule="auto" w:before="63"/>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0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0"/>
                <w:szCs w:val="20"/>
              </w:rPr>
            </w:pPr>
          </w:p>
          <w:p>
            <w:pPr>
              <w:pStyle w:val="TableParagraph"/>
              <w:spacing w:line="240" w:lineRule="auto"/>
              <w:ind w:right="143"/>
              <w:jc w:val="right"/>
              <w:rPr>
                <w:rFonts w:ascii="宋体" w:hAnsi="宋体" w:cs="宋体" w:eastAsia="宋体" w:hint="default"/>
                <w:sz w:val="18"/>
                <w:szCs w:val="18"/>
              </w:rPr>
            </w:pPr>
            <w:r>
              <w:rPr>
                <w:rFonts w:ascii="宋体" w:hAnsi="宋体" w:cs="宋体" w:eastAsia="宋体" w:hint="default"/>
                <w:sz w:val="18"/>
                <w:szCs w:val="18"/>
              </w:rPr>
              <w:t>巨潮资讯网</w:t>
            </w:r>
          </w:p>
        </w:tc>
      </w:tr>
    </w:tbl>
    <w:p>
      <w:pPr>
        <w:spacing w:line="240" w:lineRule="auto" w:before="2"/>
        <w:rPr>
          <w:rFonts w:ascii="宋体" w:hAnsi="宋体" w:cs="宋体" w:eastAsia="宋体" w:hint="default"/>
          <w:sz w:val="18"/>
          <w:szCs w:val="18"/>
        </w:rPr>
      </w:pPr>
    </w:p>
    <w:p>
      <w:pPr>
        <w:pStyle w:val="Heading2"/>
        <w:spacing w:line="240" w:lineRule="auto" w:before="26"/>
        <w:ind w:right="1117"/>
        <w:jc w:val="left"/>
        <w:rPr>
          <w:b w:val="0"/>
          <w:bCs w:val="0"/>
        </w:rPr>
      </w:pPr>
      <w:bookmarkStart w:name="十二、处罚及整改情况" w:id="75"/>
      <w:bookmarkEnd w:id="75"/>
      <w:r>
        <w:rPr>
          <w:b w:val="0"/>
          <w:bCs w:val="0"/>
        </w:rPr>
      </w:r>
      <w:r>
        <w:rPr/>
        <w:t>十二、处罚及整改情况</w:t>
      </w:r>
      <w:r>
        <w:rPr>
          <w:b w:val="0"/>
          <w:bCs w:val="0"/>
        </w:rPr>
      </w:r>
    </w:p>
    <w:p>
      <w:pPr>
        <w:spacing w:line="240" w:lineRule="auto" w:before="7"/>
        <w:rPr>
          <w:rFonts w:ascii="宋体" w:hAnsi="宋体" w:cs="宋体" w:eastAsia="宋体" w:hint="default"/>
          <w:b/>
          <w:bCs/>
          <w:sz w:val="26"/>
          <w:szCs w:val="26"/>
        </w:rPr>
      </w:pPr>
    </w:p>
    <w:p>
      <w:pPr>
        <w:spacing w:line="338" w:lineRule="auto" w:before="0"/>
        <w:ind w:left="154" w:right="787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公司报告期不存在处罚及整改情况。</w:t>
      </w:r>
    </w:p>
    <w:p>
      <w:pPr>
        <w:spacing w:line="240" w:lineRule="auto" w:before="4"/>
        <w:rPr>
          <w:rFonts w:ascii="宋体" w:hAnsi="宋体" w:cs="宋体" w:eastAsia="宋体" w:hint="default"/>
          <w:sz w:val="19"/>
          <w:szCs w:val="19"/>
        </w:rPr>
      </w:pPr>
    </w:p>
    <w:p>
      <w:pPr>
        <w:pStyle w:val="Heading2"/>
        <w:spacing w:line="240" w:lineRule="auto"/>
        <w:ind w:right="1117"/>
        <w:jc w:val="left"/>
        <w:rPr>
          <w:b w:val="0"/>
          <w:bCs w:val="0"/>
        </w:rPr>
      </w:pPr>
      <w:bookmarkStart w:name="十三、公司及其控股股东、实际控制人的诚信状况" w:id="76"/>
      <w:bookmarkEnd w:id="76"/>
      <w:r>
        <w:rPr>
          <w:b w:val="0"/>
          <w:bCs w:val="0"/>
        </w:rPr>
      </w:r>
      <w:r>
        <w:rPr/>
        <w:t>十三、公司及其控股股东、实际控制人的诚信状况</w:t>
      </w:r>
      <w:r>
        <w:rPr>
          <w:b w:val="0"/>
          <w:bCs w:val="0"/>
        </w:rPr>
      </w:r>
    </w:p>
    <w:p>
      <w:pPr>
        <w:spacing w:line="240" w:lineRule="auto" w:before="9"/>
        <w:rPr>
          <w:rFonts w:ascii="宋体" w:hAnsi="宋体" w:cs="宋体" w:eastAsia="宋体" w:hint="default"/>
          <w:b/>
          <w:bCs/>
          <w:sz w:val="26"/>
          <w:szCs w:val="26"/>
        </w:rPr>
      </w:pPr>
    </w:p>
    <w:p>
      <w:pPr>
        <w:spacing w:before="0"/>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pStyle w:val="BodyText"/>
        <w:spacing w:line="408" w:lineRule="auto" w:before="155"/>
        <w:ind w:right="1117" w:firstLine="420"/>
        <w:jc w:val="left"/>
      </w:pPr>
      <w:r>
        <w:rPr>
          <w:spacing w:val="-1"/>
        </w:rPr>
        <w:t>报告期内公司及其控股股东、实际控制人不存在未履行法院生效判决、所负数额较大的债务到期未清</w:t>
      </w:r>
      <w:r>
        <w:rPr/>
        <w:t> 偿等情况。</w:t>
      </w:r>
    </w:p>
    <w:p>
      <w:pPr>
        <w:spacing w:line="240" w:lineRule="auto" w:before="11"/>
        <w:rPr>
          <w:rFonts w:ascii="宋体" w:hAnsi="宋体" w:cs="宋体" w:eastAsia="宋体" w:hint="default"/>
          <w:sz w:val="18"/>
          <w:szCs w:val="18"/>
        </w:rPr>
      </w:pPr>
    </w:p>
    <w:p>
      <w:pPr>
        <w:pStyle w:val="Heading2"/>
        <w:spacing w:line="240" w:lineRule="auto"/>
        <w:ind w:right="1117"/>
        <w:jc w:val="left"/>
        <w:rPr>
          <w:b w:val="0"/>
          <w:bCs w:val="0"/>
        </w:rPr>
      </w:pPr>
      <w:bookmarkStart w:name="十四、公司股权激励计划、员工持股计划或其他员工激励措施的实施情况" w:id="77"/>
      <w:bookmarkEnd w:id="77"/>
      <w:r>
        <w:rPr>
          <w:b w:val="0"/>
          <w:bCs w:val="0"/>
        </w:rPr>
      </w:r>
      <w:r>
        <w:rPr/>
        <w:t>十四、公司股权激励计划、员工持股计划或其他员工激励措施的实施情况</w:t>
      </w:r>
      <w:r>
        <w:rPr>
          <w:b w:val="0"/>
          <w:bCs w:val="0"/>
        </w:rPr>
      </w:r>
    </w:p>
    <w:p>
      <w:pPr>
        <w:spacing w:line="240" w:lineRule="auto" w:before="8"/>
        <w:rPr>
          <w:rFonts w:ascii="宋体" w:hAnsi="宋体" w:cs="宋体" w:eastAsia="宋体" w:hint="default"/>
          <w:b/>
          <w:bCs/>
          <w:sz w:val="26"/>
          <w:szCs w:val="26"/>
        </w:rPr>
      </w:pPr>
    </w:p>
    <w:p>
      <w:pPr>
        <w:spacing w:before="0"/>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pStyle w:val="BodyText"/>
        <w:spacing w:line="386" w:lineRule="auto" w:before="153"/>
        <w:ind w:right="1117" w:firstLine="423"/>
        <w:jc w:val="left"/>
      </w:pPr>
      <w:r>
        <w:rPr>
          <w:rFonts w:ascii="Times New Roman" w:hAnsi="Times New Roman" w:cs="Times New Roman" w:eastAsia="Times New Roman" w:hint="default"/>
          <w:spacing w:val="-1"/>
        </w:rPr>
        <w:t>2016</w:t>
      </w:r>
      <w:r>
        <w:rPr>
          <w:spacing w:val="-1"/>
        </w:rPr>
        <w:t>年</w:t>
      </w:r>
      <w:r>
        <w:rPr>
          <w:rFonts w:ascii="Times New Roman" w:hAnsi="Times New Roman" w:cs="Times New Roman" w:eastAsia="Times New Roman" w:hint="default"/>
          <w:spacing w:val="-1"/>
        </w:rPr>
        <w:t>6</w:t>
      </w:r>
      <w:r>
        <w:rPr>
          <w:spacing w:val="-1"/>
        </w:rPr>
        <w:t>月</w:t>
      </w:r>
      <w:r>
        <w:rPr>
          <w:rFonts w:ascii="Times New Roman" w:hAnsi="Times New Roman" w:cs="Times New Roman" w:eastAsia="Times New Roman" w:hint="default"/>
          <w:spacing w:val="-1"/>
        </w:rPr>
        <w:t>8</w:t>
      </w:r>
      <w:r>
        <w:rPr>
          <w:spacing w:val="-1"/>
        </w:rPr>
        <w:t>日召开的公司第三届董事会第二十七次会议审议通过了《新开普电子股份有限公司限制性</w:t>
      </w:r>
      <w:r>
        <w:rPr/>
        <w:t> </w:t>
      </w:r>
      <w:r>
        <w:rPr>
          <w:spacing w:val="-3"/>
        </w:rPr>
        <w:t>股票激励计划（草案）》（以下简称</w:t>
      </w:r>
      <w:r>
        <w:rPr>
          <w:rFonts w:ascii="Times New Roman" w:hAnsi="Times New Roman" w:cs="Times New Roman" w:eastAsia="Times New Roman" w:hint="default"/>
          <w:spacing w:val="-3"/>
        </w:rPr>
        <w:t>“</w:t>
      </w:r>
      <w:r>
        <w:rPr>
          <w:spacing w:val="-3"/>
        </w:rPr>
        <w:t>《激励计划（草案）》</w:t>
      </w:r>
      <w:r>
        <w:rPr>
          <w:rFonts w:ascii="Times New Roman" w:hAnsi="Times New Roman" w:cs="Times New Roman" w:eastAsia="Times New Roman" w:hint="default"/>
          <w:spacing w:val="-3"/>
        </w:rPr>
        <w:t>”</w:t>
      </w:r>
      <w:r>
        <w:rPr>
          <w:spacing w:val="-3"/>
        </w:rPr>
        <w:t>），并于</w:t>
      </w:r>
      <w:r>
        <w:rPr>
          <w:rFonts w:ascii="Times New Roman" w:hAnsi="Times New Roman" w:cs="Times New Roman" w:eastAsia="Times New Roman" w:hint="default"/>
          <w:spacing w:val="-3"/>
        </w:rPr>
        <w:t>2016</w:t>
      </w:r>
      <w:r>
        <w:rPr>
          <w:spacing w:val="-3"/>
        </w:rPr>
        <w:t>年</w:t>
      </w:r>
      <w:r>
        <w:rPr>
          <w:rFonts w:ascii="Times New Roman" w:hAnsi="Times New Roman" w:cs="Times New Roman" w:eastAsia="Times New Roman" w:hint="default"/>
          <w:spacing w:val="-3"/>
        </w:rPr>
        <w:t>6</w:t>
      </w:r>
      <w:r>
        <w:rPr>
          <w:spacing w:val="-3"/>
        </w:rPr>
        <w:t>月</w:t>
      </w:r>
      <w:r>
        <w:rPr>
          <w:rFonts w:ascii="Times New Roman" w:hAnsi="Times New Roman" w:cs="Times New Roman" w:eastAsia="Times New Roman" w:hint="default"/>
          <w:spacing w:val="-3"/>
        </w:rPr>
        <w:t>24</w:t>
      </w:r>
      <w:r>
        <w:rPr>
          <w:spacing w:val="-3"/>
        </w:rPr>
        <w:t>日经公司</w:t>
      </w:r>
      <w:r>
        <w:rPr>
          <w:rFonts w:ascii="Times New Roman" w:hAnsi="Times New Roman" w:cs="Times New Roman" w:eastAsia="Times New Roman" w:hint="default"/>
          <w:spacing w:val="-3"/>
        </w:rPr>
        <w:t>2016</w:t>
      </w:r>
      <w:r>
        <w:rPr>
          <w:spacing w:val="-3"/>
        </w:rPr>
        <w:t>年第四次</w:t>
      </w:r>
    </w:p>
    <w:p>
      <w:pPr>
        <w:spacing w:after="0" w:line="386" w:lineRule="auto"/>
        <w:jc w:val="left"/>
        <w:sectPr>
          <w:pgSz w:w="11910" w:h="16840"/>
          <w:pgMar w:header="877" w:footer="979" w:top="1100" w:bottom="1160" w:left="980" w:right="0"/>
        </w:sectPr>
      </w:pPr>
    </w:p>
    <w:p>
      <w:pPr>
        <w:spacing w:line="240" w:lineRule="auto" w:before="8"/>
        <w:rPr>
          <w:rFonts w:ascii="宋体" w:hAnsi="宋体" w:cs="宋体" w:eastAsia="宋体" w:hint="default"/>
          <w:sz w:val="26"/>
          <w:szCs w:val="26"/>
        </w:rPr>
      </w:pPr>
    </w:p>
    <w:p>
      <w:pPr>
        <w:pStyle w:val="BodyText"/>
        <w:spacing w:line="240" w:lineRule="auto" w:before="35"/>
        <w:ind w:right="1117"/>
        <w:jc w:val="left"/>
      </w:pPr>
      <w:r>
        <w:rPr/>
        <w:t>临时股东大会批准，本次股权激励计划涉及的激励对象共计</w:t>
      </w:r>
      <w:r>
        <w:rPr>
          <w:rFonts w:ascii="Times New Roman" w:hAnsi="Times New Roman" w:cs="Times New Roman" w:eastAsia="Times New Roman" w:hint="default"/>
        </w:rPr>
        <w:t>488</w:t>
      </w:r>
      <w:r>
        <w:rPr/>
        <w:t>人，股权激励计划授予的限制性股票总量</w:t>
      </w:r>
    </w:p>
    <w:p>
      <w:pPr>
        <w:pStyle w:val="BodyText"/>
        <w:spacing w:line="240" w:lineRule="auto" w:before="177"/>
        <w:ind w:right="1117"/>
        <w:jc w:val="left"/>
      </w:pPr>
      <w:r>
        <w:rPr>
          <w:rFonts w:ascii="Times New Roman" w:hAnsi="Times New Roman" w:cs="Times New Roman" w:eastAsia="Times New Roman" w:hint="default"/>
        </w:rPr>
        <w:t>1050.12</w:t>
      </w:r>
      <w:r>
        <w:rPr/>
        <w:t>万股，其中拟首次授予的限制性股票数量</w:t>
      </w:r>
      <w:r>
        <w:rPr>
          <w:rFonts w:ascii="Times New Roman" w:hAnsi="Times New Roman" w:cs="Times New Roman" w:eastAsia="Times New Roman" w:hint="default"/>
        </w:rPr>
        <w:t>970.12</w:t>
      </w:r>
      <w:r>
        <w:rPr/>
        <w:t>万股，预留</w:t>
      </w:r>
      <w:r>
        <w:rPr>
          <w:rFonts w:ascii="Times New Roman" w:hAnsi="Times New Roman" w:cs="Times New Roman" w:eastAsia="Times New Roman" w:hint="default"/>
        </w:rPr>
        <w:t>80</w:t>
      </w:r>
      <w:r>
        <w:rPr/>
        <w:t>万股。</w:t>
      </w:r>
    </w:p>
    <w:p>
      <w:pPr>
        <w:pStyle w:val="BodyText"/>
        <w:spacing w:line="386" w:lineRule="auto" w:before="177"/>
        <w:ind w:right="0" w:firstLine="423"/>
        <w:jc w:val="left"/>
      </w:pPr>
      <w:r>
        <w:rPr>
          <w:rFonts w:ascii="Times New Roman" w:hAnsi="Times New Roman" w:cs="Times New Roman" w:eastAsia="Times New Roman" w:hint="default"/>
        </w:rPr>
        <w:t>2016</w:t>
      </w:r>
      <w:r>
        <w:rPr/>
        <w:t>年</w:t>
      </w:r>
      <w:r>
        <w:rPr>
          <w:rFonts w:ascii="Times New Roman" w:hAnsi="Times New Roman" w:cs="Times New Roman" w:eastAsia="Times New Roman" w:hint="default"/>
        </w:rPr>
        <w:t>7</w:t>
      </w:r>
      <w:r>
        <w:rPr/>
        <w:t>月</w:t>
      </w:r>
      <w:r>
        <w:rPr>
          <w:rFonts w:ascii="Times New Roman" w:hAnsi="Times New Roman" w:cs="Times New Roman" w:eastAsia="Times New Roman" w:hint="default"/>
        </w:rPr>
        <w:t>13</w:t>
      </w:r>
      <w:r>
        <w:rPr/>
        <w:t>日，公司召开第三届董事会第二十八次会议审议通过了《关于调整公司限制性股票激励 计划授予对象人数、授予数量的议案》、《关于向激励对象授予限制性股票的议案》。原</w:t>
      </w:r>
      <w:r>
        <w:rPr>
          <w:rFonts w:ascii="Times New Roman" w:hAnsi="Times New Roman" w:cs="Times New Roman" w:eastAsia="Times New Roman" w:hint="default"/>
        </w:rPr>
        <w:t>488</w:t>
      </w:r>
      <w:r>
        <w:rPr/>
        <w:t>名激励对象 中，有</w:t>
      </w:r>
      <w:r>
        <w:rPr>
          <w:rFonts w:ascii="Times New Roman" w:hAnsi="Times New Roman" w:cs="Times New Roman" w:eastAsia="Times New Roman" w:hint="default"/>
        </w:rPr>
        <w:t>23</w:t>
      </w:r>
      <w:r>
        <w:rPr/>
        <w:t>名激励对象因个人原因自愿放弃认购本次限制性股票，放弃认购的限制性股票数量合计为</w:t>
      </w:r>
      <w:r>
        <w:rPr>
          <w:rFonts w:ascii="Times New Roman" w:hAnsi="Times New Roman" w:cs="Times New Roman" w:eastAsia="Times New Roman" w:hint="default"/>
        </w:rPr>
        <w:t>15.46 </w:t>
      </w:r>
      <w:r>
        <w:rPr>
          <w:spacing w:val="-6"/>
        </w:rPr>
        <w:t>万股。调整后，公司本次激励对象人数由</w:t>
      </w:r>
      <w:r>
        <w:rPr>
          <w:rFonts w:ascii="Times New Roman" w:hAnsi="Times New Roman" w:cs="Times New Roman" w:eastAsia="Times New Roman" w:hint="default"/>
          <w:spacing w:val="-6"/>
        </w:rPr>
        <w:t>488</w:t>
      </w:r>
      <w:r>
        <w:rPr>
          <w:spacing w:val="-6"/>
        </w:rPr>
        <w:t>名变更为</w:t>
      </w:r>
      <w:r>
        <w:rPr>
          <w:rFonts w:ascii="Times New Roman" w:hAnsi="Times New Roman" w:cs="Times New Roman" w:eastAsia="Times New Roman" w:hint="default"/>
          <w:spacing w:val="-6"/>
        </w:rPr>
        <w:t>465</w:t>
      </w:r>
      <w:r>
        <w:rPr>
          <w:spacing w:val="-6"/>
        </w:rPr>
        <w:t>名，股权激励计划授予的限制性股票总量由</w:t>
      </w:r>
      <w:r>
        <w:rPr>
          <w:rFonts w:ascii="Times New Roman" w:hAnsi="Times New Roman" w:cs="Times New Roman" w:eastAsia="Times New Roman" w:hint="default"/>
          <w:spacing w:val="-6"/>
        </w:rPr>
        <w:t>1050.12</w:t>
      </w:r>
      <w:r>
        <w:rPr>
          <w:rFonts w:ascii="Times New Roman" w:hAnsi="Times New Roman" w:cs="Times New Roman" w:eastAsia="Times New Roman" w:hint="default"/>
          <w:spacing w:val="-17"/>
        </w:rPr>
        <w:t> </w:t>
      </w:r>
      <w:r>
        <w:rPr>
          <w:rFonts w:ascii="Times New Roman" w:hAnsi="Times New Roman" w:cs="Times New Roman" w:eastAsia="Times New Roman" w:hint="default"/>
          <w:spacing w:val="-17"/>
        </w:rPr>
      </w:r>
      <w:r>
        <w:rPr>
          <w:spacing w:val="-3"/>
        </w:rPr>
        <w:t>万股调整为</w:t>
      </w:r>
      <w:r>
        <w:rPr>
          <w:rFonts w:ascii="Times New Roman" w:hAnsi="Times New Roman" w:cs="Times New Roman" w:eastAsia="Times New Roman" w:hint="default"/>
          <w:spacing w:val="-3"/>
        </w:rPr>
        <w:t>1034.66</w:t>
      </w:r>
      <w:r>
        <w:rPr>
          <w:spacing w:val="-3"/>
        </w:rPr>
        <w:t>万股，减少</w:t>
      </w:r>
      <w:r>
        <w:rPr>
          <w:rFonts w:ascii="Times New Roman" w:hAnsi="Times New Roman" w:cs="Times New Roman" w:eastAsia="Times New Roman" w:hint="default"/>
          <w:spacing w:val="-3"/>
        </w:rPr>
        <w:t>15.46</w:t>
      </w:r>
      <w:r>
        <w:rPr>
          <w:spacing w:val="-3"/>
        </w:rPr>
        <w:t>万股，其中拟首次授予的限制性股票数量由</w:t>
      </w:r>
      <w:r>
        <w:rPr>
          <w:rFonts w:ascii="Times New Roman" w:hAnsi="Times New Roman" w:cs="Times New Roman" w:eastAsia="Times New Roman" w:hint="default"/>
          <w:spacing w:val="-3"/>
        </w:rPr>
        <w:t>970.12</w:t>
      </w:r>
      <w:r>
        <w:rPr>
          <w:spacing w:val="-3"/>
        </w:rPr>
        <w:t>股变更为</w:t>
      </w:r>
      <w:r>
        <w:rPr>
          <w:rFonts w:ascii="Times New Roman" w:hAnsi="Times New Roman" w:cs="Times New Roman" w:eastAsia="Times New Roman" w:hint="default"/>
          <w:spacing w:val="-3"/>
        </w:rPr>
        <w:t>954.66</w:t>
      </w:r>
      <w:r>
        <w:rPr>
          <w:spacing w:val="-3"/>
        </w:rPr>
        <w:t>万股，</w:t>
      </w:r>
      <w:r>
        <w:rPr>
          <w:spacing w:val="-57"/>
        </w:rPr>
        <w:t> </w:t>
      </w:r>
      <w:r>
        <w:rPr>
          <w:spacing w:val="-57"/>
        </w:rPr>
      </w:r>
      <w:r>
        <w:rPr/>
        <w:t>减少</w:t>
      </w:r>
      <w:r>
        <w:rPr>
          <w:rFonts w:ascii="Times New Roman" w:hAnsi="Times New Roman" w:cs="Times New Roman" w:eastAsia="Times New Roman" w:hint="default"/>
        </w:rPr>
        <w:t>15.46</w:t>
      </w:r>
      <w:r>
        <w:rPr/>
        <w:t>万股。</w:t>
      </w:r>
    </w:p>
    <w:p>
      <w:pPr>
        <w:pStyle w:val="BodyText"/>
        <w:spacing w:line="386" w:lineRule="auto" w:before="35"/>
        <w:ind w:right="1117" w:firstLine="423"/>
        <w:jc w:val="left"/>
      </w:pPr>
      <w:r>
        <w:rPr>
          <w:rFonts w:ascii="Times New Roman" w:hAnsi="Times New Roman" w:cs="Times New Roman" w:eastAsia="Times New Roman" w:hint="default"/>
        </w:rPr>
        <w:t>2016</w:t>
      </w:r>
      <w:r>
        <w:rPr/>
        <w:t>年</w:t>
      </w:r>
      <w:r>
        <w:rPr>
          <w:rFonts w:ascii="Times New Roman" w:hAnsi="Times New Roman" w:cs="Times New Roman" w:eastAsia="Times New Roman" w:hint="default"/>
        </w:rPr>
        <w:t>7</w:t>
      </w:r>
      <w:r>
        <w:rPr/>
        <w:t>月</w:t>
      </w:r>
      <w:r>
        <w:rPr>
          <w:rFonts w:ascii="Times New Roman" w:hAnsi="Times New Roman" w:cs="Times New Roman" w:eastAsia="Times New Roman" w:hint="default"/>
        </w:rPr>
        <w:t>18</w:t>
      </w:r>
      <w:r>
        <w:rPr/>
        <w:t>日，公司召开三届董事会第二十九次会议审议通过了《关于调整公司限制性股票激励计 </w:t>
      </w:r>
      <w:r>
        <w:rPr>
          <w:spacing w:val="-1"/>
        </w:rPr>
        <w:t>划授予对象人数、授予数量的议案》，公司拟首次授予限制性股票的</w:t>
      </w:r>
      <w:r>
        <w:rPr>
          <w:rFonts w:ascii="Times New Roman" w:hAnsi="Times New Roman" w:cs="Times New Roman" w:eastAsia="Times New Roman" w:hint="default"/>
          <w:spacing w:val="-1"/>
        </w:rPr>
        <w:t>465</w:t>
      </w:r>
      <w:r>
        <w:rPr>
          <w:spacing w:val="-1"/>
        </w:rPr>
        <w:t>名激励对象中，有</w:t>
      </w:r>
      <w:r>
        <w:rPr>
          <w:rFonts w:ascii="Times New Roman" w:hAnsi="Times New Roman" w:cs="Times New Roman" w:eastAsia="Times New Roman" w:hint="default"/>
          <w:spacing w:val="-1"/>
        </w:rPr>
        <w:t>2</w:t>
      </w:r>
      <w:r>
        <w:rPr>
          <w:spacing w:val="-1"/>
        </w:rPr>
        <w:t>名激励对象因</w:t>
      </w:r>
      <w:r>
        <w:rPr>
          <w:spacing w:val="-85"/>
        </w:rPr>
        <w:t> </w:t>
      </w:r>
      <w:r>
        <w:rPr/>
        <w:t>个人原因自愿放弃认购本次限制性股票，放弃认购的限制性股票数量合计为</w:t>
      </w:r>
      <w:r>
        <w:rPr>
          <w:rFonts w:ascii="Times New Roman" w:hAnsi="Times New Roman" w:cs="Times New Roman" w:eastAsia="Times New Roman" w:hint="default"/>
        </w:rPr>
        <w:t>1.72</w:t>
      </w:r>
      <w:r>
        <w:rPr/>
        <w:t>万股。调整后，公司本次 激励对象人数由</w:t>
      </w:r>
      <w:r>
        <w:rPr>
          <w:rFonts w:ascii="Times New Roman" w:hAnsi="Times New Roman" w:cs="Times New Roman" w:eastAsia="Times New Roman" w:hint="default"/>
        </w:rPr>
        <w:t>465</w:t>
      </w:r>
      <w:r>
        <w:rPr/>
        <w:t>名变更为</w:t>
      </w:r>
      <w:r>
        <w:rPr>
          <w:rFonts w:ascii="Times New Roman" w:hAnsi="Times New Roman" w:cs="Times New Roman" w:eastAsia="Times New Roman" w:hint="default"/>
        </w:rPr>
        <w:t>463</w:t>
      </w:r>
      <w:r>
        <w:rPr/>
        <w:t>名，股权激励计划授予的限制性股票总量由</w:t>
      </w:r>
      <w:r>
        <w:rPr>
          <w:rFonts w:ascii="Times New Roman" w:hAnsi="Times New Roman" w:cs="Times New Roman" w:eastAsia="Times New Roman" w:hint="default"/>
        </w:rPr>
        <w:t>1034.66</w:t>
      </w:r>
      <w:r>
        <w:rPr/>
        <w:t>万股调整为</w:t>
      </w:r>
      <w:r>
        <w:rPr>
          <w:rFonts w:ascii="Times New Roman" w:hAnsi="Times New Roman" w:cs="Times New Roman" w:eastAsia="Times New Roman" w:hint="default"/>
        </w:rPr>
        <w:t>1032.94</w:t>
      </w:r>
      <w:r>
        <w:rPr/>
        <w:t>万 股，减少</w:t>
      </w:r>
      <w:r>
        <w:rPr>
          <w:rFonts w:ascii="Times New Roman" w:hAnsi="Times New Roman" w:cs="Times New Roman" w:eastAsia="Times New Roman" w:hint="default"/>
        </w:rPr>
        <w:t>1.72</w:t>
      </w:r>
      <w:r>
        <w:rPr/>
        <w:t>万股，其中首次授予的限制性股票数量由</w:t>
      </w:r>
      <w:r>
        <w:rPr>
          <w:rFonts w:ascii="Times New Roman" w:hAnsi="Times New Roman" w:cs="Times New Roman" w:eastAsia="Times New Roman" w:hint="default"/>
        </w:rPr>
        <w:t>954.66</w:t>
      </w:r>
      <w:r>
        <w:rPr/>
        <w:t>股变更为</w:t>
      </w:r>
      <w:r>
        <w:rPr>
          <w:rFonts w:ascii="Times New Roman" w:hAnsi="Times New Roman" w:cs="Times New Roman" w:eastAsia="Times New Roman" w:hint="default"/>
        </w:rPr>
        <w:t>952.94</w:t>
      </w:r>
      <w:r>
        <w:rPr/>
        <w:t>万股，减少</w:t>
      </w:r>
      <w:r>
        <w:rPr>
          <w:rFonts w:ascii="Times New Roman" w:hAnsi="Times New Roman" w:cs="Times New Roman" w:eastAsia="Times New Roman" w:hint="default"/>
        </w:rPr>
        <w:t>1.72</w:t>
      </w:r>
      <w:r>
        <w:rPr/>
        <w:t>万股。</w:t>
      </w:r>
    </w:p>
    <w:p>
      <w:pPr>
        <w:pStyle w:val="BodyText"/>
        <w:spacing w:line="398" w:lineRule="auto" w:before="35"/>
        <w:ind w:right="1131" w:firstLine="423"/>
        <w:jc w:val="both"/>
      </w:pPr>
      <w:r>
        <w:rPr>
          <w:spacing w:val="-1"/>
        </w:rPr>
        <w:t>本次限制性股票的授予日为</w:t>
      </w:r>
      <w:r>
        <w:rPr>
          <w:rFonts w:ascii="Times New Roman" w:hAnsi="Times New Roman" w:cs="Times New Roman" w:eastAsia="Times New Roman" w:hint="default"/>
          <w:spacing w:val="-1"/>
        </w:rPr>
        <w:t>2016</w:t>
      </w:r>
      <w:r>
        <w:rPr>
          <w:spacing w:val="-1"/>
        </w:rPr>
        <w:t>年</w:t>
      </w:r>
      <w:r>
        <w:rPr>
          <w:rFonts w:ascii="Times New Roman" w:hAnsi="Times New Roman" w:cs="Times New Roman" w:eastAsia="Times New Roman" w:hint="default"/>
          <w:spacing w:val="-1"/>
        </w:rPr>
        <w:t>7</w:t>
      </w:r>
      <w:r>
        <w:rPr>
          <w:spacing w:val="-1"/>
        </w:rPr>
        <w:t>月</w:t>
      </w:r>
      <w:r>
        <w:rPr>
          <w:rFonts w:ascii="Times New Roman" w:hAnsi="Times New Roman" w:cs="Times New Roman" w:eastAsia="Times New Roman" w:hint="default"/>
          <w:spacing w:val="-1"/>
        </w:rPr>
        <w:t>13</w:t>
      </w:r>
      <w:r>
        <w:rPr>
          <w:spacing w:val="-1"/>
        </w:rPr>
        <w:t>日，授予价格为</w:t>
      </w:r>
      <w:r>
        <w:rPr>
          <w:rFonts w:ascii="Times New Roman" w:hAnsi="Times New Roman" w:cs="Times New Roman" w:eastAsia="Times New Roman" w:hint="default"/>
          <w:spacing w:val="-1"/>
        </w:rPr>
        <w:t>12.37</w:t>
      </w:r>
      <w:r>
        <w:rPr>
          <w:spacing w:val="-1"/>
        </w:rPr>
        <w:t>元，授予数量为</w:t>
      </w:r>
      <w:r>
        <w:rPr>
          <w:rFonts w:ascii="Times New Roman" w:hAnsi="Times New Roman" w:cs="Times New Roman" w:eastAsia="Times New Roman" w:hint="default"/>
          <w:spacing w:val="-1"/>
        </w:rPr>
        <w:t>952.94</w:t>
      </w:r>
      <w:r>
        <w:rPr>
          <w:spacing w:val="-1"/>
        </w:rPr>
        <w:t>万股，公司向</w:t>
      </w:r>
      <w:r>
        <w:rPr>
          <w:rFonts w:ascii="Times New Roman" w:hAnsi="Times New Roman" w:cs="Times New Roman" w:eastAsia="Times New Roman" w:hint="default"/>
          <w:spacing w:val="-1"/>
        </w:rPr>
        <w:t>463</w:t>
      </w:r>
      <w:r>
        <w:rPr>
          <w:rFonts w:ascii="Times New Roman" w:hAnsi="Times New Roman" w:cs="Times New Roman" w:eastAsia="Times New Roman" w:hint="default"/>
        </w:rPr>
        <w:t> </w:t>
      </w:r>
      <w:r>
        <w:rPr>
          <w:spacing w:val="-1"/>
        </w:rPr>
        <w:t>名激励对象进行授予，授予对象均为公司高级管理人员和核心业务骨干，本计划股票来源为新开普向激励</w:t>
      </w:r>
      <w:r>
        <w:rPr>
          <w:spacing w:val="-81"/>
        </w:rPr>
        <w:t> </w:t>
      </w:r>
      <w:r>
        <w:rPr>
          <w:spacing w:val="-81"/>
        </w:rPr>
      </w:r>
      <w:r>
        <w:rPr/>
        <w:t>对象定向发行</w:t>
      </w:r>
      <w:r>
        <w:rPr>
          <w:rFonts w:ascii="Times New Roman" w:hAnsi="Times New Roman" w:cs="Times New Roman" w:eastAsia="Times New Roman" w:hint="default"/>
        </w:rPr>
        <w:t>952.94</w:t>
      </w:r>
      <w:r>
        <w:rPr/>
        <w:t>万股人民币</w:t>
      </w:r>
      <w:r>
        <w:rPr>
          <w:rFonts w:ascii="Times New Roman" w:hAnsi="Times New Roman" w:cs="Times New Roman" w:eastAsia="Times New Roman" w:hint="default"/>
        </w:rPr>
        <w:t>A</w:t>
      </w:r>
      <w:r>
        <w:rPr/>
        <w:t>股普通股。</w:t>
      </w:r>
    </w:p>
    <w:p>
      <w:pPr>
        <w:pStyle w:val="BodyText"/>
        <w:spacing w:line="398" w:lineRule="auto" w:before="24"/>
        <w:ind w:right="0" w:firstLine="423"/>
        <w:jc w:val="left"/>
      </w:pPr>
      <w:r>
        <w:rPr/>
        <w:t>公司本次股权激励计划有效期为自限制性股票授予之日起至所有限制性股票解锁或回购注销完毕之 日止，最长不超过</w:t>
      </w:r>
      <w:r>
        <w:rPr>
          <w:rFonts w:ascii="Times New Roman" w:hAnsi="Times New Roman" w:cs="Times New Roman" w:eastAsia="Times New Roman" w:hint="default"/>
        </w:rPr>
        <w:t>4</w:t>
      </w:r>
      <w:r>
        <w:rPr/>
        <w:t>年。本次计划授予的限制性股票自授予之日起</w:t>
      </w:r>
      <w:r>
        <w:rPr>
          <w:rFonts w:ascii="Times New Roman" w:hAnsi="Times New Roman" w:cs="Times New Roman" w:eastAsia="Times New Roman" w:hint="default"/>
        </w:rPr>
        <w:t>12</w:t>
      </w:r>
      <w:r>
        <w:rPr/>
        <w:t>个月内为锁定期。在解锁日，公司为 满足解锁条件的激励对象办理解锁事宜，未满足解锁条件的激励对象持有的限制性股票由公司回购注销。</w:t>
      </w:r>
    </w:p>
    <w:p>
      <w:pPr>
        <w:pStyle w:val="BodyText"/>
        <w:spacing w:line="386" w:lineRule="auto" w:before="54"/>
        <w:ind w:right="1121" w:firstLine="423"/>
        <w:jc w:val="left"/>
      </w:pPr>
      <w:r>
        <w:rPr>
          <w:spacing w:val="-3"/>
        </w:rPr>
        <w:t>立信会计师事务所（特殊普通合伙）于 </w:t>
      </w:r>
      <w:r>
        <w:rPr>
          <w:rFonts w:ascii="Times New Roman" w:hAnsi="Times New Roman" w:cs="Times New Roman" w:eastAsia="Times New Roman" w:hint="default"/>
        </w:rPr>
        <w:t>2016</w:t>
      </w:r>
      <w:r>
        <w:rPr>
          <w:rFonts w:ascii="Times New Roman" w:hAnsi="Times New Roman" w:cs="Times New Roman" w:eastAsia="Times New Roman" w:hint="default"/>
          <w:spacing w:val="-31"/>
        </w:rPr>
        <w:t> </w:t>
      </w:r>
      <w:r>
        <w:rPr/>
        <w:t>年</w:t>
      </w:r>
      <w:r>
        <w:rPr>
          <w:rFonts w:ascii="Times New Roman" w:hAnsi="Times New Roman" w:cs="Times New Roman" w:eastAsia="Times New Roman" w:hint="default"/>
        </w:rPr>
        <w:t>7</w:t>
      </w:r>
      <w:r>
        <w:rPr/>
        <w:t>月</w:t>
      </w:r>
      <w:r>
        <w:rPr>
          <w:rFonts w:ascii="Times New Roman" w:hAnsi="Times New Roman" w:cs="Times New Roman" w:eastAsia="Times New Roman" w:hint="default"/>
        </w:rPr>
        <w:t>18</w:t>
      </w:r>
      <w:r>
        <w:rPr/>
        <w:t>日出具了信会师报字【</w:t>
      </w:r>
      <w:r>
        <w:rPr>
          <w:rFonts w:ascii="Times New Roman" w:hAnsi="Times New Roman" w:cs="Times New Roman" w:eastAsia="Times New Roman" w:hint="default"/>
        </w:rPr>
        <w:t>2016</w:t>
      </w:r>
      <w:r>
        <w:rPr/>
        <w:t>】第</w:t>
      </w:r>
      <w:r>
        <w:rPr>
          <w:rFonts w:ascii="Times New Roman" w:hAnsi="Times New Roman" w:cs="Times New Roman" w:eastAsia="Times New Roman" w:hint="default"/>
        </w:rPr>
        <w:t>711462</w:t>
      </w:r>
      <w:r>
        <w:rPr/>
        <w:t>号《验资 报告》，对公司截至</w:t>
      </w:r>
      <w:r>
        <w:rPr>
          <w:rFonts w:ascii="Times New Roman" w:hAnsi="Times New Roman" w:cs="Times New Roman" w:eastAsia="Times New Roman" w:hint="default"/>
        </w:rPr>
        <w:t>2016</w:t>
      </w:r>
      <w:r>
        <w:rPr/>
        <w:t>年</w:t>
      </w:r>
      <w:r>
        <w:rPr>
          <w:rFonts w:ascii="Times New Roman" w:hAnsi="Times New Roman" w:cs="Times New Roman" w:eastAsia="Times New Roman" w:hint="default"/>
        </w:rPr>
        <w:t>7</w:t>
      </w:r>
      <w:r>
        <w:rPr/>
        <w:t>月</w:t>
      </w:r>
      <w:r>
        <w:rPr>
          <w:rFonts w:ascii="Times New Roman" w:hAnsi="Times New Roman" w:cs="Times New Roman" w:eastAsia="Times New Roman" w:hint="default"/>
        </w:rPr>
        <w:t>18</w:t>
      </w:r>
      <w:r>
        <w:rPr/>
        <w:t>日止新增注册资本及实收资本（股本）情况进行了审验。 公司本次首次授予的限制性股票已于</w:t>
      </w:r>
      <w:r>
        <w:rPr>
          <w:rFonts w:ascii="Times New Roman" w:hAnsi="Times New Roman" w:cs="Times New Roman" w:eastAsia="Times New Roman" w:hint="default"/>
        </w:rPr>
        <w:t>2016</w:t>
      </w:r>
      <w:r>
        <w:rPr/>
        <w:t>年</w:t>
      </w:r>
      <w:r>
        <w:rPr>
          <w:rFonts w:ascii="Times New Roman" w:hAnsi="Times New Roman" w:cs="Times New Roman" w:eastAsia="Times New Roman" w:hint="default"/>
        </w:rPr>
        <w:t>8</w:t>
      </w:r>
      <w:r>
        <w:rPr/>
        <w:t>月</w:t>
      </w:r>
      <w:r>
        <w:rPr>
          <w:rFonts w:ascii="Times New Roman" w:hAnsi="Times New Roman" w:cs="Times New Roman" w:eastAsia="Times New Roman" w:hint="default"/>
        </w:rPr>
        <w:t>1</w:t>
      </w:r>
      <w:r>
        <w:rPr/>
        <w:t>日上市。</w:t>
      </w:r>
    </w:p>
    <w:p>
      <w:pPr>
        <w:pStyle w:val="BodyText"/>
        <w:spacing w:line="391" w:lineRule="auto" w:before="35"/>
        <w:ind w:right="1117" w:firstLine="423"/>
        <w:jc w:val="left"/>
      </w:pPr>
      <w:r>
        <w:rPr>
          <w:rFonts w:ascii="Times New Roman" w:hAnsi="Times New Roman" w:cs="Times New Roman" w:eastAsia="Times New Roman" w:hint="default"/>
        </w:rPr>
        <w:t>2017</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20</w:t>
      </w:r>
      <w:r>
        <w:rPr/>
        <w:t>日，公司第四届董事会第二次会议及第四届监事会第二次会议审议通过了《关于回购注 </w:t>
      </w:r>
      <w:r>
        <w:rPr>
          <w:spacing w:val="-1"/>
        </w:rPr>
        <w:t>销部分股权激励对象所持已获授但尚未解锁的限制性股票的议案》，同意回购注销激励对象陈广、钱喜江</w:t>
      </w:r>
      <w:r>
        <w:rPr>
          <w:spacing w:val="-83"/>
        </w:rPr>
        <w:t> </w:t>
      </w:r>
      <w:r>
        <w:rPr>
          <w:spacing w:val="-83"/>
        </w:rPr>
      </w:r>
      <w:r>
        <w:rPr>
          <w:spacing w:val="-1"/>
        </w:rPr>
        <w:t>等</w:t>
      </w:r>
      <w:r>
        <w:rPr>
          <w:rFonts w:ascii="Times New Roman" w:hAnsi="Times New Roman" w:cs="Times New Roman" w:eastAsia="Times New Roman" w:hint="default"/>
          <w:spacing w:val="-1"/>
        </w:rPr>
        <w:t>11</w:t>
      </w:r>
      <w:r>
        <w:rPr>
          <w:spacing w:val="-1"/>
        </w:rPr>
        <w:t>名离职人员、余立道等</w:t>
      </w:r>
      <w:r>
        <w:rPr>
          <w:rFonts w:ascii="Times New Roman" w:hAnsi="Times New Roman" w:cs="Times New Roman" w:eastAsia="Times New Roman" w:hint="default"/>
          <w:spacing w:val="-1"/>
        </w:rPr>
        <w:t>4</w:t>
      </w:r>
      <w:r>
        <w:rPr>
          <w:spacing w:val="-1"/>
        </w:rPr>
        <w:t>名个人绩效考核结果未达标人员以及</w:t>
      </w:r>
      <w:r>
        <w:rPr>
          <w:rFonts w:ascii="Times New Roman" w:hAnsi="Times New Roman" w:cs="Times New Roman" w:eastAsia="Times New Roman" w:hint="default"/>
          <w:spacing w:val="-1"/>
        </w:rPr>
        <w:t>1</w:t>
      </w:r>
      <w:r>
        <w:rPr>
          <w:spacing w:val="-1"/>
        </w:rPr>
        <w:t>名去世人员已获授但尚未解锁的限制性</w:t>
      </w:r>
      <w:r>
        <w:rPr>
          <w:spacing w:val="-85"/>
        </w:rPr>
        <w:t> </w:t>
      </w:r>
      <w:r>
        <w:rPr>
          <w:spacing w:val="-85"/>
        </w:rPr>
      </w:r>
      <w:r>
        <w:rPr/>
        <w:t>股票共计</w:t>
      </w:r>
      <w:r>
        <w:rPr>
          <w:rFonts w:ascii="Times New Roman" w:hAnsi="Times New Roman" w:cs="Times New Roman" w:eastAsia="Times New Roman" w:hint="default"/>
        </w:rPr>
        <w:t>111,900</w:t>
      </w:r>
      <w:r>
        <w:rPr/>
        <w:t>股，回购价格为</w:t>
      </w:r>
      <w:r>
        <w:rPr>
          <w:rFonts w:ascii="Times New Roman" w:hAnsi="Times New Roman" w:cs="Times New Roman" w:eastAsia="Times New Roman" w:hint="default"/>
        </w:rPr>
        <w:t>12.37</w:t>
      </w:r>
      <w:r>
        <w:rPr/>
        <w:t>元</w:t>
      </w:r>
      <w:r>
        <w:rPr>
          <w:rFonts w:ascii="Times New Roman" w:hAnsi="Times New Roman" w:cs="Times New Roman" w:eastAsia="Times New Roman" w:hint="default"/>
        </w:rPr>
        <w:t>/</w:t>
      </w:r>
      <w:r>
        <w:rPr/>
        <w:t>股，公司合计应支付回购价款人民币</w:t>
      </w:r>
      <w:r>
        <w:rPr>
          <w:rFonts w:ascii="Times New Roman" w:hAnsi="Times New Roman" w:cs="Times New Roman" w:eastAsia="Times New Roman" w:hint="default"/>
        </w:rPr>
        <w:t>1,384,203</w:t>
      </w:r>
      <w:r>
        <w:rPr/>
        <w:t>元。公司已于</w:t>
      </w:r>
      <w:r>
        <w:rPr>
          <w:rFonts w:ascii="Times New Roman" w:hAnsi="Times New Roman" w:cs="Times New Roman" w:eastAsia="Times New Roman" w:hint="default"/>
        </w:rPr>
        <w:t>2017 </w:t>
      </w:r>
      <w:r>
        <w:rPr/>
        <w:t>年</w:t>
      </w:r>
      <w:r>
        <w:rPr>
          <w:rFonts w:ascii="Times New Roman" w:hAnsi="Times New Roman" w:cs="Times New Roman" w:eastAsia="Times New Roman" w:hint="default"/>
        </w:rPr>
        <w:t>7</w:t>
      </w:r>
      <w:r>
        <w:rPr/>
        <w:t>月</w:t>
      </w:r>
      <w:r>
        <w:rPr>
          <w:rFonts w:ascii="Times New Roman" w:hAnsi="Times New Roman" w:cs="Times New Roman" w:eastAsia="Times New Roman" w:hint="default"/>
        </w:rPr>
        <w:t>11</w:t>
      </w:r>
      <w:r>
        <w:rPr/>
        <w:t>日办理完毕回购注销手续。</w:t>
      </w:r>
    </w:p>
    <w:p>
      <w:pPr>
        <w:pStyle w:val="BodyText"/>
        <w:spacing w:line="386" w:lineRule="auto" w:before="31"/>
        <w:ind w:right="1128" w:firstLine="423"/>
        <w:jc w:val="left"/>
      </w:pPr>
      <w:r>
        <w:rPr>
          <w:rFonts w:ascii="Times New Roman" w:hAnsi="Times New Roman" w:cs="Times New Roman" w:eastAsia="Times New Roman" w:hint="default"/>
          <w:spacing w:val="-3"/>
        </w:rPr>
        <w:t>2017</w:t>
      </w:r>
      <w:r>
        <w:rPr>
          <w:spacing w:val="-3"/>
        </w:rPr>
        <w:t>年</w:t>
      </w:r>
      <w:r>
        <w:rPr>
          <w:rFonts w:ascii="Times New Roman" w:hAnsi="Times New Roman" w:cs="Times New Roman" w:eastAsia="Times New Roman" w:hint="default"/>
          <w:spacing w:val="-3"/>
        </w:rPr>
        <w:t>7</w:t>
      </w:r>
      <w:r>
        <w:rPr>
          <w:spacing w:val="-3"/>
        </w:rPr>
        <w:t>月</w:t>
      </w:r>
      <w:r>
        <w:rPr>
          <w:rFonts w:ascii="Times New Roman" w:hAnsi="Times New Roman" w:cs="Times New Roman" w:eastAsia="Times New Roman" w:hint="default"/>
          <w:spacing w:val="-3"/>
        </w:rPr>
        <w:t>14</w:t>
      </w:r>
      <w:r>
        <w:rPr>
          <w:spacing w:val="-3"/>
        </w:rPr>
        <w:t>日，公司第四届董事会第三次会议审议通过了《关于取消授予预留限制性股票的议案》，</w:t>
      </w:r>
      <w:r>
        <w:rPr/>
        <w:t> 同意公司取消授予预留的限制性股票共计</w:t>
      </w:r>
      <w:r>
        <w:rPr>
          <w:rFonts w:ascii="Times New Roman" w:hAnsi="Times New Roman" w:cs="Times New Roman" w:eastAsia="Times New Roman" w:hint="default"/>
        </w:rPr>
        <w:t>80</w:t>
      </w:r>
      <w:r>
        <w:rPr/>
        <w:t>万股。</w:t>
      </w:r>
    </w:p>
    <w:p>
      <w:pPr>
        <w:pStyle w:val="BodyText"/>
        <w:spacing w:line="240" w:lineRule="auto" w:before="35"/>
        <w:ind w:left="577" w:right="1117"/>
        <w:jc w:val="left"/>
      </w:pPr>
      <w:r>
        <w:rPr>
          <w:rFonts w:ascii="Times New Roman" w:hAnsi="Times New Roman" w:cs="Times New Roman" w:eastAsia="Times New Roman" w:hint="default"/>
        </w:rPr>
        <w:t>2017</w:t>
      </w:r>
      <w:r>
        <w:rPr/>
        <w:t>年</w:t>
      </w:r>
      <w:r>
        <w:rPr>
          <w:rFonts w:ascii="Times New Roman" w:hAnsi="Times New Roman" w:cs="Times New Roman" w:eastAsia="Times New Roman" w:hint="default"/>
        </w:rPr>
        <w:t>7</w:t>
      </w:r>
      <w:r>
        <w:rPr/>
        <w:t>月</w:t>
      </w:r>
      <w:r>
        <w:rPr>
          <w:rFonts w:ascii="Times New Roman" w:hAnsi="Times New Roman" w:cs="Times New Roman" w:eastAsia="Times New Roman" w:hint="default"/>
        </w:rPr>
        <w:t>14</w:t>
      </w:r>
      <w:r>
        <w:rPr/>
        <w:t>日，公司第四届董事会第三次会议及第四届监事会第三次会议审议通过了《关于公司限</w:t>
      </w:r>
    </w:p>
    <w:p>
      <w:pPr>
        <w:spacing w:after="0" w:line="240" w:lineRule="auto"/>
        <w:jc w:val="left"/>
        <w:sectPr>
          <w:footerReference w:type="default" r:id="rId39"/>
          <w:pgSz w:w="11910" w:h="16840"/>
          <w:pgMar w:footer="979" w:header="877" w:top="1100" w:bottom="1160" w:left="980" w:right="0"/>
        </w:sectPr>
      </w:pPr>
    </w:p>
    <w:p>
      <w:pPr>
        <w:spacing w:line="240" w:lineRule="auto" w:before="8"/>
        <w:rPr>
          <w:rFonts w:ascii="宋体" w:hAnsi="宋体" w:cs="宋体" w:eastAsia="宋体" w:hint="default"/>
          <w:sz w:val="26"/>
          <w:szCs w:val="26"/>
        </w:rPr>
      </w:pPr>
    </w:p>
    <w:p>
      <w:pPr>
        <w:pStyle w:val="BodyText"/>
        <w:spacing w:line="386" w:lineRule="auto" w:before="35"/>
        <w:ind w:right="1117"/>
        <w:jc w:val="left"/>
      </w:pPr>
      <w:r>
        <w:rPr/>
        <w:t>制性股票激励计划首次授予限制性股票第一个解锁期解锁条件成就的议案》，同意对符合解锁条件的</w:t>
      </w:r>
      <w:r>
        <w:rPr>
          <w:rFonts w:ascii="Times New Roman" w:hAnsi="Times New Roman" w:cs="Times New Roman" w:eastAsia="Times New Roman" w:hint="default"/>
        </w:rPr>
        <w:t>449 </w:t>
      </w:r>
      <w:r>
        <w:rPr>
          <w:spacing w:val="-2"/>
        </w:rPr>
        <w:t>名激励对象的</w:t>
      </w:r>
      <w:r>
        <w:rPr>
          <w:rFonts w:ascii="Times New Roman" w:hAnsi="Times New Roman" w:cs="Times New Roman" w:eastAsia="Times New Roman" w:hint="default"/>
          <w:spacing w:val="-2"/>
        </w:rPr>
        <w:t>375.986</w:t>
      </w:r>
      <w:r>
        <w:rPr>
          <w:spacing w:val="-2"/>
        </w:rPr>
        <w:t>万股限制性股票按规定解锁，并为其办理相应的解锁手续，公司独立董事对本次解锁</w:t>
      </w:r>
      <w:r>
        <w:rPr>
          <w:spacing w:val="-83"/>
        </w:rPr>
        <w:t> </w:t>
      </w:r>
      <w:r>
        <w:rPr>
          <w:spacing w:val="-83"/>
        </w:rPr>
      </w:r>
      <w:r>
        <w:rPr/>
        <w:t>发表了独立意见，北京国枫律师事务所出具了法律意见书。本次解锁的限制性股票已于</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7</w:t>
      </w:r>
      <w:r>
        <w:rPr/>
        <w:t>月</w:t>
      </w:r>
      <w:r>
        <w:rPr>
          <w:rFonts w:ascii="Times New Roman" w:hAnsi="Times New Roman" w:cs="Times New Roman" w:eastAsia="Times New Roman" w:hint="default"/>
        </w:rPr>
        <w:t>27</w:t>
      </w:r>
      <w:r>
        <w:rPr/>
        <w:t>日上 市流通。</w:t>
      </w:r>
    </w:p>
    <w:p>
      <w:pPr>
        <w:pStyle w:val="BodyText"/>
        <w:spacing w:line="391" w:lineRule="auto" w:before="65"/>
        <w:ind w:right="1109" w:firstLine="423"/>
        <w:jc w:val="left"/>
      </w:pPr>
      <w:r>
        <w:rPr>
          <w:rFonts w:ascii="Times New Roman" w:hAnsi="Times New Roman" w:cs="Times New Roman" w:eastAsia="Times New Roman" w:hint="default"/>
          <w:spacing w:val="-1"/>
        </w:rPr>
        <w:t>2017</w:t>
      </w:r>
      <w:r>
        <w:rPr>
          <w:spacing w:val="-1"/>
        </w:rPr>
        <w:t>年</w:t>
      </w:r>
      <w:r>
        <w:rPr>
          <w:rFonts w:ascii="Times New Roman" w:hAnsi="Times New Roman" w:cs="Times New Roman" w:eastAsia="Times New Roman" w:hint="default"/>
          <w:spacing w:val="-1"/>
        </w:rPr>
        <w:t>10</w:t>
      </w:r>
      <w:r>
        <w:rPr>
          <w:spacing w:val="-1"/>
        </w:rPr>
        <w:t>月</w:t>
      </w:r>
      <w:r>
        <w:rPr>
          <w:rFonts w:ascii="Times New Roman" w:hAnsi="Times New Roman" w:cs="Times New Roman" w:eastAsia="Times New Roman" w:hint="default"/>
          <w:spacing w:val="-1"/>
        </w:rPr>
        <w:t>10</w:t>
      </w:r>
      <w:r>
        <w:rPr>
          <w:spacing w:val="-1"/>
        </w:rPr>
        <w:t>日，公司第四届董事会第六次会议及第四届监事会第五次会议审议通过了《关于回购注</w:t>
      </w:r>
      <w:r>
        <w:rPr/>
        <w:t> </w:t>
      </w:r>
      <w:r>
        <w:rPr>
          <w:spacing w:val="-1"/>
        </w:rPr>
        <w:t>销部分股权激励对象所持已获授但尚未解锁的限制性股票的议案》，同意回购注销激励对象罗旭涛、张湧</w:t>
      </w:r>
      <w:r>
        <w:rPr>
          <w:spacing w:val="-83"/>
        </w:rPr>
        <w:t> </w:t>
      </w:r>
      <w:r>
        <w:rPr>
          <w:spacing w:val="-83"/>
        </w:rPr>
      </w:r>
      <w:r>
        <w:rPr>
          <w:spacing w:val="-2"/>
        </w:rPr>
        <w:t>峰等</w:t>
      </w:r>
      <w:r>
        <w:rPr>
          <w:rFonts w:ascii="Times New Roman" w:hAnsi="Times New Roman" w:cs="Times New Roman" w:eastAsia="Times New Roman" w:hint="default"/>
          <w:spacing w:val="-2"/>
        </w:rPr>
        <w:t>6</w:t>
      </w:r>
      <w:r>
        <w:rPr>
          <w:spacing w:val="-2"/>
        </w:rPr>
        <w:t>名离职人员已获授但尚未解锁的</w:t>
      </w:r>
      <w:r>
        <w:rPr>
          <w:rFonts w:ascii="Times New Roman" w:hAnsi="Times New Roman" w:cs="Times New Roman" w:eastAsia="Times New Roman" w:hint="default"/>
          <w:spacing w:val="-2"/>
        </w:rPr>
        <w:t>36,900</w:t>
      </w:r>
      <w:r>
        <w:rPr>
          <w:spacing w:val="-2"/>
        </w:rPr>
        <w:t>股限制性股票。公司向激励对象授予限制性股票的授予价格为</w:t>
      </w:r>
      <w:r>
        <w:rPr>
          <w:spacing w:val="-82"/>
        </w:rPr>
        <w:t> </w:t>
      </w:r>
      <w:r>
        <w:rPr>
          <w:spacing w:val="-82"/>
        </w:rPr>
      </w:r>
      <w:r>
        <w:rPr>
          <w:rFonts w:ascii="Times New Roman" w:hAnsi="Times New Roman" w:cs="Times New Roman" w:eastAsia="Times New Roman" w:hint="default"/>
        </w:rPr>
        <w:t>12.37</w:t>
      </w:r>
      <w:r>
        <w:rPr/>
        <w:t>元</w:t>
      </w:r>
      <w:r>
        <w:rPr>
          <w:rFonts w:ascii="Times New Roman" w:hAnsi="Times New Roman" w:cs="Times New Roman" w:eastAsia="Times New Roman" w:hint="default"/>
        </w:rPr>
        <w:t>/</w:t>
      </w:r>
      <w:r>
        <w:rPr/>
        <w:t>股，公司已于</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6</w:t>
      </w:r>
      <w:r>
        <w:rPr/>
        <w:t>月实施了向全体股东按每</w:t>
      </w:r>
      <w:r>
        <w:rPr>
          <w:rFonts w:ascii="Times New Roman" w:hAnsi="Times New Roman" w:cs="Times New Roman" w:eastAsia="Times New Roman" w:hint="default"/>
        </w:rPr>
        <w:t>10</w:t>
      </w:r>
      <w:r>
        <w:rPr/>
        <w:t>股派发现金股利人民币</w:t>
      </w:r>
      <w:r>
        <w:rPr>
          <w:rFonts w:ascii="Times New Roman" w:hAnsi="Times New Roman" w:cs="Times New Roman" w:eastAsia="Times New Roman" w:hint="default"/>
        </w:rPr>
        <w:t>0.55</w:t>
      </w:r>
      <w:r>
        <w:rPr/>
        <w:t>元，因此回购价格应 调整为</w:t>
      </w:r>
      <w:r>
        <w:rPr>
          <w:rFonts w:ascii="Times New Roman" w:hAnsi="Times New Roman" w:cs="Times New Roman" w:eastAsia="Times New Roman" w:hint="default"/>
        </w:rPr>
        <w:t>12.315</w:t>
      </w:r>
      <w:r>
        <w:rPr/>
        <w:t>元</w:t>
      </w:r>
      <w:r>
        <w:rPr>
          <w:rFonts w:ascii="Times New Roman" w:hAnsi="Times New Roman" w:cs="Times New Roman" w:eastAsia="Times New Roman" w:hint="default"/>
        </w:rPr>
        <w:t>/</w:t>
      </w:r>
      <w:r>
        <w:rPr/>
        <w:t>股。罗旭涛、张湧峰等</w:t>
      </w:r>
      <w:r>
        <w:rPr>
          <w:rFonts w:ascii="Times New Roman" w:hAnsi="Times New Roman" w:cs="Times New Roman" w:eastAsia="Times New Roman" w:hint="default"/>
        </w:rPr>
        <w:t>6</w:t>
      </w:r>
      <w:r>
        <w:rPr/>
        <w:t>人未解锁的股份</w:t>
      </w:r>
      <w:r>
        <w:rPr>
          <w:rFonts w:ascii="Times New Roman" w:hAnsi="Times New Roman" w:cs="Times New Roman" w:eastAsia="Times New Roman" w:hint="default"/>
        </w:rPr>
        <w:t>2016</w:t>
      </w:r>
      <w:r>
        <w:rPr/>
        <w:t>年度的现金分红目前均由公司代管，未实际 派发，因此，实际回购价格仍为</w:t>
      </w:r>
      <w:r>
        <w:rPr>
          <w:rFonts w:ascii="Times New Roman" w:hAnsi="Times New Roman" w:cs="Times New Roman" w:eastAsia="Times New Roman" w:hint="default"/>
        </w:rPr>
        <w:t>12.37</w:t>
      </w:r>
      <w:r>
        <w:rPr/>
        <w:t>元</w:t>
      </w:r>
      <w:r>
        <w:rPr>
          <w:rFonts w:ascii="Times New Roman" w:hAnsi="Times New Roman" w:cs="Times New Roman" w:eastAsia="Times New Roman" w:hint="default"/>
        </w:rPr>
        <w:t>/</w:t>
      </w:r>
      <w:r>
        <w:rPr/>
        <w:t>股，公司合计应支付回购价款人民币</w:t>
      </w:r>
      <w:r>
        <w:rPr>
          <w:rFonts w:ascii="Times New Roman" w:hAnsi="Times New Roman" w:cs="Times New Roman" w:eastAsia="Times New Roman" w:hint="default"/>
        </w:rPr>
        <w:t>456,453</w:t>
      </w:r>
      <w:r>
        <w:rPr/>
        <w:t>元。公司已于</w:t>
      </w:r>
      <w:r>
        <w:rPr>
          <w:rFonts w:ascii="Times New Roman" w:hAnsi="Times New Roman" w:cs="Times New Roman" w:eastAsia="Times New Roman" w:hint="default"/>
        </w:rPr>
        <w:t>2017</w:t>
      </w:r>
      <w:r>
        <w:rPr>
          <w:rFonts w:ascii="Times New Roman" w:hAnsi="Times New Roman" w:cs="Times New Roman" w:eastAsia="Times New Roman" w:hint="default"/>
          <w:spacing w:val="-23"/>
        </w:rPr>
        <w:t> </w:t>
      </w:r>
      <w:r>
        <w:rPr/>
        <w:t>年 </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26</w:t>
      </w:r>
      <w:r>
        <w:rPr/>
        <w:t>日办理完毕回购注销手续。</w:t>
      </w:r>
    </w:p>
    <w:p>
      <w:pPr>
        <w:pStyle w:val="BodyText"/>
        <w:spacing w:line="386" w:lineRule="auto" w:before="30"/>
        <w:ind w:right="0" w:firstLine="423"/>
        <w:jc w:val="left"/>
      </w:pPr>
      <w:r>
        <w:rPr>
          <w:rFonts w:ascii="Times New Roman" w:hAnsi="Times New Roman" w:cs="Times New Roman" w:eastAsia="Times New Roman" w:hint="default"/>
        </w:rPr>
        <w:t>2018</w:t>
      </w:r>
      <w:r>
        <w:rPr/>
        <w:t>年</w:t>
      </w:r>
      <w:r>
        <w:rPr>
          <w:rFonts w:ascii="Times New Roman" w:hAnsi="Times New Roman" w:cs="Times New Roman" w:eastAsia="Times New Roman" w:hint="default"/>
        </w:rPr>
        <w:t>2</w:t>
      </w:r>
      <w:r>
        <w:rPr/>
        <w:t>月</w:t>
      </w:r>
      <w:r>
        <w:rPr>
          <w:rFonts w:ascii="Times New Roman" w:hAnsi="Times New Roman" w:cs="Times New Roman" w:eastAsia="Times New Roman" w:hint="default"/>
        </w:rPr>
        <w:t>13</w:t>
      </w:r>
      <w:r>
        <w:rPr/>
        <w:t>日，公司第四届董事会第九次会议审议通过了《关于回购注销不符合激励条件的激励对 象所持已获授但尚未解锁的限制性股票的议案》，同意回购注销原激励对象李莘、王鹏飞等</w:t>
      </w:r>
      <w:r>
        <w:rPr>
          <w:rFonts w:ascii="Times New Roman" w:hAnsi="Times New Roman" w:cs="Times New Roman" w:eastAsia="Times New Roman" w:hint="default"/>
        </w:rPr>
        <w:t>10</w:t>
      </w:r>
      <w:r>
        <w:rPr/>
        <w:t>名离职人员 已获授但尚未解锁的共计</w:t>
      </w:r>
      <w:r>
        <w:rPr>
          <w:rFonts w:ascii="Times New Roman" w:hAnsi="Times New Roman" w:cs="Times New Roman" w:eastAsia="Times New Roman" w:hint="default"/>
        </w:rPr>
        <w:t>45,600</w:t>
      </w:r>
      <w:r>
        <w:rPr/>
        <w:t>股限制性股票。公司向激励对象授予限制性股票的授予价格为</w:t>
      </w:r>
      <w:r>
        <w:rPr>
          <w:rFonts w:ascii="Times New Roman" w:hAnsi="Times New Roman" w:cs="Times New Roman" w:eastAsia="Times New Roman" w:hint="default"/>
        </w:rPr>
        <w:t>12.37</w:t>
      </w:r>
      <w:r>
        <w:rPr/>
        <w:t>元</w:t>
      </w:r>
      <w:r>
        <w:rPr>
          <w:rFonts w:ascii="Times New Roman" w:hAnsi="Times New Roman" w:cs="Times New Roman" w:eastAsia="Times New Roman" w:hint="default"/>
        </w:rPr>
        <w:t>/</w:t>
      </w:r>
      <w:r>
        <w:rPr/>
        <w:t>股，</w:t>
      </w:r>
      <w:r>
        <w:rPr>
          <w:spacing w:val="-86"/>
        </w:rPr>
        <w:t> </w:t>
      </w:r>
      <w:r>
        <w:rPr/>
        <w:t>鉴于公司于</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6</w:t>
      </w:r>
      <w:r>
        <w:rPr/>
        <w:t>月实施了向全体股东按每</w:t>
      </w:r>
      <w:r>
        <w:rPr>
          <w:rFonts w:ascii="Times New Roman" w:hAnsi="Times New Roman" w:cs="Times New Roman" w:eastAsia="Times New Roman" w:hint="default"/>
        </w:rPr>
        <w:t>10</w:t>
      </w:r>
      <w:r>
        <w:rPr/>
        <w:t>股派发现金人民币</w:t>
      </w:r>
      <w:r>
        <w:rPr>
          <w:rFonts w:ascii="Times New Roman" w:hAnsi="Times New Roman" w:cs="Times New Roman" w:eastAsia="Times New Roman" w:hint="default"/>
        </w:rPr>
        <w:t>0.55</w:t>
      </w:r>
      <w:r>
        <w:rPr/>
        <w:t>元，因此回购价格应调整为</w:t>
      </w:r>
      <w:r>
        <w:rPr>
          <w:rFonts w:ascii="Times New Roman" w:hAnsi="Times New Roman" w:cs="Times New Roman" w:eastAsia="Times New Roman" w:hint="default"/>
        </w:rPr>
        <w:t>12.315</w:t>
      </w:r>
      <w:r>
        <w:rPr/>
        <w:t>元</w:t>
      </w:r>
    </w:p>
    <w:p>
      <w:pPr>
        <w:pStyle w:val="BodyText"/>
        <w:spacing w:line="386" w:lineRule="auto" w:before="36"/>
        <w:ind w:right="1117"/>
        <w:jc w:val="left"/>
      </w:pPr>
      <w:r>
        <w:rPr>
          <w:rFonts w:ascii="Times New Roman" w:hAnsi="Times New Roman" w:cs="Times New Roman" w:eastAsia="Times New Roman" w:hint="default"/>
          <w:spacing w:val="-2"/>
        </w:rPr>
        <w:t>/</w:t>
      </w:r>
      <w:r>
        <w:rPr>
          <w:spacing w:val="-2"/>
        </w:rPr>
        <w:t>股。由于李莘、王鹏飞等</w:t>
      </w:r>
      <w:r>
        <w:rPr>
          <w:rFonts w:ascii="Times New Roman" w:hAnsi="Times New Roman" w:cs="Times New Roman" w:eastAsia="Times New Roman" w:hint="default"/>
          <w:spacing w:val="-2"/>
        </w:rPr>
        <w:t>10</w:t>
      </w:r>
      <w:r>
        <w:rPr>
          <w:spacing w:val="-2"/>
        </w:rPr>
        <w:t>名离职人员</w:t>
      </w:r>
      <w:r>
        <w:rPr>
          <w:rFonts w:ascii="Times New Roman" w:hAnsi="Times New Roman" w:cs="Times New Roman" w:eastAsia="Times New Roman" w:hint="default"/>
          <w:spacing w:val="-2"/>
        </w:rPr>
        <w:t>2016</w:t>
      </w:r>
      <w:r>
        <w:rPr>
          <w:spacing w:val="-2"/>
        </w:rPr>
        <w:t>年度的现金分红目前均由公司代管，未实际派发，因此，实际</w:t>
      </w:r>
      <w:r>
        <w:rPr>
          <w:spacing w:val="-90"/>
        </w:rPr>
        <w:t> </w:t>
      </w:r>
      <w:r>
        <w:rPr>
          <w:spacing w:val="-90"/>
        </w:rPr>
      </w:r>
      <w:r>
        <w:rPr/>
        <w:t>回购价格仍为</w:t>
      </w:r>
      <w:r>
        <w:rPr>
          <w:rFonts w:ascii="Times New Roman" w:hAnsi="Times New Roman" w:cs="Times New Roman" w:eastAsia="Times New Roman" w:hint="default"/>
        </w:rPr>
        <w:t>12.37</w:t>
      </w:r>
      <w:r>
        <w:rPr/>
        <w:t>元</w:t>
      </w:r>
      <w:r>
        <w:rPr>
          <w:rFonts w:ascii="Times New Roman" w:hAnsi="Times New Roman" w:cs="Times New Roman" w:eastAsia="Times New Roman" w:hint="default"/>
        </w:rPr>
        <w:t>/</w:t>
      </w:r>
      <w:r>
        <w:rPr/>
        <w:t>股。</w:t>
      </w:r>
    </w:p>
    <w:p>
      <w:pPr>
        <w:pStyle w:val="BodyText"/>
        <w:spacing w:line="386" w:lineRule="auto" w:before="35"/>
        <w:ind w:right="1117" w:firstLine="423"/>
        <w:jc w:val="left"/>
      </w:pPr>
      <w:r>
        <w:rPr>
          <w:rFonts w:ascii="Times New Roman" w:hAnsi="Times New Roman" w:cs="Times New Roman" w:eastAsia="Times New Roman" w:hint="default"/>
        </w:rPr>
        <w:t>2018</w:t>
      </w:r>
      <w:r>
        <w:rPr/>
        <w:t>年</w:t>
      </w:r>
      <w:r>
        <w:rPr>
          <w:rFonts w:ascii="Times New Roman" w:hAnsi="Times New Roman" w:cs="Times New Roman" w:eastAsia="Times New Roman" w:hint="default"/>
        </w:rPr>
        <w:t>2</w:t>
      </w:r>
      <w:r>
        <w:rPr/>
        <w:t>月</w:t>
      </w:r>
      <w:r>
        <w:rPr>
          <w:rFonts w:ascii="Times New Roman" w:hAnsi="Times New Roman" w:cs="Times New Roman" w:eastAsia="Times New Roman" w:hint="default"/>
        </w:rPr>
        <w:t>13</w:t>
      </w:r>
      <w:r>
        <w:rPr/>
        <w:t>日，公司第四届董事会第九次会议与第四届监事会第八次会议审议通过了《关于终止实 施</w:t>
      </w:r>
      <w:r>
        <w:rPr>
          <w:rFonts w:ascii="Times New Roman" w:hAnsi="Times New Roman" w:cs="Times New Roman" w:eastAsia="Times New Roman" w:hint="default"/>
        </w:rPr>
        <w:t>2016</w:t>
      </w:r>
      <w:r>
        <w:rPr/>
        <w:t>年限制性股票激励计划暨回购注销已获授但尚未解锁的限制性股票的议案》、《关于终止执行</w:t>
      </w:r>
      <w:r>
        <w:rPr>
          <w:rFonts w:ascii="Times New Roman" w:hAnsi="Times New Roman" w:cs="Times New Roman" w:eastAsia="Times New Roman" w:hint="default"/>
        </w:rPr>
        <w:t>&lt;</w:t>
      </w:r>
      <w:r>
        <w:rPr/>
        <w:t>新 开普电子股份有限公司限制性股票激励计划实施考核管理办法</w:t>
      </w:r>
      <w:r>
        <w:rPr>
          <w:rFonts w:ascii="Times New Roman" w:hAnsi="Times New Roman" w:cs="Times New Roman" w:eastAsia="Times New Roman" w:hint="default"/>
        </w:rPr>
        <w:t>&gt;</w:t>
      </w:r>
      <w:r>
        <w:rPr/>
        <w:t>的议案》等议案，同意公司终止实施激励 计划并回购注销剩余</w:t>
      </w:r>
      <w:r>
        <w:rPr>
          <w:rFonts w:ascii="Times New Roman" w:hAnsi="Times New Roman" w:cs="Times New Roman" w:eastAsia="Times New Roman" w:hint="default"/>
        </w:rPr>
        <w:t>435</w:t>
      </w:r>
      <w:r>
        <w:rPr/>
        <w:t>名激励对象已获授但尚未解锁的限制性股票共计</w:t>
      </w:r>
      <w:r>
        <w:rPr>
          <w:rFonts w:ascii="Times New Roman" w:hAnsi="Times New Roman" w:cs="Times New Roman" w:eastAsia="Times New Roman" w:hint="default"/>
        </w:rPr>
        <w:t>5,575,140</w:t>
      </w:r>
      <w:r>
        <w:rPr/>
        <w:t>股。公司向激励对象授 </w:t>
      </w:r>
      <w:r>
        <w:rPr>
          <w:spacing w:val="-1"/>
        </w:rPr>
        <w:t>予限制性股票的授予价格为</w:t>
      </w:r>
      <w:r>
        <w:rPr>
          <w:rFonts w:ascii="Times New Roman" w:hAnsi="Times New Roman" w:cs="Times New Roman" w:eastAsia="Times New Roman" w:hint="default"/>
          <w:spacing w:val="-1"/>
        </w:rPr>
        <w:t>12.37</w:t>
      </w:r>
      <w:r>
        <w:rPr>
          <w:spacing w:val="-1"/>
        </w:rPr>
        <w:t>元</w:t>
      </w:r>
      <w:r>
        <w:rPr>
          <w:rFonts w:ascii="Times New Roman" w:hAnsi="Times New Roman" w:cs="Times New Roman" w:eastAsia="Times New Roman" w:hint="default"/>
          <w:spacing w:val="-1"/>
        </w:rPr>
        <w:t>/</w:t>
      </w:r>
      <w:r>
        <w:rPr>
          <w:spacing w:val="-1"/>
        </w:rPr>
        <w:t>股，鉴于公司于</w:t>
      </w:r>
      <w:r>
        <w:rPr>
          <w:rFonts w:ascii="Times New Roman" w:hAnsi="Times New Roman" w:cs="Times New Roman" w:eastAsia="Times New Roman" w:hint="default"/>
          <w:spacing w:val="-1"/>
        </w:rPr>
        <w:t>2017</w:t>
      </w:r>
      <w:r>
        <w:rPr>
          <w:spacing w:val="-1"/>
        </w:rPr>
        <w:t>年</w:t>
      </w:r>
      <w:r>
        <w:rPr>
          <w:rFonts w:ascii="Times New Roman" w:hAnsi="Times New Roman" w:cs="Times New Roman" w:eastAsia="Times New Roman" w:hint="default"/>
          <w:spacing w:val="-1"/>
        </w:rPr>
        <w:t>6</w:t>
      </w:r>
      <w:r>
        <w:rPr>
          <w:spacing w:val="-1"/>
        </w:rPr>
        <w:t>月实施了向全体股东按每</w:t>
      </w:r>
      <w:r>
        <w:rPr>
          <w:rFonts w:ascii="Times New Roman" w:hAnsi="Times New Roman" w:cs="Times New Roman" w:eastAsia="Times New Roman" w:hint="default"/>
          <w:spacing w:val="-1"/>
        </w:rPr>
        <w:t>10</w:t>
      </w:r>
      <w:r>
        <w:rPr>
          <w:spacing w:val="-1"/>
        </w:rPr>
        <w:t>股派发现金人民币</w:t>
      </w:r>
      <w:r>
        <w:rPr>
          <w:spacing w:val="-86"/>
        </w:rPr>
        <w:t> </w:t>
      </w:r>
      <w:r>
        <w:rPr>
          <w:spacing w:val="-86"/>
        </w:rPr>
      </w:r>
      <w:r>
        <w:rPr>
          <w:rFonts w:ascii="Times New Roman" w:hAnsi="Times New Roman" w:cs="Times New Roman" w:eastAsia="Times New Roman" w:hint="default"/>
        </w:rPr>
        <w:t>0.55</w:t>
      </w:r>
      <w:r>
        <w:rPr/>
        <w:t>元，因此回购价格应调整为</w:t>
      </w:r>
      <w:r>
        <w:rPr>
          <w:rFonts w:ascii="Times New Roman" w:hAnsi="Times New Roman" w:cs="Times New Roman" w:eastAsia="Times New Roman" w:hint="default"/>
        </w:rPr>
        <w:t>12.315</w:t>
      </w:r>
      <w:r>
        <w:rPr/>
        <w:t>元</w:t>
      </w:r>
      <w:r>
        <w:rPr>
          <w:rFonts w:ascii="Times New Roman" w:hAnsi="Times New Roman" w:cs="Times New Roman" w:eastAsia="Times New Roman" w:hint="default"/>
        </w:rPr>
        <w:t>/</w:t>
      </w:r>
      <w:r>
        <w:rPr/>
        <w:t>股。由于</w:t>
      </w:r>
      <w:r>
        <w:rPr>
          <w:rFonts w:ascii="Times New Roman" w:hAnsi="Times New Roman" w:cs="Times New Roman" w:eastAsia="Times New Roman" w:hint="default"/>
        </w:rPr>
        <w:t>2016</w:t>
      </w:r>
      <w:r>
        <w:rPr/>
        <w:t>年度的现金分红目前均由公司代管，未实际派发， 因此，实际回购价格仍为</w:t>
      </w:r>
      <w:r>
        <w:rPr>
          <w:rFonts w:ascii="Times New Roman" w:hAnsi="Times New Roman" w:cs="Times New Roman" w:eastAsia="Times New Roman" w:hint="default"/>
        </w:rPr>
        <w:t>12.37</w:t>
      </w:r>
      <w:r>
        <w:rPr/>
        <w:t>元</w:t>
      </w:r>
      <w:r>
        <w:rPr>
          <w:rFonts w:ascii="Times New Roman" w:hAnsi="Times New Roman" w:cs="Times New Roman" w:eastAsia="Times New Roman" w:hint="default"/>
        </w:rPr>
        <w:t>/</w:t>
      </w:r>
      <w:r>
        <w:rPr/>
        <w:t>股，并以银行同期存款利率为准计息。上述事项已于</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3</w:t>
      </w:r>
      <w:r>
        <w:rPr/>
        <w:t>月</w:t>
      </w:r>
      <w:r>
        <w:rPr>
          <w:rFonts w:ascii="Times New Roman" w:hAnsi="Times New Roman" w:cs="Times New Roman" w:eastAsia="Times New Roman" w:hint="default"/>
        </w:rPr>
        <w:t>1</w:t>
      </w:r>
      <w:r>
        <w:rPr/>
        <w:t>日经公 司</w:t>
      </w:r>
      <w:r>
        <w:rPr>
          <w:rFonts w:ascii="Times New Roman" w:hAnsi="Times New Roman" w:cs="Times New Roman" w:eastAsia="Times New Roman" w:hint="default"/>
        </w:rPr>
        <w:t>2018</w:t>
      </w:r>
      <w:r>
        <w:rPr/>
        <w:t>年第一次临时股东大会审议通过。</w:t>
      </w:r>
    </w:p>
    <w:p>
      <w:pPr>
        <w:spacing w:line="240" w:lineRule="auto" w:before="0"/>
        <w:rPr>
          <w:rFonts w:ascii="宋体" w:hAnsi="宋体" w:cs="宋体" w:eastAsia="宋体" w:hint="default"/>
          <w:sz w:val="18"/>
          <w:szCs w:val="18"/>
        </w:rPr>
      </w:pPr>
    </w:p>
    <w:p>
      <w:pPr>
        <w:pStyle w:val="Heading2"/>
        <w:spacing w:line="240" w:lineRule="auto"/>
        <w:ind w:right="1117"/>
        <w:jc w:val="left"/>
        <w:rPr>
          <w:b w:val="0"/>
          <w:bCs w:val="0"/>
        </w:rPr>
      </w:pPr>
      <w:bookmarkStart w:name="十五、重大关联交易" w:id="78"/>
      <w:bookmarkEnd w:id="78"/>
      <w:r>
        <w:rPr>
          <w:b w:val="0"/>
          <w:bCs w:val="0"/>
        </w:rPr>
      </w:r>
      <w:r>
        <w:rPr/>
        <w:t>十五、重大关联交易</w:t>
      </w:r>
      <w:r>
        <w:rPr>
          <w:b w:val="0"/>
          <w:bCs w:val="0"/>
        </w:rPr>
      </w:r>
    </w:p>
    <w:p>
      <w:pPr>
        <w:spacing w:line="240" w:lineRule="auto" w:before="9"/>
        <w:rPr>
          <w:rFonts w:ascii="宋体" w:hAnsi="宋体" w:cs="宋体" w:eastAsia="宋体" w:hint="default"/>
          <w:b/>
          <w:bCs/>
          <w:sz w:val="24"/>
          <w:szCs w:val="24"/>
        </w:rPr>
      </w:pPr>
    </w:p>
    <w:p>
      <w:pPr>
        <w:pStyle w:val="Heading4"/>
        <w:spacing w:line="240" w:lineRule="auto"/>
        <w:ind w:right="1117"/>
        <w:jc w:val="left"/>
        <w:rPr>
          <w:b w:val="0"/>
          <w:bCs w:val="0"/>
        </w:rPr>
      </w:pPr>
      <w:bookmarkStart w:name="1、与日常经营相关的关联交易" w:id="79"/>
      <w:bookmarkEnd w:id="79"/>
      <w:r>
        <w:rPr>
          <w:b w:val="0"/>
          <w:bCs w:val="0"/>
        </w:rPr>
      </w:r>
      <w:r>
        <w:rPr>
          <w:rFonts w:ascii="Times New Roman" w:hAnsi="Times New Roman" w:cs="Times New Roman" w:eastAsia="Times New Roman" w:hint="default"/>
        </w:rPr>
        <w:t>1</w:t>
      </w:r>
      <w:r>
        <w:rPr/>
        <w:t>、与日常经营相关的关联交易</w:t>
      </w:r>
      <w:r>
        <w:rPr>
          <w:b w:val="0"/>
          <w:bCs w:val="0"/>
        </w:rPr>
      </w:r>
    </w:p>
    <w:p>
      <w:pPr>
        <w:spacing w:line="240" w:lineRule="auto" w:before="8"/>
        <w:rPr>
          <w:rFonts w:ascii="宋体" w:hAnsi="宋体" w:cs="宋体" w:eastAsia="宋体" w:hint="default"/>
          <w:b/>
          <w:bCs/>
          <w:sz w:val="26"/>
          <w:szCs w:val="26"/>
        </w:rPr>
      </w:pPr>
    </w:p>
    <w:p>
      <w:pPr>
        <w:spacing w:before="0"/>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2"/>
        <w:rPr>
          <w:rFonts w:ascii="宋体" w:hAnsi="宋体" w:cs="宋体" w:eastAsia="宋体" w:hint="default"/>
          <w:sz w:val="6"/>
          <w:szCs w:val="6"/>
        </w:rPr>
      </w:pPr>
    </w:p>
    <w:tbl>
      <w:tblPr>
        <w:tblW w:w="0" w:type="auto"/>
        <w:jc w:val="left"/>
        <w:tblInd w:w="149" w:type="dxa"/>
        <w:tblLayout w:type="fixed"/>
        <w:tblCellMar>
          <w:top w:w="0" w:type="dxa"/>
          <w:left w:w="0" w:type="dxa"/>
          <w:bottom w:w="0" w:type="dxa"/>
          <w:right w:w="0" w:type="dxa"/>
        </w:tblCellMar>
        <w:tblLook w:val="01E0"/>
      </w:tblPr>
      <w:tblGrid>
        <w:gridCol w:w="800"/>
        <w:gridCol w:w="677"/>
        <w:gridCol w:w="677"/>
        <w:gridCol w:w="703"/>
        <w:gridCol w:w="680"/>
        <w:gridCol w:w="674"/>
        <w:gridCol w:w="674"/>
        <w:gridCol w:w="674"/>
        <w:gridCol w:w="674"/>
        <w:gridCol w:w="674"/>
        <w:gridCol w:w="675"/>
        <w:gridCol w:w="673"/>
        <w:gridCol w:w="671"/>
        <w:gridCol w:w="633"/>
      </w:tblGrid>
      <w:tr>
        <w:trPr>
          <w:trHeight w:val="362" w:hRule="exact"/>
        </w:trPr>
        <w:tc>
          <w:tcPr>
            <w:tcW w:w="8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3" w:right="0"/>
              <w:jc w:val="left"/>
              <w:rPr>
                <w:rFonts w:ascii="宋体" w:hAnsi="宋体" w:cs="宋体" w:eastAsia="宋体" w:hint="default"/>
                <w:sz w:val="18"/>
                <w:szCs w:val="18"/>
              </w:rPr>
            </w:pPr>
            <w:r>
              <w:rPr>
                <w:rFonts w:ascii="宋体" w:hAnsi="宋体" w:cs="宋体" w:eastAsia="宋体" w:hint="default"/>
                <w:sz w:val="18"/>
                <w:szCs w:val="18"/>
              </w:rPr>
              <w:t>关联交易</w:t>
            </w:r>
          </w:p>
        </w:tc>
        <w:tc>
          <w:tcPr>
            <w:tcW w:w="6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63" w:right="0"/>
              <w:jc w:val="left"/>
              <w:rPr>
                <w:rFonts w:ascii="宋体" w:hAnsi="宋体" w:cs="宋体" w:eastAsia="宋体" w:hint="default"/>
                <w:sz w:val="18"/>
                <w:szCs w:val="18"/>
              </w:rPr>
            </w:pPr>
            <w:r>
              <w:rPr>
                <w:rFonts w:ascii="宋体" w:hAnsi="宋体" w:cs="宋体" w:eastAsia="宋体" w:hint="default"/>
                <w:sz w:val="18"/>
                <w:szCs w:val="18"/>
              </w:rPr>
              <w:t>关联关</w:t>
            </w:r>
          </w:p>
        </w:tc>
        <w:tc>
          <w:tcPr>
            <w:tcW w:w="6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63" w:right="0"/>
              <w:jc w:val="left"/>
              <w:rPr>
                <w:rFonts w:ascii="宋体" w:hAnsi="宋体" w:cs="宋体" w:eastAsia="宋体" w:hint="default"/>
                <w:sz w:val="18"/>
                <w:szCs w:val="18"/>
              </w:rPr>
            </w:pPr>
            <w:r>
              <w:rPr>
                <w:rFonts w:ascii="宋体" w:hAnsi="宋体" w:cs="宋体" w:eastAsia="宋体" w:hint="default"/>
                <w:sz w:val="18"/>
                <w:szCs w:val="18"/>
              </w:rPr>
              <w:t>关联交</w:t>
            </w:r>
          </w:p>
        </w:tc>
        <w:tc>
          <w:tcPr>
            <w:tcW w:w="7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5" w:right="0"/>
              <w:jc w:val="left"/>
              <w:rPr>
                <w:rFonts w:ascii="宋体" w:hAnsi="宋体" w:cs="宋体" w:eastAsia="宋体" w:hint="default"/>
                <w:sz w:val="18"/>
                <w:szCs w:val="18"/>
              </w:rPr>
            </w:pPr>
            <w:r>
              <w:rPr>
                <w:rFonts w:ascii="宋体" w:hAnsi="宋体" w:cs="宋体" w:eastAsia="宋体" w:hint="default"/>
                <w:sz w:val="18"/>
                <w:szCs w:val="18"/>
              </w:rPr>
              <w:t>关联交</w:t>
            </w:r>
          </w:p>
        </w:tc>
        <w:tc>
          <w:tcPr>
            <w:tcW w:w="6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64" w:right="0"/>
              <w:jc w:val="left"/>
              <w:rPr>
                <w:rFonts w:ascii="宋体" w:hAnsi="宋体" w:cs="宋体" w:eastAsia="宋体" w:hint="default"/>
                <w:sz w:val="18"/>
                <w:szCs w:val="18"/>
              </w:rPr>
            </w:pPr>
            <w:r>
              <w:rPr>
                <w:rFonts w:ascii="宋体" w:hAnsi="宋体" w:cs="宋体" w:eastAsia="宋体" w:hint="default"/>
                <w:sz w:val="18"/>
                <w:szCs w:val="18"/>
              </w:rPr>
              <w:t>关联交</w:t>
            </w:r>
          </w:p>
        </w:tc>
        <w:tc>
          <w:tcPr>
            <w:tcW w:w="6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61" w:right="0"/>
              <w:jc w:val="left"/>
              <w:rPr>
                <w:rFonts w:ascii="宋体" w:hAnsi="宋体" w:cs="宋体" w:eastAsia="宋体" w:hint="default"/>
                <w:sz w:val="18"/>
                <w:szCs w:val="18"/>
              </w:rPr>
            </w:pPr>
            <w:r>
              <w:rPr>
                <w:rFonts w:ascii="宋体" w:hAnsi="宋体" w:cs="宋体" w:eastAsia="宋体" w:hint="default"/>
                <w:sz w:val="18"/>
                <w:szCs w:val="18"/>
              </w:rPr>
              <w:t>关联交</w:t>
            </w:r>
          </w:p>
        </w:tc>
        <w:tc>
          <w:tcPr>
            <w:tcW w:w="6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62" w:right="0"/>
              <w:jc w:val="left"/>
              <w:rPr>
                <w:rFonts w:ascii="宋体" w:hAnsi="宋体" w:cs="宋体" w:eastAsia="宋体" w:hint="default"/>
                <w:sz w:val="18"/>
                <w:szCs w:val="18"/>
              </w:rPr>
            </w:pPr>
            <w:r>
              <w:rPr>
                <w:rFonts w:ascii="宋体" w:hAnsi="宋体" w:cs="宋体" w:eastAsia="宋体" w:hint="default"/>
                <w:sz w:val="18"/>
                <w:szCs w:val="18"/>
              </w:rPr>
              <w:t>关联交</w:t>
            </w:r>
          </w:p>
        </w:tc>
        <w:tc>
          <w:tcPr>
            <w:tcW w:w="6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61" w:right="0"/>
              <w:jc w:val="left"/>
              <w:rPr>
                <w:rFonts w:ascii="宋体" w:hAnsi="宋体" w:cs="宋体" w:eastAsia="宋体" w:hint="default"/>
                <w:sz w:val="18"/>
                <w:szCs w:val="18"/>
              </w:rPr>
            </w:pPr>
            <w:r>
              <w:rPr>
                <w:rFonts w:ascii="宋体" w:hAnsi="宋体" w:cs="宋体" w:eastAsia="宋体" w:hint="default"/>
                <w:sz w:val="18"/>
                <w:szCs w:val="18"/>
              </w:rPr>
              <w:t>占同类</w:t>
            </w:r>
          </w:p>
        </w:tc>
        <w:tc>
          <w:tcPr>
            <w:tcW w:w="6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61" w:right="0"/>
              <w:jc w:val="left"/>
              <w:rPr>
                <w:rFonts w:ascii="宋体" w:hAnsi="宋体" w:cs="宋体" w:eastAsia="宋体" w:hint="default"/>
                <w:sz w:val="18"/>
                <w:szCs w:val="18"/>
              </w:rPr>
            </w:pPr>
            <w:r>
              <w:rPr>
                <w:rFonts w:ascii="宋体" w:hAnsi="宋体" w:cs="宋体" w:eastAsia="宋体" w:hint="default"/>
                <w:sz w:val="18"/>
                <w:szCs w:val="18"/>
              </w:rPr>
              <w:t>获批的</w:t>
            </w:r>
          </w:p>
        </w:tc>
        <w:tc>
          <w:tcPr>
            <w:tcW w:w="6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62" w:right="0"/>
              <w:jc w:val="left"/>
              <w:rPr>
                <w:rFonts w:ascii="宋体" w:hAnsi="宋体" w:cs="宋体" w:eastAsia="宋体" w:hint="default"/>
                <w:sz w:val="18"/>
                <w:szCs w:val="18"/>
              </w:rPr>
            </w:pPr>
            <w:r>
              <w:rPr>
                <w:rFonts w:ascii="宋体" w:hAnsi="宋体" w:cs="宋体" w:eastAsia="宋体" w:hint="default"/>
                <w:sz w:val="18"/>
                <w:szCs w:val="18"/>
              </w:rPr>
              <w:t>是否超</w:t>
            </w:r>
          </w:p>
        </w:tc>
        <w:tc>
          <w:tcPr>
            <w:tcW w:w="67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61" w:right="0"/>
              <w:jc w:val="left"/>
              <w:rPr>
                <w:rFonts w:ascii="宋体" w:hAnsi="宋体" w:cs="宋体" w:eastAsia="宋体" w:hint="default"/>
                <w:sz w:val="18"/>
                <w:szCs w:val="18"/>
              </w:rPr>
            </w:pPr>
            <w:r>
              <w:rPr>
                <w:rFonts w:ascii="宋体" w:hAnsi="宋体" w:cs="宋体" w:eastAsia="宋体" w:hint="default"/>
                <w:sz w:val="18"/>
                <w:szCs w:val="18"/>
              </w:rPr>
              <w:t>关联交</w:t>
            </w:r>
          </w:p>
        </w:tc>
        <w:tc>
          <w:tcPr>
            <w:tcW w:w="6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61" w:right="0"/>
              <w:jc w:val="left"/>
              <w:rPr>
                <w:rFonts w:ascii="宋体" w:hAnsi="宋体" w:cs="宋体" w:eastAsia="宋体" w:hint="default"/>
                <w:sz w:val="18"/>
                <w:szCs w:val="18"/>
              </w:rPr>
            </w:pPr>
            <w:r>
              <w:rPr>
                <w:rFonts w:ascii="宋体" w:hAnsi="宋体" w:cs="宋体" w:eastAsia="宋体" w:hint="default"/>
                <w:sz w:val="18"/>
                <w:szCs w:val="18"/>
              </w:rPr>
              <w:t>可获得</w:t>
            </w:r>
          </w:p>
        </w:tc>
        <w:tc>
          <w:tcPr>
            <w:tcW w:w="6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61" w:right="0"/>
              <w:jc w:val="left"/>
              <w:rPr>
                <w:rFonts w:ascii="宋体" w:hAnsi="宋体" w:cs="宋体" w:eastAsia="宋体" w:hint="default"/>
                <w:sz w:val="18"/>
                <w:szCs w:val="18"/>
              </w:rPr>
            </w:pPr>
            <w:r>
              <w:rPr>
                <w:rFonts w:ascii="宋体" w:hAnsi="宋体" w:cs="宋体" w:eastAsia="宋体" w:hint="default"/>
                <w:sz w:val="18"/>
                <w:szCs w:val="18"/>
              </w:rPr>
              <w:t>披露日</w:t>
            </w:r>
          </w:p>
        </w:tc>
        <w:tc>
          <w:tcPr>
            <w:tcW w:w="6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6" w:right="0"/>
              <w:jc w:val="left"/>
              <w:rPr>
                <w:rFonts w:ascii="宋体" w:hAnsi="宋体" w:cs="宋体" w:eastAsia="宋体" w:hint="default"/>
                <w:sz w:val="18"/>
                <w:szCs w:val="18"/>
              </w:rPr>
            </w:pPr>
            <w:r>
              <w:rPr>
                <w:rFonts w:ascii="宋体" w:hAnsi="宋体" w:cs="宋体" w:eastAsia="宋体" w:hint="default"/>
                <w:sz w:val="18"/>
                <w:szCs w:val="18"/>
              </w:rPr>
              <w:t>披露索</w:t>
            </w:r>
          </w:p>
        </w:tc>
      </w:tr>
    </w:tbl>
    <w:p>
      <w:pPr>
        <w:spacing w:after="0" w:line="240" w:lineRule="auto"/>
        <w:jc w:val="left"/>
        <w:rPr>
          <w:rFonts w:ascii="宋体" w:hAnsi="宋体" w:cs="宋体" w:eastAsia="宋体" w:hint="default"/>
          <w:sz w:val="18"/>
          <w:szCs w:val="18"/>
        </w:rPr>
        <w:sectPr>
          <w:footerReference w:type="default" r:id="rId40"/>
          <w:pgSz w:w="11910" w:h="16840"/>
          <w:pgMar w:footer="979" w:header="877" w:top="1100" w:bottom="1160" w:left="980" w:right="0"/>
          <w:pgNumType w:start="101"/>
        </w:sectPr>
      </w:pPr>
    </w:p>
    <w:p>
      <w:pPr>
        <w:spacing w:line="240" w:lineRule="auto" w:before="6"/>
        <w:rPr>
          <w:rFonts w:ascii="宋体" w:hAnsi="宋体" w:cs="宋体" w:eastAsia="宋体" w:hint="default"/>
          <w:sz w:val="24"/>
          <w:szCs w:val="24"/>
        </w:rPr>
      </w:pPr>
    </w:p>
    <w:tbl>
      <w:tblPr>
        <w:tblW w:w="0" w:type="auto"/>
        <w:jc w:val="left"/>
        <w:tblInd w:w="149" w:type="dxa"/>
        <w:tblLayout w:type="fixed"/>
        <w:tblCellMar>
          <w:top w:w="0" w:type="dxa"/>
          <w:left w:w="0" w:type="dxa"/>
          <w:bottom w:w="0" w:type="dxa"/>
          <w:right w:w="0" w:type="dxa"/>
        </w:tblCellMar>
        <w:tblLook w:val="01E0"/>
      </w:tblPr>
      <w:tblGrid>
        <w:gridCol w:w="800"/>
        <w:gridCol w:w="677"/>
        <w:gridCol w:w="677"/>
        <w:gridCol w:w="703"/>
        <w:gridCol w:w="680"/>
        <w:gridCol w:w="674"/>
        <w:gridCol w:w="674"/>
        <w:gridCol w:w="674"/>
        <w:gridCol w:w="673"/>
        <w:gridCol w:w="674"/>
        <w:gridCol w:w="675"/>
        <w:gridCol w:w="673"/>
        <w:gridCol w:w="671"/>
        <w:gridCol w:w="644"/>
      </w:tblGrid>
      <w:tr>
        <w:trPr>
          <w:trHeight w:val="986" w:hRule="exact"/>
        </w:trPr>
        <w:tc>
          <w:tcPr>
            <w:tcW w:w="8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方</w:t>
            </w:r>
          </w:p>
        </w:tc>
        <w:tc>
          <w:tcPr>
            <w:tcW w:w="6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系</w:t>
            </w:r>
          </w:p>
        </w:tc>
        <w:tc>
          <w:tcPr>
            <w:tcW w:w="6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63" w:right="0"/>
              <w:jc w:val="left"/>
              <w:rPr>
                <w:rFonts w:ascii="宋体" w:hAnsi="宋体" w:cs="宋体" w:eastAsia="宋体" w:hint="default"/>
                <w:sz w:val="18"/>
                <w:szCs w:val="18"/>
              </w:rPr>
            </w:pPr>
            <w:r>
              <w:rPr>
                <w:rFonts w:ascii="宋体" w:hAnsi="宋体" w:cs="宋体" w:eastAsia="宋体" w:hint="default"/>
                <w:sz w:val="18"/>
                <w:szCs w:val="18"/>
              </w:rPr>
              <w:t>易类型</w:t>
            </w:r>
          </w:p>
        </w:tc>
        <w:tc>
          <w:tcPr>
            <w:tcW w:w="7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75" w:right="0"/>
              <w:jc w:val="left"/>
              <w:rPr>
                <w:rFonts w:ascii="宋体" w:hAnsi="宋体" w:cs="宋体" w:eastAsia="宋体" w:hint="default"/>
                <w:sz w:val="18"/>
                <w:szCs w:val="18"/>
              </w:rPr>
            </w:pPr>
            <w:r>
              <w:rPr>
                <w:rFonts w:ascii="宋体" w:hAnsi="宋体" w:cs="宋体" w:eastAsia="宋体" w:hint="default"/>
                <w:sz w:val="18"/>
                <w:szCs w:val="18"/>
              </w:rPr>
              <w:t>易内容</w:t>
            </w:r>
          </w:p>
        </w:tc>
        <w:tc>
          <w:tcPr>
            <w:tcW w:w="6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10"/>
              <w:ind w:left="154" w:right="65" w:hanging="90"/>
              <w:jc w:val="left"/>
              <w:rPr>
                <w:rFonts w:ascii="宋体" w:hAnsi="宋体" w:cs="宋体" w:eastAsia="宋体" w:hint="default"/>
                <w:sz w:val="18"/>
                <w:szCs w:val="18"/>
              </w:rPr>
            </w:pPr>
            <w:r>
              <w:rPr>
                <w:rFonts w:ascii="宋体" w:hAnsi="宋体" w:cs="宋体" w:eastAsia="宋体" w:hint="default"/>
                <w:sz w:val="18"/>
                <w:szCs w:val="18"/>
              </w:rPr>
              <w:t>易定价 原则</w:t>
            </w:r>
          </w:p>
        </w:tc>
        <w:tc>
          <w:tcPr>
            <w:tcW w:w="6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易价格</w:t>
            </w:r>
          </w:p>
        </w:tc>
        <w:tc>
          <w:tcPr>
            <w:tcW w:w="6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62" w:right="0"/>
              <w:jc w:val="left"/>
              <w:rPr>
                <w:rFonts w:ascii="宋体" w:hAnsi="宋体" w:cs="宋体" w:eastAsia="宋体" w:hint="default"/>
                <w:sz w:val="18"/>
                <w:szCs w:val="18"/>
              </w:rPr>
            </w:pPr>
            <w:r>
              <w:rPr>
                <w:rFonts w:ascii="宋体" w:hAnsi="宋体" w:cs="宋体" w:eastAsia="宋体" w:hint="default"/>
                <w:sz w:val="18"/>
                <w:szCs w:val="18"/>
              </w:rPr>
              <w:t>易金额</w:t>
            </w:r>
          </w:p>
          <w:p>
            <w:pPr>
              <w:pStyle w:val="TableParagraph"/>
              <w:spacing w:line="319" w:lineRule="auto" w:before="76"/>
              <w:ind w:left="152" w:right="150"/>
              <w:jc w:val="left"/>
              <w:rPr>
                <w:rFonts w:ascii="宋体" w:hAnsi="宋体" w:cs="宋体" w:eastAsia="宋体" w:hint="default"/>
                <w:sz w:val="18"/>
                <w:szCs w:val="18"/>
              </w:rPr>
            </w:pPr>
            <w:r>
              <w:rPr>
                <w:rFonts w:ascii="宋体" w:hAnsi="宋体" w:cs="宋体" w:eastAsia="宋体" w:hint="default"/>
                <w:sz w:val="18"/>
                <w:szCs w:val="18"/>
              </w:rPr>
              <w:t>（万 元）</w:t>
            </w:r>
          </w:p>
        </w:tc>
        <w:tc>
          <w:tcPr>
            <w:tcW w:w="6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10"/>
              <w:ind w:left="61" w:right="61"/>
              <w:jc w:val="center"/>
              <w:rPr>
                <w:rFonts w:ascii="宋体" w:hAnsi="宋体" w:cs="宋体" w:eastAsia="宋体" w:hint="default"/>
                <w:sz w:val="18"/>
                <w:szCs w:val="18"/>
              </w:rPr>
            </w:pPr>
            <w:r>
              <w:rPr>
                <w:rFonts w:ascii="宋体" w:hAnsi="宋体" w:cs="宋体" w:eastAsia="宋体" w:hint="default"/>
                <w:sz w:val="18"/>
                <w:szCs w:val="18"/>
              </w:rPr>
              <w:t>交易金 额的比 例</w:t>
            </w:r>
          </w:p>
        </w:tc>
        <w:tc>
          <w:tcPr>
            <w:tcW w:w="6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10"/>
              <w:ind w:left="61" w:right="60"/>
              <w:jc w:val="both"/>
              <w:rPr>
                <w:rFonts w:ascii="宋体" w:hAnsi="宋体" w:cs="宋体" w:eastAsia="宋体" w:hint="default"/>
                <w:sz w:val="18"/>
                <w:szCs w:val="18"/>
              </w:rPr>
            </w:pPr>
            <w:r>
              <w:rPr>
                <w:rFonts w:ascii="宋体" w:hAnsi="宋体" w:cs="宋体" w:eastAsia="宋体" w:hint="default"/>
                <w:sz w:val="18"/>
                <w:szCs w:val="18"/>
              </w:rPr>
              <w:t>交易额 度（万 元）</w:t>
            </w:r>
          </w:p>
        </w:tc>
        <w:tc>
          <w:tcPr>
            <w:tcW w:w="6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10"/>
              <w:ind w:left="152" w:right="60" w:hanging="90"/>
              <w:jc w:val="left"/>
              <w:rPr>
                <w:rFonts w:ascii="宋体" w:hAnsi="宋体" w:cs="宋体" w:eastAsia="宋体" w:hint="default"/>
                <w:sz w:val="18"/>
                <w:szCs w:val="18"/>
              </w:rPr>
            </w:pPr>
            <w:r>
              <w:rPr>
                <w:rFonts w:ascii="宋体" w:hAnsi="宋体" w:cs="宋体" w:eastAsia="宋体" w:hint="default"/>
                <w:sz w:val="18"/>
                <w:szCs w:val="18"/>
              </w:rPr>
              <w:t>过获批 额度</w:t>
            </w:r>
          </w:p>
        </w:tc>
        <w:tc>
          <w:tcPr>
            <w:tcW w:w="67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10"/>
              <w:ind w:left="151" w:right="63" w:hanging="91"/>
              <w:jc w:val="left"/>
              <w:rPr>
                <w:rFonts w:ascii="宋体" w:hAnsi="宋体" w:cs="宋体" w:eastAsia="宋体" w:hint="default"/>
                <w:sz w:val="18"/>
                <w:szCs w:val="18"/>
              </w:rPr>
            </w:pPr>
            <w:r>
              <w:rPr>
                <w:rFonts w:ascii="宋体" w:hAnsi="宋体" w:cs="宋体" w:eastAsia="宋体" w:hint="default"/>
                <w:sz w:val="18"/>
                <w:szCs w:val="18"/>
              </w:rPr>
              <w:t>易结算 方式</w:t>
            </w:r>
          </w:p>
        </w:tc>
        <w:tc>
          <w:tcPr>
            <w:tcW w:w="6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10"/>
              <w:ind w:left="61" w:right="60"/>
              <w:jc w:val="center"/>
              <w:rPr>
                <w:rFonts w:ascii="宋体" w:hAnsi="宋体" w:cs="宋体" w:eastAsia="宋体" w:hint="default"/>
                <w:sz w:val="18"/>
                <w:szCs w:val="18"/>
              </w:rPr>
            </w:pPr>
            <w:r>
              <w:rPr>
                <w:rFonts w:ascii="宋体" w:hAnsi="宋体" w:cs="宋体" w:eastAsia="宋体" w:hint="default"/>
                <w:sz w:val="18"/>
                <w:szCs w:val="18"/>
              </w:rPr>
              <w:t>的同类 交易市 价</w:t>
            </w:r>
          </w:p>
        </w:tc>
        <w:tc>
          <w:tcPr>
            <w:tcW w:w="6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41" w:right="0"/>
              <w:jc w:val="left"/>
              <w:rPr>
                <w:rFonts w:ascii="宋体" w:hAnsi="宋体" w:cs="宋体" w:eastAsia="宋体" w:hint="default"/>
                <w:sz w:val="18"/>
                <w:szCs w:val="18"/>
              </w:rPr>
            </w:pPr>
            <w:r>
              <w:rPr>
                <w:rFonts w:ascii="宋体" w:hAnsi="宋体" w:cs="宋体" w:eastAsia="宋体" w:hint="default"/>
                <w:sz w:val="18"/>
                <w:szCs w:val="18"/>
              </w:rPr>
              <w:t>期</w:t>
            </w:r>
          </w:p>
        </w:tc>
        <w:tc>
          <w:tcPr>
            <w:tcW w:w="6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引</w:t>
            </w:r>
          </w:p>
        </w:tc>
      </w:tr>
      <w:tr>
        <w:trPr>
          <w:trHeight w:val="2274"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316" w:lineRule="auto"/>
              <w:ind w:left="22" w:right="45"/>
              <w:jc w:val="both"/>
              <w:rPr>
                <w:rFonts w:ascii="宋体" w:hAnsi="宋体" w:cs="宋体" w:eastAsia="宋体" w:hint="default"/>
                <w:sz w:val="18"/>
                <w:szCs w:val="18"/>
              </w:rPr>
            </w:pPr>
            <w:r>
              <w:rPr>
                <w:rFonts w:ascii="宋体" w:hAnsi="宋体" w:cs="宋体" w:eastAsia="宋体" w:hint="default"/>
                <w:sz w:val="18"/>
                <w:szCs w:val="18"/>
              </w:rPr>
              <w:t>湖南科瑞 特科技有 限公司</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6" w:lineRule="auto"/>
              <w:ind w:left="22" w:right="102"/>
              <w:jc w:val="both"/>
              <w:rPr>
                <w:rFonts w:ascii="宋体" w:hAnsi="宋体" w:cs="宋体" w:eastAsia="宋体" w:hint="default"/>
                <w:sz w:val="18"/>
                <w:szCs w:val="18"/>
              </w:rPr>
            </w:pPr>
            <w:r>
              <w:rPr>
                <w:rFonts w:ascii="宋体" w:hAnsi="宋体" w:cs="宋体" w:eastAsia="宋体" w:hint="default"/>
                <w:sz w:val="18"/>
                <w:szCs w:val="18"/>
              </w:rPr>
              <w:t>公司副 总经理 担任其 董事</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22" w:right="102"/>
              <w:jc w:val="left"/>
              <w:rPr>
                <w:rFonts w:ascii="宋体" w:hAnsi="宋体" w:cs="宋体" w:eastAsia="宋体" w:hint="default"/>
                <w:sz w:val="18"/>
                <w:szCs w:val="18"/>
              </w:rPr>
            </w:pPr>
            <w:r>
              <w:rPr>
                <w:rFonts w:ascii="宋体" w:hAnsi="宋体" w:cs="宋体" w:eastAsia="宋体" w:hint="default"/>
                <w:sz w:val="18"/>
                <w:szCs w:val="18"/>
              </w:rPr>
              <w:t>销售商 品</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22" w:right="128"/>
              <w:jc w:val="left"/>
              <w:rPr>
                <w:rFonts w:ascii="宋体" w:hAnsi="宋体" w:cs="宋体" w:eastAsia="宋体" w:hint="default"/>
                <w:sz w:val="18"/>
                <w:szCs w:val="18"/>
              </w:rPr>
            </w:pPr>
            <w:r>
              <w:rPr>
                <w:rFonts w:ascii="宋体" w:hAnsi="宋体" w:cs="宋体" w:eastAsia="宋体" w:hint="default"/>
                <w:sz w:val="18"/>
                <w:szCs w:val="18"/>
              </w:rPr>
              <w:t>销售机 器人</w:t>
            </w: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07"/>
              <w:jc w:val="both"/>
              <w:rPr>
                <w:rFonts w:ascii="宋体" w:hAnsi="宋体" w:cs="宋体" w:eastAsia="宋体" w:hint="default"/>
                <w:sz w:val="18"/>
                <w:szCs w:val="18"/>
              </w:rPr>
            </w:pPr>
            <w:r>
              <w:rPr>
                <w:rFonts w:ascii="宋体" w:hAnsi="宋体" w:cs="宋体" w:eastAsia="宋体" w:hint="default"/>
                <w:sz w:val="18"/>
                <w:szCs w:val="18"/>
              </w:rPr>
              <w:t>遵循公 平、公 正、合 理的市 场价格 和条件 进行</w:t>
            </w:r>
          </w:p>
        </w:tc>
        <w:tc>
          <w:tcPr>
            <w:tcW w:w="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right="76"/>
              <w:jc w:val="center"/>
              <w:rPr>
                <w:rFonts w:ascii="宋体" w:hAnsi="宋体" w:cs="宋体" w:eastAsia="宋体" w:hint="default"/>
                <w:sz w:val="18"/>
                <w:szCs w:val="18"/>
              </w:rPr>
            </w:pPr>
            <w:r>
              <w:rPr>
                <w:rFonts w:ascii="宋体" w:hAnsi="宋体" w:cs="宋体" w:eastAsia="宋体" w:hint="default"/>
                <w:sz w:val="18"/>
                <w:szCs w:val="18"/>
              </w:rPr>
              <w:t>市场价</w:t>
            </w:r>
          </w:p>
        </w:tc>
        <w:tc>
          <w:tcPr>
            <w:tcW w:w="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403.89</w:t>
            </w:r>
          </w:p>
        </w:tc>
        <w:tc>
          <w:tcPr>
            <w:tcW w:w="674" w:type="dxa"/>
            <w:tcBorders>
              <w:top w:val="single" w:sz="4" w:space="0" w:color="000000"/>
              <w:left w:val="single" w:sz="4" w:space="0" w:color="000000"/>
              <w:bottom w:val="single" w:sz="4" w:space="0" w:color="000000"/>
              <w:right w:val="single" w:sz="4" w:space="0" w:color="000000"/>
            </w:tcBorders>
          </w:tcPr>
          <w:p>
            <w:pPr/>
          </w:p>
        </w:tc>
        <w:tc>
          <w:tcPr>
            <w:tcW w:w="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680.8</w:t>
            </w:r>
          </w:p>
        </w:tc>
        <w:tc>
          <w:tcPr>
            <w:tcW w:w="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6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right="280"/>
              <w:jc w:val="right"/>
              <w:rPr>
                <w:rFonts w:ascii="宋体" w:hAnsi="宋体" w:cs="宋体" w:eastAsia="宋体" w:hint="default"/>
                <w:sz w:val="18"/>
                <w:szCs w:val="18"/>
              </w:rPr>
            </w:pPr>
            <w:r>
              <w:rPr>
                <w:rFonts w:ascii="宋体" w:hAnsi="宋体" w:cs="宋体" w:eastAsia="宋体" w:hint="default"/>
                <w:sz w:val="18"/>
                <w:szCs w:val="18"/>
              </w:rPr>
              <w:t>转账</w:t>
            </w:r>
          </w:p>
        </w:tc>
        <w:tc>
          <w:tcPr>
            <w:tcW w:w="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4"/>
                <w:szCs w:val="24"/>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403.89</w:t>
            </w:r>
          </w:p>
        </w:tc>
        <w:tc>
          <w:tcPr>
            <w:tcW w:w="671" w:type="dxa"/>
            <w:tcBorders>
              <w:top w:val="single" w:sz="4" w:space="0" w:color="000000"/>
              <w:left w:val="single" w:sz="4" w:space="0" w:color="000000"/>
              <w:bottom w:val="single" w:sz="4" w:space="0" w:color="000000"/>
              <w:right w:val="single" w:sz="4" w:space="0" w:color="000000"/>
            </w:tcBorders>
          </w:tcPr>
          <w:p>
            <w:pPr/>
          </w:p>
        </w:tc>
        <w:tc>
          <w:tcPr>
            <w:tcW w:w="64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856"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6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6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67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403.89</w:t>
            </w:r>
          </w:p>
        </w:tc>
        <w:tc>
          <w:tcPr>
            <w:tcW w:w="6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67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680.8</w:t>
            </w:r>
          </w:p>
        </w:tc>
        <w:tc>
          <w:tcPr>
            <w:tcW w:w="6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67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271"/>
              <w:jc w:val="right"/>
              <w:rPr>
                <w:rFonts w:ascii="Times New Roman" w:hAnsi="Times New Roman" w:cs="Times New Roman" w:eastAsia="Times New Roman" w:hint="default"/>
                <w:sz w:val="18"/>
                <w:szCs w:val="18"/>
              </w:rPr>
            </w:pPr>
            <w:r>
              <w:rPr>
                <w:rFonts w:ascii="Times New Roman"/>
                <w:sz w:val="18"/>
              </w:rPr>
              <w:t>--</w:t>
            </w:r>
          </w:p>
        </w:tc>
        <w:tc>
          <w:tcPr>
            <w:tcW w:w="6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6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71" w:right="0"/>
              <w:jc w:val="left"/>
              <w:rPr>
                <w:rFonts w:ascii="Times New Roman" w:hAnsi="Times New Roman" w:cs="Times New Roman" w:eastAsia="Times New Roman" w:hint="default"/>
                <w:sz w:val="18"/>
                <w:szCs w:val="18"/>
              </w:rPr>
            </w:pPr>
            <w:r>
              <w:rPr>
                <w:rFonts w:ascii="Times New Roman"/>
                <w:sz w:val="18"/>
              </w:rPr>
              <w:t>--</w:t>
            </w:r>
          </w:p>
        </w:tc>
        <w:tc>
          <w:tcPr>
            <w:tcW w:w="6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2856"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大额销货退回的详细情况</w:t>
            </w:r>
          </w:p>
        </w:tc>
        <w:tc>
          <w:tcPr>
            <w:tcW w:w="6714" w:type="dxa"/>
            <w:gridSpan w:val="10"/>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1026" w:hRule="exact"/>
        </w:trPr>
        <w:tc>
          <w:tcPr>
            <w:tcW w:w="2856"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22"/>
              <w:jc w:val="left"/>
              <w:rPr>
                <w:rFonts w:ascii="宋体" w:hAnsi="宋体" w:cs="宋体" w:eastAsia="宋体" w:hint="default"/>
                <w:sz w:val="18"/>
                <w:szCs w:val="18"/>
              </w:rPr>
            </w:pPr>
            <w:r>
              <w:rPr>
                <w:rFonts w:ascii="宋体" w:hAnsi="宋体" w:cs="宋体" w:eastAsia="宋体" w:hint="default"/>
                <w:sz w:val="18"/>
                <w:szCs w:val="18"/>
              </w:rPr>
              <w:t>按类别对本期将发生的日常关联交 </w:t>
            </w:r>
            <w:r>
              <w:rPr>
                <w:rFonts w:ascii="宋体" w:hAnsi="宋体" w:cs="宋体" w:eastAsia="宋体" w:hint="default"/>
                <w:spacing w:val="-6"/>
                <w:sz w:val="18"/>
                <w:szCs w:val="18"/>
              </w:rPr>
              <w:t>易进行总金额预计的，在报告期内的</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实际履行情况（如有）</w:t>
            </w:r>
          </w:p>
        </w:tc>
        <w:tc>
          <w:tcPr>
            <w:tcW w:w="6714" w:type="dxa"/>
            <w:gridSpan w:val="10"/>
            <w:tcBorders>
              <w:top w:val="single" w:sz="4" w:space="0" w:color="000000"/>
              <w:left w:val="single" w:sz="13" w:space="0" w:color="D2D2D2"/>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1"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714" w:hRule="exact"/>
        </w:trPr>
        <w:tc>
          <w:tcPr>
            <w:tcW w:w="2856"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123"/>
              <w:jc w:val="left"/>
              <w:rPr>
                <w:rFonts w:ascii="宋体" w:hAnsi="宋体" w:cs="宋体" w:eastAsia="宋体" w:hint="default"/>
                <w:sz w:val="18"/>
                <w:szCs w:val="18"/>
              </w:rPr>
            </w:pPr>
            <w:r>
              <w:rPr>
                <w:rFonts w:ascii="宋体" w:hAnsi="宋体" w:cs="宋体" w:eastAsia="宋体" w:hint="default"/>
                <w:sz w:val="18"/>
                <w:szCs w:val="18"/>
              </w:rPr>
              <w:t>交易价格与市场参考价格差异较大 的原因（如适用）</w:t>
            </w:r>
          </w:p>
        </w:tc>
        <w:tc>
          <w:tcPr>
            <w:tcW w:w="6714" w:type="dxa"/>
            <w:gridSpan w:val="10"/>
            <w:tcBorders>
              <w:top w:val="single" w:sz="4" w:space="0" w:color="000000"/>
              <w:left w:val="single" w:sz="13" w:space="0" w:color="D2D2D2"/>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1" w:right="0"/>
              <w:jc w:val="left"/>
              <w:rPr>
                <w:rFonts w:ascii="宋体" w:hAnsi="宋体" w:cs="宋体" w:eastAsia="宋体" w:hint="default"/>
                <w:sz w:val="18"/>
                <w:szCs w:val="18"/>
              </w:rPr>
            </w:pPr>
            <w:r>
              <w:rPr>
                <w:rFonts w:ascii="宋体" w:hAnsi="宋体" w:cs="宋体" w:eastAsia="宋体" w:hint="default"/>
                <w:sz w:val="18"/>
                <w:szCs w:val="18"/>
              </w:rPr>
              <w:t>不适用</w:t>
            </w:r>
          </w:p>
        </w:tc>
      </w:tr>
    </w:tbl>
    <w:p>
      <w:pPr>
        <w:spacing w:line="240" w:lineRule="auto" w:before="2"/>
        <w:rPr>
          <w:rFonts w:ascii="宋体" w:hAnsi="宋体" w:cs="宋体" w:eastAsia="宋体" w:hint="default"/>
          <w:sz w:val="19"/>
          <w:szCs w:val="19"/>
        </w:rPr>
      </w:pPr>
    </w:p>
    <w:p>
      <w:pPr>
        <w:pStyle w:val="Heading4"/>
        <w:spacing w:line="240" w:lineRule="auto" w:before="35"/>
        <w:ind w:right="1117"/>
        <w:jc w:val="left"/>
        <w:rPr>
          <w:b w:val="0"/>
          <w:bCs w:val="0"/>
        </w:rPr>
      </w:pPr>
      <w:bookmarkStart w:name="2、资产或股权收购、出售发生的关联交易" w:id="80"/>
      <w:bookmarkEnd w:id="80"/>
      <w:r>
        <w:rPr>
          <w:b w:val="0"/>
          <w:bCs w:val="0"/>
        </w:rPr>
      </w:r>
      <w:r>
        <w:rPr>
          <w:rFonts w:ascii="Times New Roman" w:hAnsi="Times New Roman" w:cs="Times New Roman" w:eastAsia="Times New Roman" w:hint="default"/>
        </w:rPr>
        <w:t>2</w:t>
      </w:r>
      <w:r>
        <w:rPr/>
        <w:t>、资产或股权收购、出售发生的关联交易</w:t>
      </w:r>
      <w:r>
        <w:rPr>
          <w:b w:val="0"/>
          <w:bCs w:val="0"/>
        </w:rPr>
      </w:r>
    </w:p>
    <w:p>
      <w:pPr>
        <w:spacing w:line="240" w:lineRule="auto" w:before="8"/>
        <w:rPr>
          <w:rFonts w:ascii="宋体" w:hAnsi="宋体" w:cs="宋体" w:eastAsia="宋体" w:hint="default"/>
          <w:b/>
          <w:bCs/>
          <w:sz w:val="26"/>
          <w:szCs w:val="26"/>
        </w:rPr>
      </w:pPr>
    </w:p>
    <w:p>
      <w:pPr>
        <w:spacing w:line="338" w:lineRule="auto" w:before="0"/>
        <w:ind w:left="154" w:right="643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公司报告期未发生资产或股权收购、出售的关联交易。</w:t>
      </w:r>
    </w:p>
    <w:p>
      <w:pPr>
        <w:spacing w:line="240" w:lineRule="auto" w:before="2"/>
        <w:rPr>
          <w:rFonts w:ascii="宋体" w:hAnsi="宋体" w:cs="宋体" w:eastAsia="宋体" w:hint="default"/>
          <w:sz w:val="21"/>
          <w:szCs w:val="21"/>
        </w:rPr>
      </w:pPr>
    </w:p>
    <w:p>
      <w:pPr>
        <w:pStyle w:val="Heading4"/>
        <w:spacing w:line="240" w:lineRule="auto"/>
        <w:ind w:right="1117"/>
        <w:jc w:val="left"/>
        <w:rPr>
          <w:b w:val="0"/>
          <w:bCs w:val="0"/>
        </w:rPr>
      </w:pPr>
      <w:bookmarkStart w:name="3、共同对外投资的关联交易" w:id="81"/>
      <w:bookmarkEnd w:id="81"/>
      <w:r>
        <w:rPr>
          <w:b w:val="0"/>
          <w:bCs w:val="0"/>
        </w:rPr>
      </w:r>
      <w:r>
        <w:rPr>
          <w:rFonts w:ascii="Times New Roman" w:hAnsi="Times New Roman" w:cs="Times New Roman" w:eastAsia="Times New Roman" w:hint="default"/>
        </w:rPr>
        <w:t>3</w:t>
      </w:r>
      <w:r>
        <w:rPr/>
        <w:t>、共同对外投资的关联交易</w:t>
      </w:r>
      <w:r>
        <w:rPr>
          <w:b w:val="0"/>
          <w:bCs w:val="0"/>
        </w:rPr>
      </w:r>
    </w:p>
    <w:p>
      <w:pPr>
        <w:spacing w:line="240" w:lineRule="auto" w:before="8"/>
        <w:rPr>
          <w:rFonts w:ascii="宋体" w:hAnsi="宋体" w:cs="宋体" w:eastAsia="宋体" w:hint="default"/>
          <w:b/>
          <w:bCs/>
          <w:sz w:val="26"/>
          <w:szCs w:val="26"/>
        </w:rPr>
      </w:pPr>
    </w:p>
    <w:p>
      <w:pPr>
        <w:spacing w:line="340" w:lineRule="auto" w:before="0"/>
        <w:ind w:left="154" w:right="715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公司报告期未发生共同对外投资的关联交易。</w:t>
      </w:r>
    </w:p>
    <w:p>
      <w:pPr>
        <w:spacing w:line="240" w:lineRule="auto" w:before="12"/>
        <w:rPr>
          <w:rFonts w:ascii="宋体" w:hAnsi="宋体" w:cs="宋体" w:eastAsia="宋体" w:hint="default"/>
          <w:sz w:val="20"/>
          <w:szCs w:val="20"/>
        </w:rPr>
      </w:pPr>
    </w:p>
    <w:p>
      <w:pPr>
        <w:pStyle w:val="Heading4"/>
        <w:spacing w:line="240" w:lineRule="auto"/>
        <w:ind w:right="1117"/>
        <w:jc w:val="left"/>
        <w:rPr>
          <w:b w:val="0"/>
          <w:bCs w:val="0"/>
        </w:rPr>
      </w:pPr>
      <w:bookmarkStart w:name="4、关联债权债务往来" w:id="82"/>
      <w:bookmarkEnd w:id="82"/>
      <w:r>
        <w:rPr>
          <w:b w:val="0"/>
          <w:bCs w:val="0"/>
        </w:rPr>
      </w:r>
      <w:r>
        <w:rPr>
          <w:rFonts w:ascii="Times New Roman" w:hAnsi="Times New Roman" w:cs="Times New Roman" w:eastAsia="Times New Roman" w:hint="default"/>
        </w:rPr>
        <w:t>4</w:t>
      </w:r>
      <w:r>
        <w:rPr/>
        <w:t>、关联债权债务往来</w:t>
      </w:r>
      <w:r>
        <w:rPr>
          <w:b w:val="0"/>
          <w:bCs w:val="0"/>
        </w:rPr>
      </w:r>
    </w:p>
    <w:p>
      <w:pPr>
        <w:spacing w:line="240" w:lineRule="auto" w:before="9"/>
        <w:rPr>
          <w:rFonts w:ascii="宋体" w:hAnsi="宋体" w:cs="宋体" w:eastAsia="宋体" w:hint="default"/>
          <w:b/>
          <w:bCs/>
          <w:sz w:val="26"/>
          <w:szCs w:val="26"/>
        </w:rPr>
      </w:pPr>
    </w:p>
    <w:p>
      <w:pPr>
        <w:spacing w:line="338" w:lineRule="auto" w:before="0"/>
        <w:ind w:left="154" w:right="769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公司报告期不存在关联债权债务往来。</w:t>
      </w:r>
    </w:p>
    <w:p>
      <w:pPr>
        <w:spacing w:line="240" w:lineRule="auto" w:before="2"/>
        <w:rPr>
          <w:rFonts w:ascii="宋体" w:hAnsi="宋体" w:cs="宋体" w:eastAsia="宋体" w:hint="default"/>
          <w:sz w:val="21"/>
          <w:szCs w:val="21"/>
        </w:rPr>
      </w:pPr>
    </w:p>
    <w:p>
      <w:pPr>
        <w:pStyle w:val="Heading4"/>
        <w:spacing w:line="240" w:lineRule="auto"/>
        <w:ind w:right="1117"/>
        <w:jc w:val="left"/>
        <w:rPr>
          <w:b w:val="0"/>
          <w:bCs w:val="0"/>
        </w:rPr>
      </w:pPr>
      <w:bookmarkStart w:name="5、其他重大关联交易" w:id="83"/>
      <w:bookmarkEnd w:id="83"/>
      <w:r>
        <w:rPr>
          <w:b w:val="0"/>
          <w:bCs w:val="0"/>
        </w:rPr>
      </w:r>
      <w:r>
        <w:rPr>
          <w:rFonts w:ascii="Times New Roman" w:hAnsi="Times New Roman" w:cs="Times New Roman" w:eastAsia="Times New Roman" w:hint="default"/>
        </w:rPr>
        <w:t>5</w:t>
      </w:r>
      <w:r>
        <w:rPr/>
        <w:t>、其他重大关联交易</w:t>
      </w:r>
      <w:r>
        <w:rPr>
          <w:b w:val="0"/>
          <w:bCs w:val="0"/>
        </w:rPr>
      </w:r>
    </w:p>
    <w:p>
      <w:pPr>
        <w:spacing w:line="240" w:lineRule="auto" w:before="8"/>
        <w:rPr>
          <w:rFonts w:ascii="宋体" w:hAnsi="宋体" w:cs="宋体" w:eastAsia="宋体" w:hint="default"/>
          <w:b/>
          <w:bCs/>
          <w:sz w:val="26"/>
          <w:szCs w:val="26"/>
        </w:rPr>
      </w:pPr>
    </w:p>
    <w:p>
      <w:pPr>
        <w:spacing w:before="0"/>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pStyle w:val="BodyText"/>
        <w:spacing w:line="393" w:lineRule="auto" w:before="155"/>
        <w:ind w:right="1131" w:firstLine="423"/>
        <w:jc w:val="both"/>
      </w:pPr>
      <w:r>
        <w:rPr>
          <w:rFonts w:ascii="Times New Roman" w:hAnsi="Times New Roman" w:cs="Times New Roman" w:eastAsia="Times New Roman" w:hint="default"/>
          <w:spacing w:val="-1"/>
        </w:rPr>
        <w:t>1</w:t>
      </w:r>
      <w:r>
        <w:rPr>
          <w:spacing w:val="-1"/>
        </w:rPr>
        <w:t>、</w:t>
      </w:r>
      <w:r>
        <w:rPr>
          <w:rFonts w:ascii="Times New Roman" w:hAnsi="Times New Roman" w:cs="Times New Roman" w:eastAsia="Times New Roman" w:hint="default"/>
          <w:spacing w:val="-1"/>
        </w:rPr>
        <w:t>2018</w:t>
      </w:r>
      <w:r>
        <w:rPr>
          <w:spacing w:val="-1"/>
        </w:rPr>
        <w:t>年</w:t>
      </w:r>
      <w:r>
        <w:rPr>
          <w:rFonts w:ascii="Times New Roman" w:hAnsi="Times New Roman" w:cs="Times New Roman" w:eastAsia="Times New Roman" w:hint="default"/>
          <w:spacing w:val="-1"/>
        </w:rPr>
        <w:t>3</w:t>
      </w:r>
      <w:r>
        <w:rPr>
          <w:spacing w:val="-1"/>
        </w:rPr>
        <w:t>月</w:t>
      </w:r>
      <w:r>
        <w:rPr>
          <w:rFonts w:ascii="Times New Roman" w:hAnsi="Times New Roman" w:cs="Times New Roman" w:eastAsia="Times New Roman" w:hint="default"/>
          <w:spacing w:val="-1"/>
        </w:rPr>
        <w:t>15</w:t>
      </w:r>
      <w:r>
        <w:rPr>
          <w:spacing w:val="-1"/>
        </w:rPr>
        <w:t>日，公司召开第四届董事会第十次会议及第四届监事会第九次会议审议通过了《关于</w:t>
      </w:r>
      <w:r>
        <w:rPr/>
        <w:t> </w:t>
      </w:r>
      <w:r>
        <w:rPr>
          <w:spacing w:val="-1"/>
        </w:rPr>
        <w:t>为关联方提供担保暨关联交易的议案》。公司参股子公司北京希嘉创智教育科技有限公司向中原银行股份</w:t>
      </w:r>
      <w:r>
        <w:rPr>
          <w:spacing w:val="-81"/>
        </w:rPr>
        <w:t> </w:t>
      </w:r>
      <w:r>
        <w:rPr>
          <w:spacing w:val="-81"/>
        </w:rPr>
      </w:r>
      <w:r>
        <w:rPr>
          <w:spacing w:val="-3"/>
        </w:rPr>
        <w:t>有限公司郑州分行（以下简称</w:t>
      </w:r>
      <w:r>
        <w:rPr>
          <w:rFonts w:ascii="Times New Roman" w:hAnsi="Times New Roman" w:cs="Times New Roman" w:eastAsia="Times New Roman" w:hint="default"/>
          <w:spacing w:val="-3"/>
        </w:rPr>
        <w:t>“</w:t>
      </w:r>
      <w:r>
        <w:rPr>
          <w:spacing w:val="-3"/>
        </w:rPr>
        <w:t>中原银行郑州分行</w:t>
      </w:r>
      <w:r>
        <w:rPr>
          <w:rFonts w:ascii="Times New Roman" w:hAnsi="Times New Roman" w:cs="Times New Roman" w:eastAsia="Times New Roman" w:hint="default"/>
          <w:spacing w:val="-3"/>
        </w:rPr>
        <w:t>”</w:t>
      </w:r>
      <w:r>
        <w:rPr>
          <w:spacing w:val="-3"/>
        </w:rPr>
        <w:t>）申请办理不超过人民币</w:t>
      </w:r>
      <w:r>
        <w:rPr>
          <w:rFonts w:ascii="Times New Roman" w:hAnsi="Times New Roman" w:cs="Times New Roman" w:eastAsia="Times New Roman" w:hint="default"/>
          <w:spacing w:val="-3"/>
        </w:rPr>
        <w:t>800</w:t>
      </w:r>
      <w:r>
        <w:rPr>
          <w:spacing w:val="-3"/>
        </w:rPr>
        <w:t>万元的综合授信额度，授信</w:t>
      </w:r>
      <w:r>
        <w:rPr>
          <w:spacing w:val="-64"/>
        </w:rPr>
        <w:t> </w:t>
      </w:r>
      <w:r>
        <w:rPr>
          <w:spacing w:val="-64"/>
        </w:rPr>
      </w:r>
      <w:r>
        <w:rPr/>
        <w:t>期限</w:t>
      </w:r>
      <w:r>
        <w:rPr>
          <w:rFonts w:ascii="Times New Roman" w:hAnsi="Times New Roman" w:cs="Times New Roman" w:eastAsia="Times New Roman" w:hint="default"/>
        </w:rPr>
        <w:t>1</w:t>
      </w:r>
      <w:r>
        <w:rPr/>
        <w:t>年，主要用于日常经营周转。</w:t>
      </w:r>
    </w:p>
    <w:p>
      <w:pPr>
        <w:spacing w:after="0" w:line="393" w:lineRule="auto"/>
        <w:jc w:val="both"/>
        <w:sectPr>
          <w:pgSz w:w="11910" w:h="16840"/>
          <w:pgMar w:header="877" w:footer="979" w:top="1100" w:bottom="1160" w:left="980" w:right="0"/>
        </w:sectPr>
      </w:pPr>
    </w:p>
    <w:p>
      <w:pPr>
        <w:spacing w:line="240" w:lineRule="auto" w:before="8"/>
        <w:rPr>
          <w:rFonts w:ascii="宋体" w:hAnsi="宋体" w:cs="宋体" w:eastAsia="宋体" w:hint="default"/>
          <w:sz w:val="26"/>
          <w:szCs w:val="26"/>
        </w:rPr>
      </w:pPr>
    </w:p>
    <w:p>
      <w:pPr>
        <w:pStyle w:val="BodyText"/>
        <w:spacing w:line="400" w:lineRule="auto" w:before="35"/>
        <w:ind w:right="1131" w:firstLine="423"/>
        <w:jc w:val="both"/>
      </w:pPr>
      <w:r>
        <w:rPr>
          <w:spacing w:val="-3"/>
        </w:rPr>
        <w:t>为确保希嘉教育融资事项顺利实施，公司于</w:t>
      </w:r>
      <w:r>
        <w:rPr>
          <w:rFonts w:ascii="Times New Roman" w:hAnsi="Times New Roman" w:cs="Times New Roman" w:eastAsia="Times New Roman" w:hint="default"/>
          <w:spacing w:val="-3"/>
        </w:rPr>
        <w:t>2018</w:t>
      </w:r>
      <w:r>
        <w:rPr>
          <w:spacing w:val="-3"/>
        </w:rPr>
        <w:t>年</w:t>
      </w:r>
      <w:r>
        <w:rPr>
          <w:rFonts w:ascii="Times New Roman" w:hAnsi="Times New Roman" w:cs="Times New Roman" w:eastAsia="Times New Roman" w:hint="default"/>
          <w:spacing w:val="-3"/>
        </w:rPr>
        <w:t>3</w:t>
      </w:r>
      <w:r>
        <w:rPr>
          <w:spacing w:val="-3"/>
        </w:rPr>
        <w:t>月</w:t>
      </w:r>
      <w:r>
        <w:rPr>
          <w:rFonts w:ascii="Times New Roman" w:hAnsi="Times New Roman" w:cs="Times New Roman" w:eastAsia="Times New Roman" w:hint="default"/>
          <w:spacing w:val="-3"/>
        </w:rPr>
        <w:t>15</w:t>
      </w:r>
      <w:r>
        <w:rPr>
          <w:spacing w:val="-3"/>
        </w:rPr>
        <w:t>日与中原银行郑州分行签署了《保证合同》，</w:t>
      </w:r>
      <w:r>
        <w:rPr/>
        <w:t> </w:t>
      </w:r>
      <w:r>
        <w:rPr>
          <w:spacing w:val="-1"/>
        </w:rPr>
        <w:t>为其上述银行融资提供连带责任保证。同时，希嘉教育其他股东北京希嘉创智科技有限公司、北京希嘉科</w:t>
      </w:r>
      <w:r>
        <w:rPr>
          <w:spacing w:val="-83"/>
        </w:rPr>
        <w:t> </w:t>
      </w:r>
      <w:r>
        <w:rPr>
          <w:spacing w:val="-83"/>
        </w:rPr>
      </w:r>
      <w:r>
        <w:rPr>
          <w:spacing w:val="-1"/>
        </w:rPr>
        <w:t>技发展中心（有限合伙）、汪浩及希嘉科技控股股东胡喆及其配偶曲晶（系希嘉科技股东）与中原银行郑</w:t>
      </w:r>
      <w:r>
        <w:rPr>
          <w:spacing w:val="-83"/>
        </w:rPr>
        <w:t> </w:t>
      </w:r>
      <w:r>
        <w:rPr>
          <w:spacing w:val="-83"/>
        </w:rPr>
      </w:r>
      <w:r>
        <w:rPr/>
        <w:t>州分行亦签署了《保证合同》，共同为希嘉教育上述银行融资提供连带责任保证。</w:t>
      </w:r>
    </w:p>
    <w:p>
      <w:pPr>
        <w:pStyle w:val="BodyText"/>
        <w:spacing w:line="386" w:lineRule="auto" w:before="52"/>
        <w:ind w:right="1126" w:firstLine="423"/>
        <w:jc w:val="left"/>
      </w:pPr>
      <w:r>
        <w:rPr/>
        <w:t>公司于</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3</w:t>
      </w:r>
      <w:r>
        <w:rPr/>
        <w:t>月</w:t>
      </w:r>
      <w:r>
        <w:rPr>
          <w:rFonts w:ascii="Times New Roman" w:hAnsi="Times New Roman" w:cs="Times New Roman" w:eastAsia="Times New Roman" w:hint="default"/>
        </w:rPr>
        <w:t>15</w:t>
      </w:r>
      <w:r>
        <w:rPr/>
        <w:t>日与希嘉科技、希嘉教育签署了《反担保协议之股权质押协议》，由希嘉科技将 </w:t>
      </w:r>
      <w:r>
        <w:rPr>
          <w:spacing w:val="-2"/>
        </w:rPr>
        <w:t>其合法持有的希嘉教育</w:t>
      </w:r>
      <w:r>
        <w:rPr>
          <w:rFonts w:ascii="Times New Roman" w:hAnsi="Times New Roman" w:cs="Times New Roman" w:eastAsia="Times New Roman" w:hint="default"/>
          <w:spacing w:val="-2"/>
        </w:rPr>
        <w:t>6.67%</w:t>
      </w:r>
      <w:r>
        <w:rPr>
          <w:spacing w:val="-2"/>
        </w:rPr>
        <w:t>的股权（对应希嘉教育注册资本人民币</w:t>
      </w:r>
      <w:r>
        <w:rPr>
          <w:rFonts w:ascii="Times New Roman" w:hAnsi="Times New Roman" w:cs="Times New Roman" w:eastAsia="Times New Roman" w:hint="default"/>
          <w:spacing w:val="-2"/>
        </w:rPr>
        <w:t>87.763</w:t>
      </w:r>
      <w:r>
        <w:rPr>
          <w:spacing w:val="-2"/>
        </w:rPr>
        <w:t>万元）向公司出质，作为公司对</w:t>
      </w:r>
      <w:r>
        <w:rPr>
          <w:spacing w:val="-99"/>
        </w:rPr>
        <w:t> </w:t>
      </w:r>
      <w:r>
        <w:rPr>
          <w:spacing w:val="-99"/>
        </w:rPr>
      </w:r>
      <w:r>
        <w:rPr/>
        <w:t>希嘉教育提供担保的反担保措施。</w:t>
      </w:r>
    </w:p>
    <w:p>
      <w:pPr>
        <w:pStyle w:val="BodyText"/>
        <w:spacing w:line="393" w:lineRule="auto" w:before="65"/>
        <w:ind w:right="1130" w:firstLine="423"/>
        <w:jc w:val="both"/>
      </w:pPr>
      <w:r>
        <w:rPr>
          <w:rFonts w:ascii="Times New Roman" w:hAnsi="Times New Roman" w:cs="Times New Roman" w:eastAsia="Times New Roman" w:hint="default"/>
          <w:spacing w:val="-1"/>
        </w:rPr>
        <w:t>2</w:t>
      </w:r>
      <w:r>
        <w:rPr>
          <w:spacing w:val="-1"/>
        </w:rPr>
        <w:t>、</w:t>
      </w:r>
      <w:r>
        <w:rPr>
          <w:rFonts w:ascii="Times New Roman" w:hAnsi="Times New Roman" w:cs="Times New Roman" w:eastAsia="Times New Roman" w:hint="default"/>
          <w:spacing w:val="-1"/>
        </w:rPr>
        <w:t>2018</w:t>
      </w:r>
      <w:r>
        <w:rPr>
          <w:spacing w:val="-1"/>
        </w:rPr>
        <w:t>年</w:t>
      </w:r>
      <w:r>
        <w:rPr>
          <w:rFonts w:ascii="Times New Roman" w:hAnsi="Times New Roman" w:cs="Times New Roman" w:eastAsia="Times New Roman" w:hint="default"/>
          <w:spacing w:val="-1"/>
        </w:rPr>
        <w:t>3</w:t>
      </w:r>
      <w:r>
        <w:rPr>
          <w:spacing w:val="-1"/>
        </w:rPr>
        <w:t>月</w:t>
      </w:r>
      <w:r>
        <w:rPr>
          <w:rFonts w:ascii="Times New Roman" w:hAnsi="Times New Roman" w:cs="Times New Roman" w:eastAsia="Times New Roman" w:hint="default"/>
          <w:spacing w:val="-1"/>
        </w:rPr>
        <w:t>15</w:t>
      </w:r>
      <w:r>
        <w:rPr>
          <w:spacing w:val="-1"/>
        </w:rPr>
        <w:t>日，公司召开第四届董事会第十次会议及第四届监事会第九次会议审议通过了《关于</w:t>
      </w:r>
      <w:r>
        <w:rPr/>
        <w:t> </w:t>
      </w:r>
      <w:r>
        <w:rPr>
          <w:spacing w:val="-1"/>
        </w:rPr>
        <w:t>公司对外投资设立控股子公司暨关联交易的议案》。同日，公司与北京鼎创力维科技有限公司（以下简称</w:t>
      </w:r>
      <w:r>
        <w:rPr>
          <w:spacing w:val="-86"/>
        </w:rPr>
        <w:t> </w:t>
      </w:r>
      <w:r>
        <w:rPr>
          <w:spacing w:val="-86"/>
        </w:rPr>
      </w:r>
      <w:r>
        <w:rPr>
          <w:spacing w:val="-1"/>
        </w:rPr>
        <w:t>“鼎创力维”）、关联方河南佳弘信诚企业管理咨询中心（有限合伙）签署了《投资合作协议》，共同投</w:t>
      </w:r>
      <w:r>
        <w:rPr>
          <w:spacing w:val="-84"/>
        </w:rPr>
        <w:t> </w:t>
      </w:r>
      <w:r>
        <w:rPr>
          <w:spacing w:val="-84"/>
        </w:rPr>
      </w:r>
      <w:r>
        <w:rPr>
          <w:spacing w:val="-2"/>
        </w:rPr>
        <w:t>资并发起设立北京开普力维科技有限公司（以下简称“目标公司”），目标公司注册资本为</w:t>
      </w:r>
      <w:r>
        <w:rPr>
          <w:rFonts w:ascii="Times New Roman" w:hAnsi="Times New Roman" w:cs="Times New Roman" w:eastAsia="Times New Roman" w:hint="default"/>
          <w:spacing w:val="-2"/>
        </w:rPr>
        <w:t>1,000</w:t>
      </w:r>
      <w:r>
        <w:rPr>
          <w:spacing w:val="-2"/>
        </w:rPr>
        <w:t>万元人民</w:t>
      </w:r>
      <w:r>
        <w:rPr>
          <w:spacing w:val="-85"/>
        </w:rPr>
        <w:t> </w:t>
      </w:r>
      <w:r>
        <w:rPr/>
        <w:t>币，其中公司以自有货币资金出资</w:t>
      </w:r>
      <w:r>
        <w:rPr>
          <w:rFonts w:ascii="Times New Roman" w:hAnsi="Times New Roman" w:cs="Times New Roman" w:eastAsia="Times New Roman" w:hint="default"/>
        </w:rPr>
        <w:t>510</w:t>
      </w:r>
      <w:r>
        <w:rPr/>
        <w:t>万元，持有目标公司</w:t>
      </w:r>
      <w:r>
        <w:rPr>
          <w:rFonts w:ascii="Times New Roman" w:hAnsi="Times New Roman" w:cs="Times New Roman" w:eastAsia="Times New Roman" w:hint="default"/>
        </w:rPr>
        <w:t>51%</w:t>
      </w:r>
      <w:r>
        <w:rPr/>
        <w:t>的股权，鼎创力维以货币出资</w:t>
      </w:r>
      <w:r>
        <w:rPr>
          <w:rFonts w:ascii="Times New Roman" w:hAnsi="Times New Roman" w:cs="Times New Roman" w:eastAsia="Times New Roman" w:hint="default"/>
        </w:rPr>
        <w:t>400</w:t>
      </w:r>
      <w:r>
        <w:rPr/>
        <w:t>万元，持 </w:t>
      </w:r>
      <w:r>
        <w:rPr>
          <w:spacing w:val="-2"/>
        </w:rPr>
        <w:t>有目标公司</w:t>
      </w:r>
      <w:r>
        <w:rPr>
          <w:rFonts w:ascii="Times New Roman" w:hAnsi="Times New Roman" w:cs="Times New Roman" w:eastAsia="Times New Roman" w:hint="default"/>
          <w:spacing w:val="-2"/>
        </w:rPr>
        <w:t>40%</w:t>
      </w:r>
      <w:r>
        <w:rPr>
          <w:spacing w:val="-2"/>
        </w:rPr>
        <w:t>的股权，佳弘信诚以货币出资</w:t>
      </w:r>
      <w:r>
        <w:rPr>
          <w:rFonts w:ascii="Times New Roman" w:hAnsi="Times New Roman" w:cs="Times New Roman" w:eastAsia="Times New Roman" w:hint="default"/>
          <w:spacing w:val="-2"/>
        </w:rPr>
        <w:t>90</w:t>
      </w:r>
      <w:r>
        <w:rPr>
          <w:spacing w:val="-2"/>
        </w:rPr>
        <w:t>万元，持有目标公司</w:t>
      </w:r>
      <w:r>
        <w:rPr>
          <w:rFonts w:ascii="Times New Roman" w:hAnsi="Times New Roman" w:cs="Times New Roman" w:eastAsia="Times New Roman" w:hint="default"/>
          <w:spacing w:val="-2"/>
        </w:rPr>
        <w:t>9%</w:t>
      </w:r>
      <w:r>
        <w:rPr>
          <w:spacing w:val="-2"/>
        </w:rPr>
        <w:t>的股权。目标公司为公司控股子公</w:t>
      </w:r>
      <w:r>
        <w:rPr>
          <w:spacing w:val="-70"/>
        </w:rPr>
        <w:t> </w:t>
      </w:r>
      <w:r>
        <w:rPr>
          <w:spacing w:val="-70"/>
        </w:rPr>
      </w:r>
      <w:r>
        <w:rPr/>
        <w:t>司。</w:t>
      </w:r>
    </w:p>
    <w:p>
      <w:pPr>
        <w:pStyle w:val="BodyText"/>
        <w:spacing w:line="391" w:lineRule="auto" w:before="58"/>
        <w:ind w:right="1123" w:firstLine="423"/>
        <w:jc w:val="left"/>
      </w:pPr>
      <w:r>
        <w:rPr>
          <w:rFonts w:ascii="Times New Roman" w:hAnsi="Times New Roman" w:cs="Times New Roman" w:eastAsia="Times New Roman" w:hint="default"/>
          <w:spacing w:val="-5"/>
        </w:rPr>
        <w:t>3</w:t>
      </w:r>
      <w:r>
        <w:rPr>
          <w:spacing w:val="-5"/>
        </w:rPr>
        <w:t>、</w:t>
      </w:r>
      <w:r>
        <w:rPr>
          <w:rFonts w:ascii="Times New Roman" w:hAnsi="Times New Roman" w:cs="Times New Roman" w:eastAsia="Times New Roman" w:hint="default"/>
          <w:spacing w:val="-5"/>
        </w:rPr>
        <w:t>2018</w:t>
      </w:r>
      <w:r>
        <w:rPr>
          <w:spacing w:val="-5"/>
        </w:rPr>
        <w:t>年</w:t>
      </w:r>
      <w:r>
        <w:rPr>
          <w:rFonts w:ascii="Times New Roman" w:hAnsi="Times New Roman" w:cs="Times New Roman" w:eastAsia="Times New Roman" w:hint="default"/>
          <w:spacing w:val="-5"/>
        </w:rPr>
        <w:t>7</w:t>
      </w:r>
      <w:r>
        <w:rPr>
          <w:spacing w:val="-5"/>
        </w:rPr>
        <w:t>月</w:t>
      </w:r>
      <w:r>
        <w:rPr>
          <w:rFonts w:ascii="Times New Roman" w:hAnsi="Times New Roman" w:cs="Times New Roman" w:eastAsia="Times New Roman" w:hint="default"/>
          <w:spacing w:val="-5"/>
        </w:rPr>
        <w:t>30</w:t>
      </w:r>
      <w:r>
        <w:rPr>
          <w:spacing w:val="-5"/>
        </w:rPr>
        <w:t>日，公司召开第四届董事会第十三次会议及第四届监事会第十二次会议审议通过了《关</w:t>
      </w:r>
      <w:r>
        <w:rPr/>
        <w:t> </w:t>
      </w:r>
      <w:r>
        <w:rPr>
          <w:spacing w:val="-1"/>
        </w:rPr>
        <w:t>于向关联方提供财务资助暨关联交易的议案》。为协助湖南科瑞特科技有限公司补充生产经营所需的流动</w:t>
      </w:r>
      <w:r>
        <w:rPr>
          <w:spacing w:val="-81"/>
        </w:rPr>
        <w:t> </w:t>
      </w:r>
      <w:r>
        <w:rPr>
          <w:spacing w:val="-81"/>
        </w:rPr>
      </w:r>
      <w:r>
        <w:rPr>
          <w:spacing w:val="-5"/>
        </w:rPr>
        <w:t>资金，公司向其提供为期</w:t>
      </w:r>
      <w:r>
        <w:rPr>
          <w:rFonts w:ascii="Times New Roman" w:hAnsi="Times New Roman" w:cs="Times New Roman" w:eastAsia="Times New Roman" w:hint="default"/>
          <w:spacing w:val="-5"/>
        </w:rPr>
        <w:t>2</w:t>
      </w:r>
      <w:r>
        <w:rPr>
          <w:spacing w:val="-5"/>
        </w:rPr>
        <w:t>个月，资金金额为</w:t>
      </w:r>
      <w:r>
        <w:rPr>
          <w:rFonts w:ascii="Times New Roman" w:hAnsi="Times New Roman" w:cs="Times New Roman" w:eastAsia="Times New Roman" w:hint="default"/>
          <w:spacing w:val="-5"/>
        </w:rPr>
        <w:t>450</w:t>
      </w:r>
      <w:r>
        <w:rPr>
          <w:spacing w:val="-5"/>
        </w:rPr>
        <w:t>万元的借款。为保证其按时归还借款，科瑞特股东张玉希、</w:t>
      </w:r>
      <w:r>
        <w:rPr>
          <w:spacing w:val="-95"/>
        </w:rPr>
        <w:t> </w:t>
      </w:r>
      <w:r>
        <w:rPr>
          <w:spacing w:val="-95"/>
        </w:rPr>
      </w:r>
      <w:r>
        <w:rPr>
          <w:spacing w:val="-1"/>
        </w:rPr>
        <w:t>张宏立、阙正湘分别与公司签署了《股权质押协议》，将其合法持有的</w:t>
      </w:r>
      <w:r>
        <w:rPr>
          <w:rFonts w:ascii="Times New Roman" w:hAnsi="Times New Roman" w:cs="Times New Roman" w:eastAsia="Times New Roman" w:hint="default"/>
          <w:spacing w:val="-1"/>
        </w:rPr>
        <w:t>3.333%</w:t>
      </w:r>
      <w:r>
        <w:rPr>
          <w:spacing w:val="-1"/>
        </w:rPr>
        <w:t>科瑞特股权（对应科瑞特注</w:t>
      </w:r>
      <w:r>
        <w:rPr>
          <w:spacing w:val="-101"/>
        </w:rPr>
        <w:t> </w:t>
      </w:r>
      <w:r>
        <w:rPr>
          <w:spacing w:val="-101"/>
        </w:rPr>
      </w:r>
      <w:r>
        <w:rPr/>
        <w:t>册资本额为</w:t>
      </w:r>
      <w:r>
        <w:rPr>
          <w:rFonts w:ascii="Times New Roman" w:hAnsi="Times New Roman" w:cs="Times New Roman" w:eastAsia="Times New Roman" w:hint="default"/>
        </w:rPr>
        <w:t>37.875</w:t>
      </w:r>
      <w:r>
        <w:rPr/>
        <w:t>万元），合计持有的</w:t>
      </w:r>
      <w:r>
        <w:rPr>
          <w:rFonts w:ascii="Times New Roman" w:hAnsi="Times New Roman" w:cs="Times New Roman" w:eastAsia="Times New Roman" w:hint="default"/>
        </w:rPr>
        <w:t>10%</w:t>
      </w:r>
      <w:r>
        <w:rPr/>
        <w:t>的科瑞特股权（对应科瑞特注册资本额为</w:t>
      </w:r>
      <w:r>
        <w:rPr>
          <w:rFonts w:ascii="Times New Roman" w:hAnsi="Times New Roman" w:cs="Times New Roman" w:eastAsia="Times New Roman" w:hint="default"/>
        </w:rPr>
        <w:t>113.625</w:t>
      </w:r>
      <w:r>
        <w:rPr/>
        <w:t>万元）质押给 公司，为科瑞特归还借款提供股权质押担保。张玉希、张宏立、阙正湘已于</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7</w:t>
      </w:r>
      <w:r>
        <w:rPr/>
        <w:t>月</w:t>
      </w:r>
      <w:r>
        <w:rPr>
          <w:rFonts w:ascii="Times New Roman" w:hAnsi="Times New Roman" w:cs="Times New Roman" w:eastAsia="Times New Roman" w:hint="default"/>
        </w:rPr>
        <w:t>24</w:t>
      </w:r>
      <w:r>
        <w:rPr/>
        <w:t>日办理完成相关 股权质押登记手续。</w:t>
      </w:r>
    </w:p>
    <w:p>
      <w:pPr>
        <w:pStyle w:val="BodyText"/>
        <w:spacing w:line="240" w:lineRule="auto" w:before="61"/>
        <w:ind w:left="577" w:right="1117"/>
        <w:jc w:val="left"/>
      </w:pPr>
      <w:r>
        <w:rPr>
          <w:rFonts w:ascii="Times New Roman" w:hAnsi="Times New Roman" w:cs="Times New Roman" w:eastAsia="Times New Roman" w:hint="default"/>
        </w:rPr>
        <w:t>4</w:t>
      </w:r>
      <w:r>
        <w:rPr/>
        <w:t>、</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10</w:t>
      </w:r>
      <w:r>
        <w:rPr/>
        <w:t>日，公司召开第四届董事会第十七次会议及第四届监事会第十六次会议审议通过了</w:t>
      </w:r>
    </w:p>
    <w:p>
      <w:pPr>
        <w:pStyle w:val="BodyText"/>
        <w:spacing w:line="400" w:lineRule="auto" w:before="177"/>
        <w:ind w:right="1131"/>
        <w:jc w:val="both"/>
      </w:pPr>
      <w:r>
        <w:rPr>
          <w:spacing w:val="-1"/>
        </w:rPr>
        <w:t>《关于转让全资子公司部分股权暨关联交易的议案》。同日，公司与关联方上海天维恒瑞企业管理合伙企</w:t>
      </w:r>
      <w:r>
        <w:rPr>
          <w:spacing w:val="-83"/>
        </w:rPr>
        <w:t> </w:t>
      </w:r>
      <w:r>
        <w:rPr>
          <w:spacing w:val="-83"/>
        </w:rPr>
      </w:r>
      <w:r>
        <w:rPr>
          <w:spacing w:val="-1"/>
        </w:rPr>
        <w:t>业（有限合伙）签署《股权转让协议》，公司向天维恒瑞转让全资子公司完美数联（北京）科技有限公司</w:t>
      </w:r>
      <w:r>
        <w:rPr>
          <w:spacing w:val="-84"/>
        </w:rPr>
        <w:t> </w:t>
      </w:r>
      <w:r>
        <w:rPr>
          <w:spacing w:val="-84"/>
        </w:rPr>
      </w:r>
      <w:r>
        <w:rPr>
          <w:rFonts w:ascii="Times New Roman" w:hAnsi="Times New Roman" w:cs="Times New Roman" w:eastAsia="Times New Roman" w:hint="default"/>
          <w:spacing w:val="-2"/>
        </w:rPr>
        <w:t>14.2857%</w:t>
      </w:r>
      <w:r>
        <w:rPr>
          <w:spacing w:val="-2"/>
        </w:rPr>
        <w:t>的股权（对应认缴注册资本</w:t>
      </w:r>
      <w:r>
        <w:rPr>
          <w:rFonts w:ascii="Times New Roman" w:hAnsi="Times New Roman" w:cs="Times New Roman" w:eastAsia="Times New Roman" w:hint="default"/>
          <w:spacing w:val="-2"/>
        </w:rPr>
        <w:t>285.7143</w:t>
      </w:r>
      <w:r>
        <w:rPr>
          <w:spacing w:val="-2"/>
        </w:rPr>
        <w:t>万元，实缴金额</w:t>
      </w:r>
      <w:r>
        <w:rPr>
          <w:rFonts w:ascii="Times New Roman" w:hAnsi="Times New Roman" w:cs="Times New Roman" w:eastAsia="Times New Roman" w:hint="default"/>
          <w:spacing w:val="-2"/>
        </w:rPr>
        <w:t>0</w:t>
      </w:r>
      <w:r>
        <w:rPr>
          <w:spacing w:val="-2"/>
        </w:rPr>
        <w:t>元）。本次股权转让完成后，公司将持有完</w:t>
      </w:r>
      <w:r>
        <w:rPr>
          <w:spacing w:val="-96"/>
        </w:rPr>
        <w:t> </w:t>
      </w:r>
      <w:r>
        <w:rPr>
          <w:spacing w:val="-96"/>
        </w:rPr>
      </w:r>
      <w:r>
        <w:rPr/>
        <w:t>美数联</w:t>
      </w:r>
      <w:r>
        <w:rPr>
          <w:rFonts w:ascii="Times New Roman" w:hAnsi="Times New Roman" w:cs="Times New Roman" w:eastAsia="Times New Roman" w:hint="default"/>
        </w:rPr>
        <w:t>85.7143%</w:t>
      </w:r>
      <w:r>
        <w:rPr/>
        <w:t>的股权。</w:t>
      </w:r>
    </w:p>
    <w:p>
      <w:pPr>
        <w:spacing w:before="9"/>
        <w:ind w:left="154" w:right="0" w:firstLine="0"/>
        <w:jc w:val="both"/>
        <w:rPr>
          <w:rFonts w:ascii="宋体" w:hAnsi="宋体" w:cs="宋体" w:eastAsia="宋体" w:hint="default"/>
          <w:sz w:val="18"/>
          <w:szCs w:val="18"/>
        </w:rPr>
      </w:pPr>
      <w:r>
        <w:rPr>
          <w:rFonts w:ascii="宋体" w:hAnsi="宋体" w:cs="宋体" w:eastAsia="宋体" w:hint="default"/>
          <w:sz w:val="18"/>
          <w:szCs w:val="18"/>
        </w:rPr>
        <w:t>重大关联交易临时报告披露网站相关查询</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460"/>
        <w:gridCol w:w="2650"/>
        <w:gridCol w:w="3459"/>
      </w:tblGrid>
      <w:tr>
        <w:trPr>
          <w:trHeight w:val="402" w:hRule="exact"/>
        </w:trPr>
        <w:tc>
          <w:tcPr>
            <w:tcW w:w="34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临时公告名称</w:t>
            </w:r>
          </w:p>
        </w:tc>
        <w:tc>
          <w:tcPr>
            <w:tcW w:w="26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00" w:right="0"/>
              <w:jc w:val="left"/>
              <w:rPr>
                <w:rFonts w:ascii="宋体" w:hAnsi="宋体" w:cs="宋体" w:eastAsia="宋体" w:hint="default"/>
                <w:sz w:val="18"/>
                <w:szCs w:val="18"/>
              </w:rPr>
            </w:pPr>
            <w:r>
              <w:rPr>
                <w:rFonts w:ascii="宋体" w:hAnsi="宋体" w:cs="宋体" w:eastAsia="宋体" w:hint="default"/>
                <w:sz w:val="18"/>
                <w:szCs w:val="18"/>
              </w:rPr>
              <w:t>临时公告披露日期</w:t>
            </w:r>
          </w:p>
        </w:tc>
        <w:tc>
          <w:tcPr>
            <w:tcW w:w="34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24" w:right="0"/>
              <w:jc w:val="left"/>
              <w:rPr>
                <w:rFonts w:ascii="宋体" w:hAnsi="宋体" w:cs="宋体" w:eastAsia="宋体" w:hint="default"/>
                <w:sz w:val="18"/>
                <w:szCs w:val="18"/>
              </w:rPr>
            </w:pPr>
            <w:r>
              <w:rPr>
                <w:rFonts w:ascii="宋体" w:hAnsi="宋体" w:cs="宋体" w:eastAsia="宋体" w:hint="default"/>
                <w:sz w:val="18"/>
                <w:szCs w:val="18"/>
              </w:rPr>
              <w:t>临时公告披露网站名称</w:t>
            </w:r>
          </w:p>
        </w:tc>
      </w:tr>
      <w:tr>
        <w:trPr>
          <w:trHeight w:val="402" w:hRule="exact"/>
        </w:trPr>
        <w:tc>
          <w:tcPr>
            <w:tcW w:w="3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关于为关联方提供担保暨关联交易的公告</w:t>
            </w:r>
          </w:p>
        </w:tc>
        <w:tc>
          <w:tcPr>
            <w:tcW w:w="2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34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402" w:hRule="exact"/>
        </w:trPr>
        <w:tc>
          <w:tcPr>
            <w:tcW w:w="3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22" w:right="0"/>
              <w:jc w:val="left"/>
              <w:rPr>
                <w:rFonts w:ascii="宋体" w:hAnsi="宋体" w:cs="宋体" w:eastAsia="宋体" w:hint="default"/>
                <w:sz w:val="18"/>
                <w:szCs w:val="18"/>
              </w:rPr>
            </w:pPr>
            <w:r>
              <w:rPr>
                <w:rFonts w:ascii="宋体" w:hAnsi="宋体" w:cs="宋体" w:eastAsia="宋体" w:hint="default"/>
                <w:sz w:val="18"/>
                <w:szCs w:val="18"/>
              </w:rPr>
              <w:t>关于对外投资并设立控股子公司暨关联交</w:t>
            </w:r>
          </w:p>
        </w:tc>
        <w:tc>
          <w:tcPr>
            <w:tcW w:w="2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34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巨潮资讯网</w:t>
            </w:r>
          </w:p>
        </w:tc>
      </w:tr>
    </w:tbl>
    <w:p>
      <w:pPr>
        <w:spacing w:after="0" w:line="240" w:lineRule="auto"/>
        <w:jc w:val="left"/>
        <w:rPr>
          <w:rFonts w:ascii="宋体" w:hAnsi="宋体" w:cs="宋体" w:eastAsia="宋体" w:hint="default"/>
          <w:sz w:val="18"/>
          <w:szCs w:val="18"/>
        </w:rPr>
        <w:sectPr>
          <w:pgSz w:w="11910" w:h="16840"/>
          <w:pgMar w:header="877" w:footer="979" w:top="1100" w:bottom="1160" w:left="980" w:right="0"/>
        </w:sectPr>
      </w:pPr>
    </w:p>
    <w:p>
      <w:pPr>
        <w:spacing w:line="240" w:lineRule="auto" w:before="6"/>
        <w:rPr>
          <w:rFonts w:ascii="宋体" w:hAnsi="宋体" w:cs="宋体" w:eastAsia="宋体" w:hint="default"/>
          <w:sz w:val="24"/>
          <w:szCs w:val="24"/>
        </w:rPr>
      </w:pPr>
    </w:p>
    <w:tbl>
      <w:tblPr>
        <w:tblW w:w="0" w:type="auto"/>
        <w:jc w:val="left"/>
        <w:tblInd w:w="149" w:type="dxa"/>
        <w:tblLayout w:type="fixed"/>
        <w:tblCellMar>
          <w:top w:w="0" w:type="dxa"/>
          <w:left w:w="0" w:type="dxa"/>
          <w:bottom w:w="0" w:type="dxa"/>
          <w:right w:w="0" w:type="dxa"/>
        </w:tblCellMar>
        <w:tblLook w:val="01E0"/>
      </w:tblPr>
      <w:tblGrid>
        <w:gridCol w:w="3460"/>
        <w:gridCol w:w="2650"/>
        <w:gridCol w:w="3459"/>
      </w:tblGrid>
      <w:tr>
        <w:trPr>
          <w:trHeight w:val="362" w:hRule="exact"/>
        </w:trPr>
        <w:tc>
          <w:tcPr>
            <w:tcW w:w="3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易的公告</w:t>
            </w:r>
          </w:p>
        </w:tc>
        <w:tc>
          <w:tcPr>
            <w:tcW w:w="2650" w:type="dxa"/>
            <w:tcBorders>
              <w:top w:val="single" w:sz="4" w:space="0" w:color="000000"/>
              <w:left w:val="single" w:sz="4" w:space="0" w:color="000000"/>
              <w:bottom w:val="single" w:sz="4" w:space="0" w:color="000000"/>
              <w:right w:val="single" w:sz="4" w:space="0" w:color="000000"/>
            </w:tcBorders>
          </w:tcPr>
          <w:p>
            <w:pPr/>
          </w:p>
        </w:tc>
        <w:tc>
          <w:tcPr>
            <w:tcW w:w="34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第四届董事会第十次会议决议公告</w:t>
            </w:r>
          </w:p>
        </w:tc>
        <w:tc>
          <w:tcPr>
            <w:tcW w:w="2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34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402" w:hRule="exact"/>
        </w:trPr>
        <w:tc>
          <w:tcPr>
            <w:tcW w:w="3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第四届监事会第九次会议决议公告</w:t>
            </w:r>
          </w:p>
        </w:tc>
        <w:tc>
          <w:tcPr>
            <w:tcW w:w="2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34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714" w:hRule="exact"/>
        </w:trPr>
        <w:tc>
          <w:tcPr>
            <w:tcW w:w="346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85"/>
              <w:jc w:val="left"/>
              <w:rPr>
                <w:rFonts w:ascii="宋体" w:hAnsi="宋体" w:cs="宋体" w:eastAsia="宋体" w:hint="default"/>
                <w:sz w:val="18"/>
                <w:szCs w:val="18"/>
              </w:rPr>
            </w:pPr>
            <w:r>
              <w:rPr>
                <w:rFonts w:ascii="宋体" w:hAnsi="宋体" w:cs="宋体" w:eastAsia="宋体" w:hint="default"/>
                <w:sz w:val="18"/>
                <w:szCs w:val="18"/>
              </w:rPr>
              <w:t>关于向关联方提供财务资助暨关联交易的 公告</w:t>
            </w:r>
          </w:p>
        </w:tc>
        <w:tc>
          <w:tcPr>
            <w:tcW w:w="2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34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402" w:hRule="exact"/>
        </w:trPr>
        <w:tc>
          <w:tcPr>
            <w:tcW w:w="3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第四届董事会第十三次会议决议公告</w:t>
            </w:r>
          </w:p>
        </w:tc>
        <w:tc>
          <w:tcPr>
            <w:tcW w:w="2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34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402" w:hRule="exact"/>
        </w:trPr>
        <w:tc>
          <w:tcPr>
            <w:tcW w:w="3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第四届监事会第十二次会议决议公告</w:t>
            </w:r>
          </w:p>
        </w:tc>
        <w:tc>
          <w:tcPr>
            <w:tcW w:w="2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34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714" w:hRule="exact"/>
        </w:trPr>
        <w:tc>
          <w:tcPr>
            <w:tcW w:w="346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85"/>
              <w:jc w:val="left"/>
              <w:rPr>
                <w:rFonts w:ascii="宋体" w:hAnsi="宋体" w:cs="宋体" w:eastAsia="宋体" w:hint="default"/>
                <w:sz w:val="18"/>
                <w:szCs w:val="18"/>
              </w:rPr>
            </w:pPr>
            <w:r>
              <w:rPr>
                <w:rFonts w:ascii="宋体" w:hAnsi="宋体" w:cs="宋体" w:eastAsia="宋体" w:hint="default"/>
                <w:sz w:val="18"/>
                <w:szCs w:val="18"/>
              </w:rPr>
              <w:t>关于转让全资子公司部分股权暨关联交易 的公告</w:t>
            </w:r>
          </w:p>
        </w:tc>
        <w:tc>
          <w:tcPr>
            <w:tcW w:w="2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34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402" w:hRule="exact"/>
        </w:trPr>
        <w:tc>
          <w:tcPr>
            <w:tcW w:w="3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第四届董事会第十七次会议决议公告</w:t>
            </w:r>
          </w:p>
        </w:tc>
        <w:tc>
          <w:tcPr>
            <w:tcW w:w="2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34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402" w:hRule="exact"/>
        </w:trPr>
        <w:tc>
          <w:tcPr>
            <w:tcW w:w="3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第四届监事会第十六次会议</w:t>
            </w:r>
          </w:p>
        </w:tc>
        <w:tc>
          <w:tcPr>
            <w:tcW w:w="2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34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巨潮资讯网</w:t>
            </w:r>
          </w:p>
        </w:tc>
      </w:tr>
    </w:tbl>
    <w:p>
      <w:pPr>
        <w:spacing w:line="240" w:lineRule="auto" w:before="2"/>
        <w:rPr>
          <w:rFonts w:ascii="宋体" w:hAnsi="宋体" w:cs="宋体" w:eastAsia="宋体" w:hint="default"/>
          <w:sz w:val="18"/>
          <w:szCs w:val="18"/>
        </w:rPr>
      </w:pPr>
    </w:p>
    <w:p>
      <w:pPr>
        <w:pStyle w:val="Heading2"/>
        <w:spacing w:line="240" w:lineRule="auto" w:before="26"/>
        <w:ind w:right="1117"/>
        <w:jc w:val="left"/>
        <w:rPr>
          <w:b w:val="0"/>
          <w:bCs w:val="0"/>
        </w:rPr>
      </w:pPr>
      <w:bookmarkStart w:name="十六、重大合同及其履行情况" w:id="84"/>
      <w:bookmarkEnd w:id="84"/>
      <w:r>
        <w:rPr>
          <w:b w:val="0"/>
          <w:bCs w:val="0"/>
        </w:rPr>
      </w:r>
      <w:r>
        <w:rPr/>
        <w:t>十六、重大合同及其履行情况</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1117"/>
        <w:jc w:val="left"/>
        <w:rPr>
          <w:b w:val="0"/>
          <w:bCs w:val="0"/>
        </w:rPr>
      </w:pPr>
      <w:bookmarkStart w:name="1、托管、承包、租赁事项情况" w:id="85"/>
      <w:bookmarkEnd w:id="85"/>
      <w:r>
        <w:rPr>
          <w:b w:val="0"/>
          <w:bCs w:val="0"/>
        </w:rPr>
      </w:r>
      <w:r>
        <w:rPr>
          <w:rFonts w:ascii="Times New Roman" w:hAnsi="Times New Roman" w:cs="Times New Roman" w:eastAsia="Times New Roman" w:hint="default"/>
        </w:rPr>
        <w:t>1</w:t>
      </w:r>
      <w:r>
        <w:rPr/>
        <w:t>、托管、承包、租赁事项情况</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1117"/>
        <w:jc w:val="left"/>
        <w:rPr>
          <w:b w:val="0"/>
          <w:bCs w:val="0"/>
        </w:rPr>
      </w:pPr>
      <w:bookmarkStart w:name="（1）托管情况" w:id="86"/>
      <w:bookmarkEnd w:id="86"/>
      <w:r>
        <w:rPr>
          <w:b w:val="0"/>
          <w:bCs w:val="0"/>
        </w:rPr>
      </w:r>
      <w:r>
        <w:rPr/>
        <w:t>（</w:t>
      </w:r>
      <w:r>
        <w:rPr>
          <w:rFonts w:ascii="Times New Roman" w:hAnsi="Times New Roman" w:cs="Times New Roman" w:eastAsia="Times New Roman" w:hint="default"/>
        </w:rPr>
        <w:t>1</w:t>
      </w:r>
      <w:r>
        <w:rPr/>
        <w:t>）托管情况</w:t>
      </w:r>
      <w:r>
        <w:rPr>
          <w:b w:val="0"/>
          <w:bCs w:val="0"/>
        </w:rPr>
      </w:r>
    </w:p>
    <w:p>
      <w:pPr>
        <w:spacing w:line="240" w:lineRule="auto" w:before="8"/>
        <w:rPr>
          <w:rFonts w:ascii="宋体" w:hAnsi="宋体" w:cs="宋体" w:eastAsia="宋体" w:hint="default"/>
          <w:b/>
          <w:bCs/>
          <w:sz w:val="26"/>
          <w:szCs w:val="26"/>
        </w:rPr>
      </w:pPr>
    </w:p>
    <w:p>
      <w:pPr>
        <w:spacing w:line="340" w:lineRule="auto" w:before="0"/>
        <w:ind w:left="154" w:right="841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公司报告期不存在托管情况。</w:t>
      </w:r>
    </w:p>
    <w:p>
      <w:pPr>
        <w:spacing w:line="240" w:lineRule="auto" w:before="13"/>
        <w:rPr>
          <w:rFonts w:ascii="宋体" w:hAnsi="宋体" w:cs="宋体" w:eastAsia="宋体" w:hint="default"/>
          <w:sz w:val="20"/>
          <w:szCs w:val="20"/>
        </w:rPr>
      </w:pPr>
    </w:p>
    <w:p>
      <w:pPr>
        <w:pStyle w:val="Heading4"/>
        <w:spacing w:line="240" w:lineRule="auto"/>
        <w:ind w:right="1117"/>
        <w:jc w:val="left"/>
        <w:rPr>
          <w:b w:val="0"/>
          <w:bCs w:val="0"/>
        </w:rPr>
      </w:pPr>
      <w:bookmarkStart w:name="（2）承包情况" w:id="87"/>
      <w:bookmarkEnd w:id="87"/>
      <w:r>
        <w:rPr>
          <w:b w:val="0"/>
          <w:bCs w:val="0"/>
        </w:rPr>
      </w:r>
      <w:r>
        <w:rPr/>
        <w:t>（</w:t>
      </w:r>
      <w:r>
        <w:rPr>
          <w:rFonts w:ascii="Times New Roman" w:hAnsi="Times New Roman" w:cs="Times New Roman" w:eastAsia="Times New Roman" w:hint="default"/>
        </w:rPr>
        <w:t>2</w:t>
      </w:r>
      <w:r>
        <w:rPr/>
        <w:t>）承包情况</w:t>
      </w:r>
      <w:r>
        <w:rPr>
          <w:b w:val="0"/>
          <w:bCs w:val="0"/>
        </w:rPr>
      </w:r>
    </w:p>
    <w:p>
      <w:pPr>
        <w:spacing w:line="240" w:lineRule="auto" w:before="9"/>
        <w:rPr>
          <w:rFonts w:ascii="宋体" w:hAnsi="宋体" w:cs="宋体" w:eastAsia="宋体" w:hint="default"/>
          <w:b/>
          <w:bCs/>
          <w:sz w:val="26"/>
          <w:szCs w:val="26"/>
        </w:rPr>
      </w:pPr>
    </w:p>
    <w:p>
      <w:pPr>
        <w:spacing w:line="338" w:lineRule="auto" w:before="0"/>
        <w:ind w:left="154" w:right="841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公司报告期不存在承包情况。</w:t>
      </w:r>
    </w:p>
    <w:p>
      <w:pPr>
        <w:spacing w:line="240" w:lineRule="auto" w:before="1"/>
        <w:rPr>
          <w:rFonts w:ascii="宋体" w:hAnsi="宋体" w:cs="宋体" w:eastAsia="宋体" w:hint="default"/>
          <w:sz w:val="21"/>
          <w:szCs w:val="21"/>
        </w:rPr>
      </w:pPr>
    </w:p>
    <w:p>
      <w:pPr>
        <w:pStyle w:val="Heading4"/>
        <w:spacing w:line="240" w:lineRule="auto"/>
        <w:ind w:right="1117"/>
        <w:jc w:val="left"/>
        <w:rPr>
          <w:b w:val="0"/>
          <w:bCs w:val="0"/>
        </w:rPr>
      </w:pPr>
      <w:bookmarkStart w:name="（3）租赁情况" w:id="88"/>
      <w:bookmarkEnd w:id="88"/>
      <w:r>
        <w:rPr>
          <w:b w:val="0"/>
          <w:bCs w:val="0"/>
        </w:rPr>
      </w:r>
      <w:r>
        <w:rPr/>
        <w:t>（</w:t>
      </w:r>
      <w:r>
        <w:rPr>
          <w:rFonts w:ascii="Times New Roman" w:hAnsi="Times New Roman" w:cs="Times New Roman" w:eastAsia="Times New Roman" w:hint="default"/>
        </w:rPr>
        <w:t>3</w:t>
      </w:r>
      <w:r>
        <w:rPr/>
        <w:t>）租赁情况</w:t>
      </w:r>
      <w:r>
        <w:rPr>
          <w:b w:val="0"/>
          <w:bCs w:val="0"/>
        </w:rPr>
      </w:r>
    </w:p>
    <w:p>
      <w:pPr>
        <w:spacing w:line="240" w:lineRule="auto" w:before="9"/>
        <w:rPr>
          <w:rFonts w:ascii="宋体" w:hAnsi="宋体" w:cs="宋体" w:eastAsia="宋体" w:hint="default"/>
          <w:b/>
          <w:bCs/>
          <w:sz w:val="26"/>
          <w:szCs w:val="26"/>
        </w:rPr>
      </w:pPr>
    </w:p>
    <w:p>
      <w:pPr>
        <w:spacing w:line="338" w:lineRule="auto" w:before="0"/>
        <w:ind w:left="154" w:right="913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租赁情况说明</w:t>
      </w:r>
    </w:p>
    <w:p>
      <w:pPr>
        <w:pStyle w:val="BodyText"/>
        <w:spacing w:line="386" w:lineRule="auto" w:before="95"/>
        <w:ind w:right="0" w:firstLine="508"/>
        <w:jc w:val="left"/>
      </w:pPr>
      <w:r>
        <w:rPr>
          <w:rFonts w:ascii="Times New Roman" w:hAnsi="Times New Roman" w:cs="Times New Roman" w:eastAsia="Times New Roman" w:hint="default"/>
        </w:rPr>
        <w:t>1</w:t>
      </w:r>
      <w:r>
        <w:rPr/>
        <w:t>、经公司第三届董事会第七次会议及第三届监事会第六次会议审议通过，公司同意将位于郑州高新 技术产业开发区翠竹街</w:t>
      </w:r>
      <w:r>
        <w:rPr>
          <w:rFonts w:ascii="Times New Roman" w:hAnsi="Times New Roman" w:cs="Times New Roman" w:eastAsia="Times New Roman" w:hint="default"/>
        </w:rPr>
        <w:t>6</w:t>
      </w:r>
      <w:r>
        <w:rPr/>
        <w:t>号</w:t>
      </w:r>
      <w:r>
        <w:rPr>
          <w:rFonts w:ascii="Times New Roman" w:hAnsi="Times New Roman" w:cs="Times New Roman" w:eastAsia="Times New Roman" w:hint="default"/>
        </w:rPr>
        <w:t>863</w:t>
      </w:r>
      <w:r>
        <w:rPr/>
        <w:t>国家软件基地</w:t>
      </w:r>
      <w:r>
        <w:rPr>
          <w:rFonts w:ascii="Times New Roman" w:hAnsi="Times New Roman" w:cs="Times New Roman" w:eastAsia="Times New Roman" w:hint="default"/>
        </w:rPr>
        <w:t>10</w:t>
      </w:r>
      <w:r>
        <w:rPr/>
        <w:t>号楼房产整体向郑州罗曼达酒店管理有限公司进行出租，并 签署《房屋租赁合同》，租赁期限自</w:t>
      </w:r>
      <w:r>
        <w:rPr>
          <w:rFonts w:ascii="Times New Roman" w:hAnsi="Times New Roman" w:cs="Times New Roman" w:eastAsia="Times New Roman" w:hint="default"/>
        </w:rPr>
        <w:t>2015</w:t>
      </w:r>
      <w:r>
        <w:rPr/>
        <w:t>年</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1</w:t>
      </w:r>
      <w:r>
        <w:rPr/>
        <w:t>日起至</w:t>
      </w:r>
      <w:r>
        <w:rPr>
          <w:rFonts w:ascii="Times New Roman" w:hAnsi="Times New Roman" w:cs="Times New Roman" w:eastAsia="Times New Roman" w:hint="default"/>
        </w:rPr>
        <w:t>2029</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日止共计</w:t>
      </w:r>
      <w:r>
        <w:rPr>
          <w:rFonts w:ascii="Times New Roman" w:hAnsi="Times New Roman" w:cs="Times New Roman" w:eastAsia="Times New Roman" w:hint="default"/>
        </w:rPr>
        <w:t>15</w:t>
      </w:r>
      <w:r>
        <w:rPr/>
        <w:t>年。双方约定自</w:t>
      </w:r>
      <w:r>
        <w:rPr>
          <w:rFonts w:ascii="Times New Roman" w:hAnsi="Times New Roman" w:cs="Times New Roman" w:eastAsia="Times New Roman" w:hint="default"/>
        </w:rPr>
        <w:t>2015</w:t>
      </w:r>
      <w:r>
        <w:rPr/>
        <w:t>年</w:t>
      </w:r>
      <w:r>
        <w:rPr>
          <w:rFonts w:ascii="Times New Roman" w:hAnsi="Times New Roman" w:cs="Times New Roman" w:eastAsia="Times New Roman" w:hint="default"/>
        </w:rPr>
        <w:t>1 </w:t>
      </w:r>
      <w:r>
        <w:rPr/>
        <w:t>月</w:t>
      </w:r>
      <w:r>
        <w:rPr>
          <w:rFonts w:ascii="Times New Roman" w:hAnsi="Times New Roman" w:cs="Times New Roman" w:eastAsia="Times New Roman" w:hint="default"/>
        </w:rPr>
        <w:t>1</w:t>
      </w:r>
      <w:r>
        <w:rPr/>
        <w:t>日起，年租金为</w:t>
      </w:r>
      <w:r>
        <w:rPr>
          <w:rFonts w:ascii="Times New Roman" w:hAnsi="Times New Roman" w:cs="Times New Roman" w:eastAsia="Times New Roman" w:hint="default"/>
        </w:rPr>
        <w:t>339</w:t>
      </w:r>
      <w:r>
        <w:rPr/>
        <w:t>万元</w:t>
      </w:r>
      <w:r>
        <w:rPr>
          <w:rFonts w:ascii="Times New Roman" w:hAnsi="Times New Roman" w:cs="Times New Roman" w:eastAsia="Times New Roman" w:hint="default"/>
        </w:rPr>
        <w:t>/</w:t>
      </w:r>
      <w:r>
        <w:rPr/>
        <w:t>年；第</w:t>
      </w:r>
      <w:r>
        <w:rPr>
          <w:rFonts w:ascii="Times New Roman" w:hAnsi="Times New Roman" w:cs="Times New Roman" w:eastAsia="Times New Roman" w:hint="default"/>
        </w:rPr>
        <w:t>5</w:t>
      </w:r>
      <w:r>
        <w:rPr/>
        <w:t>个租赁年度内（</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7</w:t>
      </w:r>
      <w:r>
        <w:rPr/>
        <w:t>月</w:t>
      </w:r>
      <w:r>
        <w:rPr>
          <w:rFonts w:ascii="Times New Roman" w:hAnsi="Times New Roman" w:cs="Times New Roman" w:eastAsia="Times New Roman" w:hint="default"/>
        </w:rPr>
        <w:t>1</w:t>
      </w:r>
      <w:r>
        <w:rPr/>
        <w:t>日）开始租金在第一年的基础上递增</w:t>
      </w:r>
      <w:r>
        <w:rPr>
          <w:rFonts w:ascii="Times New Roman" w:hAnsi="Times New Roman" w:cs="Times New Roman" w:eastAsia="Times New Roman" w:hint="default"/>
        </w:rPr>
        <w:t>5%</w:t>
      </w:r>
      <w:r>
        <w:rPr/>
        <w:t>，</w:t>
      </w:r>
      <w:r>
        <w:rPr>
          <w:spacing w:val="-56"/>
        </w:rPr>
        <w:t> </w:t>
      </w:r>
      <w:r>
        <w:rPr/>
        <w:t>为</w:t>
      </w:r>
      <w:r>
        <w:rPr>
          <w:rFonts w:ascii="Times New Roman" w:hAnsi="Times New Roman" w:cs="Times New Roman" w:eastAsia="Times New Roman" w:hint="default"/>
        </w:rPr>
        <w:t>355.95</w:t>
      </w:r>
      <w:r>
        <w:rPr/>
        <w:t>万元</w:t>
      </w:r>
      <w:r>
        <w:rPr>
          <w:rFonts w:ascii="Times New Roman" w:hAnsi="Times New Roman" w:cs="Times New Roman" w:eastAsia="Times New Roman" w:hint="default"/>
        </w:rPr>
        <w:t>/</w:t>
      </w:r>
      <w:r>
        <w:rPr/>
        <w:t>年，之后五年不变；第</w:t>
      </w:r>
      <w:r>
        <w:rPr>
          <w:rFonts w:ascii="Times New Roman" w:hAnsi="Times New Roman" w:cs="Times New Roman" w:eastAsia="Times New Roman" w:hint="default"/>
        </w:rPr>
        <w:t>10</w:t>
      </w:r>
      <w:r>
        <w:rPr/>
        <w:t>个租赁年度（</w:t>
      </w:r>
      <w:r>
        <w:rPr>
          <w:rFonts w:ascii="Times New Roman" w:hAnsi="Times New Roman" w:cs="Times New Roman" w:eastAsia="Times New Roman" w:hint="default"/>
        </w:rPr>
        <w:t>2024</w:t>
      </w:r>
      <w:r>
        <w:rPr/>
        <w:t>年</w:t>
      </w:r>
      <w:r>
        <w:rPr>
          <w:rFonts w:ascii="Times New Roman" w:hAnsi="Times New Roman" w:cs="Times New Roman" w:eastAsia="Times New Roman" w:hint="default"/>
        </w:rPr>
        <w:t>7</w:t>
      </w:r>
      <w:r>
        <w:rPr/>
        <w:t>月</w:t>
      </w:r>
      <w:r>
        <w:rPr>
          <w:rFonts w:ascii="Times New Roman" w:hAnsi="Times New Roman" w:cs="Times New Roman" w:eastAsia="Times New Roman" w:hint="default"/>
        </w:rPr>
        <w:t>1</w:t>
      </w:r>
      <w:r>
        <w:rPr/>
        <w:t>日）开始的最后租赁期内，年租金在上年 度租金的基础上递增，比例为</w:t>
      </w:r>
      <w:r>
        <w:rPr>
          <w:rFonts w:ascii="Times New Roman" w:hAnsi="Times New Roman" w:cs="Times New Roman" w:eastAsia="Times New Roman" w:hint="default"/>
        </w:rPr>
        <w:t>5%</w:t>
      </w:r>
      <w:r>
        <w:rPr/>
        <w:t>－</w:t>
      </w:r>
      <w:r>
        <w:rPr>
          <w:rFonts w:ascii="Times New Roman" w:hAnsi="Times New Roman" w:cs="Times New Roman" w:eastAsia="Times New Roman" w:hint="default"/>
        </w:rPr>
        <w:t>10%</w:t>
      </w:r>
      <w:r>
        <w:rPr/>
        <w:t>，具体金额由双方根据营利情况、市场租金变化情况，友好协商。</w:t>
      </w:r>
    </w:p>
    <w:p>
      <w:pPr>
        <w:pStyle w:val="BodyText"/>
        <w:spacing w:line="386" w:lineRule="auto" w:before="35"/>
        <w:ind w:right="1117" w:firstLine="423"/>
        <w:jc w:val="left"/>
      </w:pPr>
      <w:r>
        <w:rPr>
          <w:spacing w:val="-1"/>
        </w:rPr>
        <w:t>经公司</w:t>
      </w:r>
      <w:r>
        <w:rPr>
          <w:rFonts w:ascii="Times New Roman" w:hAnsi="Times New Roman" w:cs="Times New Roman" w:eastAsia="Times New Roman" w:hint="default"/>
          <w:spacing w:val="-1"/>
        </w:rPr>
        <w:t>2016</w:t>
      </w:r>
      <w:r>
        <w:rPr>
          <w:spacing w:val="-1"/>
        </w:rPr>
        <w:t>年第九次总经理办公会审议通过，公司与郑州罗曼达酒店管理有限公司于</w:t>
      </w:r>
      <w:r>
        <w:rPr>
          <w:rFonts w:ascii="Times New Roman" w:hAnsi="Times New Roman" w:cs="Times New Roman" w:eastAsia="Times New Roman" w:hint="default"/>
          <w:spacing w:val="-1"/>
        </w:rPr>
        <w:t>2016</w:t>
      </w:r>
      <w:r>
        <w:rPr>
          <w:spacing w:val="-1"/>
        </w:rPr>
        <w:t>年</w:t>
      </w:r>
      <w:r>
        <w:rPr>
          <w:rFonts w:ascii="Times New Roman" w:hAnsi="Times New Roman" w:cs="Times New Roman" w:eastAsia="Times New Roman" w:hint="default"/>
          <w:spacing w:val="-1"/>
        </w:rPr>
        <w:t>12</w:t>
      </w:r>
      <w:r>
        <w:rPr>
          <w:spacing w:val="-1"/>
        </w:rPr>
        <w:t>月</w:t>
      </w:r>
      <w:r>
        <w:rPr>
          <w:rFonts w:ascii="Times New Roman" w:hAnsi="Times New Roman" w:cs="Times New Roman" w:eastAsia="Times New Roman" w:hint="default"/>
          <w:spacing w:val="-1"/>
        </w:rPr>
        <w:t>29</w:t>
      </w:r>
      <w:r>
        <w:rPr>
          <w:spacing w:val="-1"/>
        </w:rPr>
        <w:t>日</w:t>
      </w:r>
      <w:r>
        <w:rPr/>
        <w:t> </w:t>
      </w:r>
      <w:r>
        <w:rPr>
          <w:spacing w:val="-1"/>
        </w:rPr>
        <w:t>签订《房屋租赁合同补充协议》，公司一次性给与郑州罗曼达酒店管理有限公司</w:t>
      </w:r>
      <w:r>
        <w:rPr>
          <w:rFonts w:ascii="Times New Roman" w:hAnsi="Times New Roman" w:cs="Times New Roman" w:eastAsia="Times New Roman" w:hint="default"/>
          <w:spacing w:val="-1"/>
        </w:rPr>
        <w:t>2016</w:t>
      </w:r>
      <w:r>
        <w:rPr>
          <w:spacing w:val="-1"/>
        </w:rPr>
        <w:t>年第四季度房租优惠</w:t>
      </w:r>
    </w:p>
    <w:p>
      <w:pPr>
        <w:spacing w:after="0" w:line="386" w:lineRule="auto"/>
        <w:jc w:val="left"/>
        <w:sectPr>
          <w:pgSz w:w="11910" w:h="16840"/>
          <w:pgMar w:header="877" w:footer="979" w:top="1100" w:bottom="1160" w:left="980" w:right="0"/>
        </w:sectPr>
      </w:pPr>
    </w:p>
    <w:p>
      <w:pPr>
        <w:spacing w:line="240" w:lineRule="auto" w:before="8"/>
        <w:rPr>
          <w:rFonts w:ascii="宋体" w:hAnsi="宋体" w:cs="宋体" w:eastAsia="宋体" w:hint="default"/>
          <w:sz w:val="26"/>
          <w:szCs w:val="26"/>
        </w:rPr>
      </w:pPr>
    </w:p>
    <w:p>
      <w:pPr>
        <w:pStyle w:val="BodyText"/>
        <w:spacing w:line="386" w:lineRule="auto" w:before="35"/>
        <w:ind w:right="1131"/>
        <w:jc w:val="both"/>
      </w:pPr>
      <w:r>
        <w:rPr>
          <w:rFonts w:ascii="Times New Roman" w:hAnsi="Times New Roman" w:cs="Times New Roman" w:eastAsia="Times New Roman" w:hint="default"/>
          <w:spacing w:val="-1"/>
        </w:rPr>
        <w:t>26</w:t>
      </w:r>
      <w:r>
        <w:rPr>
          <w:spacing w:val="-1"/>
        </w:rPr>
        <w:t>万元，双方约定自</w:t>
      </w:r>
      <w:r>
        <w:rPr>
          <w:rFonts w:ascii="Times New Roman" w:hAnsi="Times New Roman" w:cs="Times New Roman" w:eastAsia="Times New Roman" w:hint="default"/>
          <w:spacing w:val="-1"/>
        </w:rPr>
        <w:t>2017</w:t>
      </w:r>
      <w:r>
        <w:rPr>
          <w:spacing w:val="-1"/>
        </w:rPr>
        <w:t>年</w:t>
      </w:r>
      <w:r>
        <w:rPr>
          <w:rFonts w:ascii="Times New Roman" w:hAnsi="Times New Roman" w:cs="Times New Roman" w:eastAsia="Times New Roman" w:hint="default"/>
          <w:spacing w:val="-1"/>
        </w:rPr>
        <w:t>1</w:t>
      </w:r>
      <w:r>
        <w:rPr>
          <w:spacing w:val="-1"/>
        </w:rPr>
        <w:t>月</w:t>
      </w:r>
      <w:r>
        <w:rPr>
          <w:rFonts w:ascii="Times New Roman" w:hAnsi="Times New Roman" w:cs="Times New Roman" w:eastAsia="Times New Roman" w:hint="default"/>
          <w:spacing w:val="-1"/>
        </w:rPr>
        <w:t>1</w:t>
      </w:r>
      <w:r>
        <w:rPr>
          <w:spacing w:val="-1"/>
        </w:rPr>
        <w:t>日起，年租金由为</w:t>
      </w:r>
      <w:r>
        <w:rPr>
          <w:rFonts w:ascii="Times New Roman" w:hAnsi="Times New Roman" w:cs="Times New Roman" w:eastAsia="Times New Roman" w:hint="default"/>
          <w:spacing w:val="-1"/>
        </w:rPr>
        <w:t>339</w:t>
      </w:r>
      <w:r>
        <w:rPr>
          <w:spacing w:val="-1"/>
        </w:rPr>
        <w:t>万元</w:t>
      </w:r>
      <w:r>
        <w:rPr>
          <w:rFonts w:ascii="Times New Roman" w:hAnsi="Times New Roman" w:cs="Times New Roman" w:eastAsia="Times New Roman" w:hint="default"/>
          <w:spacing w:val="-1"/>
        </w:rPr>
        <w:t>/</w:t>
      </w:r>
      <w:r>
        <w:rPr>
          <w:spacing w:val="-1"/>
        </w:rPr>
        <w:t>年调整为</w:t>
      </w:r>
      <w:r>
        <w:rPr>
          <w:rFonts w:ascii="Times New Roman" w:hAnsi="Times New Roman" w:cs="Times New Roman" w:eastAsia="Times New Roman" w:hint="default"/>
          <w:spacing w:val="-1"/>
        </w:rPr>
        <w:t>300</w:t>
      </w:r>
      <w:r>
        <w:rPr>
          <w:spacing w:val="-1"/>
        </w:rPr>
        <w:t>万元</w:t>
      </w:r>
      <w:r>
        <w:rPr>
          <w:rFonts w:ascii="Times New Roman" w:hAnsi="Times New Roman" w:cs="Times New Roman" w:eastAsia="Times New Roman" w:hint="default"/>
          <w:spacing w:val="-1"/>
        </w:rPr>
        <w:t>/</w:t>
      </w:r>
      <w:r>
        <w:rPr>
          <w:spacing w:val="-1"/>
        </w:rPr>
        <w:t>年，</w:t>
      </w:r>
      <w:r>
        <w:rPr>
          <w:rFonts w:ascii="Times New Roman" w:hAnsi="Times New Roman" w:cs="Times New Roman" w:eastAsia="Times New Roman" w:hint="default"/>
          <w:spacing w:val="-1"/>
        </w:rPr>
        <w:t>2019</w:t>
      </w:r>
      <w:r>
        <w:rPr>
          <w:spacing w:val="-1"/>
        </w:rPr>
        <w:t>年</w:t>
      </w:r>
      <w:r>
        <w:rPr>
          <w:rFonts w:ascii="Times New Roman" w:hAnsi="Times New Roman" w:cs="Times New Roman" w:eastAsia="Times New Roman" w:hint="default"/>
          <w:spacing w:val="-1"/>
        </w:rPr>
        <w:t>7</w:t>
      </w:r>
      <w:r>
        <w:rPr>
          <w:spacing w:val="-1"/>
        </w:rPr>
        <w:t>月</w:t>
      </w:r>
      <w:r>
        <w:rPr>
          <w:rFonts w:ascii="Times New Roman" w:hAnsi="Times New Roman" w:cs="Times New Roman" w:eastAsia="Times New Roman" w:hint="default"/>
          <w:spacing w:val="-1"/>
        </w:rPr>
        <w:t>1</w:t>
      </w:r>
      <w:r>
        <w:rPr>
          <w:spacing w:val="-1"/>
        </w:rPr>
        <w:t>日至</w:t>
      </w:r>
      <w:r>
        <w:rPr>
          <w:rFonts w:ascii="Times New Roman" w:hAnsi="Times New Roman" w:cs="Times New Roman" w:eastAsia="Times New Roman" w:hint="default"/>
          <w:spacing w:val="-1"/>
        </w:rPr>
        <w:t>2024</w:t>
      </w:r>
      <w:r>
        <w:rPr>
          <w:spacing w:val="-1"/>
        </w:rPr>
        <w:t>年</w:t>
      </w:r>
      <w:r>
        <w:rPr>
          <w:rFonts w:ascii="Times New Roman" w:hAnsi="Times New Roman" w:cs="Times New Roman" w:eastAsia="Times New Roman" w:hint="default"/>
          <w:spacing w:val="-1"/>
        </w:rPr>
        <w:t>7</w:t>
      </w:r>
      <w:r>
        <w:rPr>
          <w:rFonts w:ascii="Times New Roman" w:hAnsi="Times New Roman" w:cs="Times New Roman" w:eastAsia="Times New Roman" w:hint="default"/>
          <w:spacing w:val="-39"/>
        </w:rPr>
        <w:t> </w:t>
      </w:r>
      <w:r>
        <w:rPr>
          <w:spacing w:val="-6"/>
        </w:rPr>
        <w:t>月</w:t>
      </w:r>
      <w:r>
        <w:rPr>
          <w:rFonts w:ascii="Times New Roman" w:hAnsi="Times New Roman" w:cs="Times New Roman" w:eastAsia="Times New Roman" w:hint="default"/>
          <w:spacing w:val="-6"/>
        </w:rPr>
        <w:t>1</w:t>
      </w:r>
      <w:r>
        <w:rPr>
          <w:spacing w:val="-6"/>
        </w:rPr>
        <w:t>日，在此基础上递增</w:t>
      </w:r>
      <w:r>
        <w:rPr>
          <w:rFonts w:ascii="Times New Roman" w:hAnsi="Times New Roman" w:cs="Times New Roman" w:eastAsia="Times New Roman" w:hint="default"/>
          <w:spacing w:val="-6"/>
        </w:rPr>
        <w:t>5%</w:t>
      </w:r>
      <w:r>
        <w:rPr>
          <w:spacing w:val="-6"/>
        </w:rPr>
        <w:t>，为</w:t>
      </w:r>
      <w:r>
        <w:rPr>
          <w:rFonts w:ascii="Times New Roman" w:hAnsi="Times New Roman" w:cs="Times New Roman" w:eastAsia="Times New Roman" w:hint="default"/>
          <w:spacing w:val="-6"/>
        </w:rPr>
        <w:t>315</w:t>
      </w:r>
      <w:r>
        <w:rPr>
          <w:spacing w:val="-6"/>
        </w:rPr>
        <w:t>万元</w:t>
      </w:r>
      <w:r>
        <w:rPr>
          <w:rFonts w:ascii="Times New Roman" w:hAnsi="Times New Roman" w:cs="Times New Roman" w:eastAsia="Times New Roman" w:hint="default"/>
          <w:spacing w:val="-6"/>
        </w:rPr>
        <w:t>/</w:t>
      </w:r>
      <w:r>
        <w:rPr>
          <w:spacing w:val="-6"/>
        </w:rPr>
        <w:t>年；</w:t>
      </w:r>
      <w:r>
        <w:rPr>
          <w:rFonts w:ascii="Times New Roman" w:hAnsi="Times New Roman" w:cs="Times New Roman" w:eastAsia="Times New Roman" w:hint="default"/>
          <w:spacing w:val="-6"/>
        </w:rPr>
        <w:t>2024</w:t>
      </w:r>
      <w:r>
        <w:rPr>
          <w:spacing w:val="-6"/>
        </w:rPr>
        <w:t>年</w:t>
      </w:r>
      <w:r>
        <w:rPr>
          <w:rFonts w:ascii="Times New Roman" w:hAnsi="Times New Roman" w:cs="Times New Roman" w:eastAsia="Times New Roman" w:hint="default"/>
          <w:spacing w:val="-6"/>
        </w:rPr>
        <w:t>7</w:t>
      </w:r>
      <w:r>
        <w:rPr>
          <w:spacing w:val="-6"/>
        </w:rPr>
        <w:t>月</w:t>
      </w:r>
      <w:r>
        <w:rPr>
          <w:rFonts w:ascii="Times New Roman" w:hAnsi="Times New Roman" w:cs="Times New Roman" w:eastAsia="Times New Roman" w:hint="default"/>
          <w:spacing w:val="-6"/>
        </w:rPr>
        <w:t>1</w:t>
      </w:r>
      <w:r>
        <w:rPr>
          <w:spacing w:val="-6"/>
        </w:rPr>
        <w:t>日至</w:t>
      </w:r>
      <w:r>
        <w:rPr>
          <w:rFonts w:ascii="Times New Roman" w:hAnsi="Times New Roman" w:cs="Times New Roman" w:eastAsia="Times New Roman" w:hint="default"/>
          <w:spacing w:val="-6"/>
        </w:rPr>
        <w:t>2029</w:t>
      </w:r>
      <w:r>
        <w:rPr>
          <w:spacing w:val="-6"/>
        </w:rPr>
        <w:t>年</w:t>
      </w:r>
      <w:r>
        <w:rPr>
          <w:rFonts w:ascii="Times New Roman" w:hAnsi="Times New Roman" w:cs="Times New Roman" w:eastAsia="Times New Roman" w:hint="default"/>
          <w:spacing w:val="-6"/>
        </w:rPr>
        <w:t>12</w:t>
      </w:r>
      <w:r>
        <w:rPr>
          <w:spacing w:val="-6"/>
        </w:rPr>
        <w:t>月</w:t>
      </w:r>
      <w:r>
        <w:rPr>
          <w:rFonts w:ascii="Times New Roman" w:hAnsi="Times New Roman" w:cs="Times New Roman" w:eastAsia="Times New Roman" w:hint="default"/>
          <w:spacing w:val="-6"/>
        </w:rPr>
        <w:t>31</w:t>
      </w:r>
      <w:r>
        <w:rPr>
          <w:spacing w:val="-6"/>
        </w:rPr>
        <w:t>日，在</w:t>
      </w:r>
      <w:r>
        <w:rPr>
          <w:rFonts w:ascii="Times New Roman" w:hAnsi="Times New Roman" w:cs="Times New Roman" w:eastAsia="Times New Roman" w:hint="default"/>
          <w:spacing w:val="-6"/>
        </w:rPr>
        <w:t>351</w:t>
      </w:r>
      <w:r>
        <w:rPr>
          <w:spacing w:val="-6"/>
        </w:rPr>
        <w:t>万元</w:t>
      </w:r>
      <w:r>
        <w:rPr>
          <w:rFonts w:ascii="Times New Roman" w:hAnsi="Times New Roman" w:cs="Times New Roman" w:eastAsia="Times New Roman" w:hint="default"/>
          <w:spacing w:val="-6"/>
        </w:rPr>
        <w:t>/</w:t>
      </w:r>
      <w:r>
        <w:rPr>
          <w:spacing w:val="-6"/>
        </w:rPr>
        <w:t>年的基础上递增，</w:t>
      </w:r>
      <w:r>
        <w:rPr>
          <w:spacing w:val="-70"/>
        </w:rPr>
        <w:t> </w:t>
      </w:r>
      <w:r>
        <w:rPr>
          <w:spacing w:val="-70"/>
        </w:rPr>
      </w:r>
      <w:r>
        <w:rPr/>
        <w:t>上调</w:t>
      </w:r>
      <w:r>
        <w:rPr>
          <w:rFonts w:ascii="Times New Roman" w:hAnsi="Times New Roman" w:cs="Times New Roman" w:eastAsia="Times New Roman" w:hint="default"/>
        </w:rPr>
        <w:t>5%-10%</w:t>
      </w:r>
      <w:r>
        <w:rPr/>
        <w:t>，具体金额由双方友好协商确定。</w:t>
      </w:r>
    </w:p>
    <w:p>
      <w:pPr>
        <w:pStyle w:val="BodyText"/>
        <w:spacing w:line="386" w:lineRule="auto" w:before="36"/>
        <w:ind w:right="1130" w:firstLine="423"/>
        <w:jc w:val="both"/>
      </w:pPr>
      <w:r>
        <w:rPr>
          <w:rFonts w:ascii="Times New Roman" w:hAnsi="Times New Roman" w:cs="Times New Roman" w:eastAsia="Times New Roman" w:hint="default"/>
        </w:rPr>
        <w:t>2</w:t>
      </w:r>
      <w:r>
        <w:rPr/>
        <w:t>、经公司第三届董事会第七次会议及第三届监事会第六次会议审议通过，拟对目前郑州高新技术产 开发区迎春街</w:t>
      </w:r>
      <w:r>
        <w:rPr>
          <w:rFonts w:ascii="Times New Roman" w:hAnsi="Times New Roman" w:cs="Times New Roman" w:eastAsia="Times New Roman" w:hint="default"/>
        </w:rPr>
        <w:t>18</w:t>
      </w:r>
      <w:r>
        <w:rPr/>
        <w:t>号</w:t>
      </w:r>
      <w:r>
        <w:rPr>
          <w:rFonts w:ascii="Times New Roman" w:hAnsi="Times New Roman" w:cs="Times New Roman" w:eastAsia="Times New Roman" w:hint="default"/>
        </w:rPr>
        <w:t>1</w:t>
      </w:r>
      <w:r>
        <w:rPr/>
        <w:t>号楼临金梭路</w:t>
      </w:r>
      <w:r>
        <w:rPr>
          <w:rFonts w:ascii="Times New Roman" w:hAnsi="Times New Roman" w:cs="Times New Roman" w:eastAsia="Times New Roman" w:hint="default"/>
        </w:rPr>
        <w:t>1-2</w:t>
      </w:r>
      <w:r>
        <w:rPr/>
        <w:t>层（金梭路西、迎春街北），共计建筑面积</w:t>
      </w:r>
      <w:r>
        <w:rPr>
          <w:rFonts w:ascii="Times New Roman" w:hAnsi="Times New Roman" w:cs="Times New Roman" w:eastAsia="Times New Roman" w:hint="default"/>
        </w:rPr>
        <w:t>1,117.7</w:t>
      </w:r>
      <w:r>
        <w:rPr/>
        <w:t>平方米房屋对外出 租。董事会经审议授权总经理负责后续出租事宜。</w:t>
      </w:r>
      <w:r>
        <w:rPr>
          <w:rFonts w:ascii="Times New Roman" w:hAnsi="Times New Roman" w:cs="Times New Roman" w:eastAsia="Times New Roman" w:hint="default"/>
        </w:rPr>
        <w:t>2015</w:t>
      </w:r>
      <w:r>
        <w:rPr/>
        <w:t>年</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30</w:t>
      </w:r>
      <w:r>
        <w:rPr/>
        <w:t>日，公司与中信银行股份有限公司郑州分 </w:t>
      </w:r>
      <w:r>
        <w:rPr>
          <w:spacing w:val="-6"/>
        </w:rPr>
        <w:t>行签署《房屋租赁合同》，将前述房屋共计</w:t>
      </w:r>
      <w:r>
        <w:rPr>
          <w:rFonts w:ascii="Times New Roman" w:hAnsi="Times New Roman" w:cs="Times New Roman" w:eastAsia="Times New Roman" w:hint="default"/>
          <w:spacing w:val="-6"/>
        </w:rPr>
        <w:t>1,100</w:t>
      </w:r>
      <w:r>
        <w:rPr>
          <w:spacing w:val="-6"/>
        </w:rPr>
        <w:t>平方租赁给中信银行股份有限公司郑州分行。租赁期为</w:t>
      </w:r>
      <w:r>
        <w:rPr>
          <w:rFonts w:ascii="Times New Roman" w:hAnsi="Times New Roman" w:cs="Times New Roman" w:eastAsia="Times New Roman" w:hint="default"/>
          <w:spacing w:val="-6"/>
        </w:rPr>
        <w:t>2015</w:t>
      </w:r>
      <w:r>
        <w:rPr>
          <w:rFonts w:ascii="Times New Roman" w:hAnsi="Times New Roman" w:cs="Times New Roman" w:eastAsia="Times New Roman" w:hint="default"/>
          <w:spacing w:val="-29"/>
        </w:rPr>
        <w:t> </w:t>
      </w:r>
      <w:r>
        <w:rPr>
          <w:spacing w:val="-2"/>
        </w:rPr>
        <w:t>年</w:t>
      </w:r>
      <w:r>
        <w:rPr>
          <w:rFonts w:ascii="Times New Roman" w:hAnsi="Times New Roman" w:cs="Times New Roman" w:eastAsia="Times New Roman" w:hint="default"/>
          <w:spacing w:val="-2"/>
        </w:rPr>
        <w:t>5</w:t>
      </w:r>
      <w:r>
        <w:rPr>
          <w:spacing w:val="-2"/>
        </w:rPr>
        <w:t>月</w:t>
      </w:r>
      <w:r>
        <w:rPr>
          <w:rFonts w:ascii="Times New Roman" w:hAnsi="Times New Roman" w:cs="Times New Roman" w:eastAsia="Times New Roman" w:hint="default"/>
          <w:spacing w:val="-2"/>
        </w:rPr>
        <w:t>1</w:t>
      </w:r>
      <w:r>
        <w:rPr>
          <w:spacing w:val="-2"/>
        </w:rPr>
        <w:t>日至</w:t>
      </w:r>
      <w:r>
        <w:rPr>
          <w:rFonts w:ascii="Times New Roman" w:hAnsi="Times New Roman" w:cs="Times New Roman" w:eastAsia="Times New Roman" w:hint="default"/>
          <w:spacing w:val="-2"/>
        </w:rPr>
        <w:t>2025</w:t>
      </w:r>
      <w:r>
        <w:rPr>
          <w:spacing w:val="-2"/>
        </w:rPr>
        <w:t>年</w:t>
      </w:r>
      <w:r>
        <w:rPr>
          <w:rFonts w:ascii="Times New Roman" w:hAnsi="Times New Roman" w:cs="Times New Roman" w:eastAsia="Times New Roman" w:hint="default"/>
          <w:spacing w:val="-2"/>
        </w:rPr>
        <w:t>4</w:t>
      </w:r>
      <w:r>
        <w:rPr>
          <w:spacing w:val="-2"/>
        </w:rPr>
        <w:t>月</w:t>
      </w:r>
      <w:r>
        <w:rPr>
          <w:rFonts w:ascii="Times New Roman" w:hAnsi="Times New Roman" w:cs="Times New Roman" w:eastAsia="Times New Roman" w:hint="default"/>
          <w:spacing w:val="-2"/>
        </w:rPr>
        <w:t>30</w:t>
      </w:r>
      <w:r>
        <w:rPr>
          <w:spacing w:val="-2"/>
        </w:rPr>
        <w:t>日，租金价格：第</w:t>
      </w:r>
      <w:r>
        <w:rPr>
          <w:rFonts w:ascii="Times New Roman" w:hAnsi="Times New Roman" w:cs="Times New Roman" w:eastAsia="Times New Roman" w:hint="default"/>
          <w:spacing w:val="-2"/>
        </w:rPr>
        <w:t>1</w:t>
      </w:r>
      <w:r>
        <w:rPr>
          <w:spacing w:val="-2"/>
        </w:rPr>
        <w:t>年至第</w:t>
      </w:r>
      <w:r>
        <w:rPr>
          <w:rFonts w:ascii="Times New Roman" w:hAnsi="Times New Roman" w:cs="Times New Roman" w:eastAsia="Times New Roman" w:hint="default"/>
          <w:spacing w:val="-2"/>
        </w:rPr>
        <w:t>5</w:t>
      </w:r>
      <w:r>
        <w:rPr>
          <w:spacing w:val="-2"/>
        </w:rPr>
        <w:t>年，每年租金总额</w:t>
      </w:r>
      <w:r>
        <w:rPr>
          <w:rFonts w:ascii="Times New Roman" w:hAnsi="Times New Roman" w:cs="Times New Roman" w:eastAsia="Times New Roman" w:hint="default"/>
          <w:spacing w:val="-2"/>
        </w:rPr>
        <w:t>126.72</w:t>
      </w:r>
      <w:r>
        <w:rPr>
          <w:spacing w:val="-2"/>
        </w:rPr>
        <w:t>万元，第</w:t>
      </w:r>
      <w:r>
        <w:rPr>
          <w:rFonts w:ascii="Times New Roman" w:hAnsi="Times New Roman" w:cs="Times New Roman" w:eastAsia="Times New Roman" w:hint="default"/>
          <w:spacing w:val="-2"/>
        </w:rPr>
        <w:t>6</w:t>
      </w:r>
      <w:r>
        <w:rPr>
          <w:spacing w:val="-2"/>
        </w:rPr>
        <w:t>年至第</w:t>
      </w:r>
      <w:r>
        <w:rPr>
          <w:rFonts w:ascii="Times New Roman" w:hAnsi="Times New Roman" w:cs="Times New Roman" w:eastAsia="Times New Roman" w:hint="default"/>
          <w:spacing w:val="-2"/>
        </w:rPr>
        <w:t>8</w:t>
      </w:r>
      <w:r>
        <w:rPr>
          <w:spacing w:val="-2"/>
        </w:rPr>
        <w:t>年，每年租</w:t>
      </w:r>
      <w:r>
        <w:rPr>
          <w:spacing w:val="-80"/>
        </w:rPr>
        <w:t> </w:t>
      </w:r>
      <w:r>
        <w:rPr>
          <w:spacing w:val="-80"/>
        </w:rPr>
      </w:r>
      <w:r>
        <w:rPr/>
        <w:t>金总额</w:t>
      </w:r>
      <w:r>
        <w:rPr>
          <w:rFonts w:ascii="Times New Roman" w:hAnsi="Times New Roman" w:cs="Times New Roman" w:eastAsia="Times New Roman" w:hint="default"/>
        </w:rPr>
        <w:t>130.52</w:t>
      </w:r>
      <w:r>
        <w:rPr/>
        <w:t>万元，第</w:t>
      </w:r>
      <w:r>
        <w:rPr>
          <w:rFonts w:ascii="Times New Roman" w:hAnsi="Times New Roman" w:cs="Times New Roman" w:eastAsia="Times New Roman" w:hint="default"/>
        </w:rPr>
        <w:t>9</w:t>
      </w:r>
      <w:r>
        <w:rPr/>
        <w:t>年至第</w:t>
      </w:r>
      <w:r>
        <w:rPr>
          <w:rFonts w:ascii="Times New Roman" w:hAnsi="Times New Roman" w:cs="Times New Roman" w:eastAsia="Times New Roman" w:hint="default"/>
        </w:rPr>
        <w:t>10</w:t>
      </w:r>
      <w:r>
        <w:rPr/>
        <w:t>年，每年租金总额</w:t>
      </w:r>
      <w:r>
        <w:rPr>
          <w:rFonts w:ascii="Times New Roman" w:hAnsi="Times New Roman" w:cs="Times New Roman" w:eastAsia="Times New Roman" w:hint="default"/>
        </w:rPr>
        <w:t>134.43</w:t>
      </w:r>
      <w:r>
        <w:rPr/>
        <w:t>万元。</w:t>
      </w:r>
    </w:p>
    <w:p>
      <w:pPr>
        <w:spacing w:line="240" w:lineRule="auto" w:before="9"/>
        <w:rPr>
          <w:rFonts w:ascii="宋体" w:hAnsi="宋体" w:cs="宋体" w:eastAsia="宋体" w:hint="default"/>
          <w:sz w:val="25"/>
          <w:szCs w:val="25"/>
        </w:rPr>
      </w:pPr>
    </w:p>
    <w:p>
      <w:pPr>
        <w:spacing w:before="0"/>
        <w:ind w:left="154" w:right="0" w:firstLine="0"/>
        <w:jc w:val="both"/>
        <w:rPr>
          <w:rFonts w:ascii="宋体" w:hAnsi="宋体" w:cs="宋体" w:eastAsia="宋体" w:hint="default"/>
          <w:sz w:val="18"/>
          <w:szCs w:val="18"/>
        </w:rPr>
      </w:pPr>
      <w:r>
        <w:rPr>
          <w:rFonts w:ascii="宋体" w:hAnsi="宋体" w:cs="宋体" w:eastAsia="宋体" w:hint="default"/>
          <w:sz w:val="18"/>
          <w:szCs w:val="18"/>
        </w:rPr>
        <w:t>为公司带来的损益达到公司报告期利润总额</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宋体" w:hAnsi="宋体" w:cs="宋体" w:eastAsia="宋体" w:hint="default"/>
          <w:sz w:val="18"/>
          <w:szCs w:val="18"/>
        </w:rPr>
        <w:t>以上的项目</w:t>
      </w:r>
    </w:p>
    <w:p>
      <w:pPr>
        <w:spacing w:before="103"/>
        <w:ind w:left="154" w:right="0" w:firstLine="0"/>
        <w:jc w:val="both"/>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before="102"/>
        <w:ind w:left="154" w:right="0" w:firstLine="0"/>
        <w:jc w:val="both"/>
        <w:rPr>
          <w:rFonts w:ascii="宋体" w:hAnsi="宋体" w:cs="宋体" w:eastAsia="宋体" w:hint="default"/>
          <w:sz w:val="18"/>
          <w:szCs w:val="18"/>
        </w:rPr>
      </w:pPr>
      <w:r>
        <w:rPr>
          <w:rFonts w:ascii="宋体" w:hAnsi="宋体" w:cs="宋体" w:eastAsia="宋体" w:hint="default"/>
          <w:sz w:val="18"/>
          <w:szCs w:val="18"/>
        </w:rPr>
        <w:t>公司报告期不存在为公司带来的损益达到公司报告期利润总额</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w:t>
      </w:r>
      <w:r>
        <w:rPr>
          <w:rFonts w:ascii="宋体" w:hAnsi="宋体" w:cs="宋体" w:eastAsia="宋体" w:hint="default"/>
          <w:sz w:val="18"/>
          <w:szCs w:val="18"/>
        </w:rPr>
        <w:t>以上的租赁项目。</w:t>
      </w:r>
    </w:p>
    <w:p>
      <w:pPr>
        <w:spacing w:line="240" w:lineRule="auto" w:before="9"/>
        <w:rPr>
          <w:rFonts w:ascii="宋体" w:hAnsi="宋体" w:cs="宋体" w:eastAsia="宋体" w:hint="default"/>
          <w:sz w:val="25"/>
          <w:szCs w:val="25"/>
        </w:rPr>
      </w:pPr>
    </w:p>
    <w:p>
      <w:pPr>
        <w:pStyle w:val="Heading4"/>
        <w:spacing w:line="240" w:lineRule="auto"/>
        <w:ind w:right="0"/>
        <w:jc w:val="both"/>
        <w:rPr>
          <w:b w:val="0"/>
          <w:bCs w:val="0"/>
        </w:rPr>
      </w:pPr>
      <w:bookmarkStart w:name="2、重大担保" w:id="89"/>
      <w:bookmarkEnd w:id="89"/>
      <w:r>
        <w:rPr>
          <w:b w:val="0"/>
          <w:bCs w:val="0"/>
        </w:rPr>
      </w:r>
      <w:r>
        <w:rPr>
          <w:rFonts w:ascii="Times New Roman" w:hAnsi="Times New Roman" w:cs="Times New Roman" w:eastAsia="Times New Roman" w:hint="default"/>
        </w:rPr>
        <w:t>2</w:t>
      </w:r>
      <w:r>
        <w:rPr/>
        <w:t>、重大担保</w:t>
      </w:r>
      <w:r>
        <w:rPr>
          <w:b w:val="0"/>
          <w:bCs w:val="0"/>
        </w:rPr>
      </w:r>
    </w:p>
    <w:p>
      <w:pPr>
        <w:spacing w:line="240" w:lineRule="auto" w:before="9"/>
        <w:rPr>
          <w:rFonts w:ascii="宋体" w:hAnsi="宋体" w:cs="宋体" w:eastAsia="宋体" w:hint="default"/>
          <w:b/>
          <w:bCs/>
          <w:sz w:val="26"/>
          <w:szCs w:val="26"/>
        </w:rPr>
      </w:pPr>
    </w:p>
    <w:p>
      <w:pPr>
        <w:spacing w:before="0"/>
        <w:ind w:left="154" w:right="0" w:firstLine="0"/>
        <w:jc w:val="both"/>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9"/>
        <w:rPr>
          <w:rFonts w:ascii="宋体" w:hAnsi="宋体" w:cs="宋体" w:eastAsia="宋体" w:hint="default"/>
          <w:sz w:val="25"/>
          <w:szCs w:val="25"/>
        </w:rPr>
      </w:pPr>
    </w:p>
    <w:p>
      <w:pPr>
        <w:pStyle w:val="Heading4"/>
        <w:spacing w:line="240" w:lineRule="auto"/>
        <w:ind w:right="0"/>
        <w:jc w:val="both"/>
        <w:rPr>
          <w:b w:val="0"/>
          <w:bCs w:val="0"/>
        </w:rPr>
      </w:pPr>
      <w:bookmarkStart w:name="（1）担保情况" w:id="90"/>
      <w:bookmarkEnd w:id="90"/>
      <w:r>
        <w:rPr>
          <w:b w:val="0"/>
          <w:bCs w:val="0"/>
        </w:rPr>
      </w:r>
      <w:r>
        <w:rPr/>
        <w:t>（</w:t>
      </w:r>
      <w:r>
        <w:rPr>
          <w:rFonts w:ascii="Times New Roman" w:hAnsi="Times New Roman" w:cs="Times New Roman" w:eastAsia="Times New Roman" w:hint="default"/>
        </w:rPr>
        <w:t>1</w:t>
      </w:r>
      <w:r>
        <w:rPr/>
        <w:t>）担保情况</w:t>
      </w:r>
      <w:r>
        <w:rPr>
          <w:b w:val="0"/>
          <w:bCs w:val="0"/>
        </w:rPr>
      </w:r>
    </w:p>
    <w:p>
      <w:pPr>
        <w:spacing w:line="240" w:lineRule="auto" w:before="9"/>
        <w:rPr>
          <w:rFonts w:ascii="宋体" w:hAnsi="宋体" w:cs="宋体" w:eastAsia="宋体" w:hint="default"/>
          <w:b/>
          <w:bCs/>
          <w:sz w:val="26"/>
          <w:szCs w:val="26"/>
        </w:rPr>
      </w:pPr>
    </w:p>
    <w:p>
      <w:pPr>
        <w:spacing w:before="0"/>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单位：万元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709"/>
        <w:gridCol w:w="926"/>
        <w:gridCol w:w="924"/>
        <w:gridCol w:w="1296"/>
        <w:gridCol w:w="1063"/>
        <w:gridCol w:w="1034"/>
        <w:gridCol w:w="1049"/>
        <w:gridCol w:w="792"/>
        <w:gridCol w:w="780"/>
      </w:tblGrid>
      <w:tr>
        <w:trPr>
          <w:trHeight w:val="402" w:hRule="exact"/>
        </w:trPr>
        <w:tc>
          <w:tcPr>
            <w:tcW w:w="9575"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531" w:right="0"/>
              <w:jc w:val="left"/>
              <w:rPr>
                <w:rFonts w:ascii="宋体" w:hAnsi="宋体" w:cs="宋体" w:eastAsia="宋体" w:hint="default"/>
                <w:sz w:val="18"/>
                <w:szCs w:val="18"/>
              </w:rPr>
            </w:pPr>
            <w:r>
              <w:rPr>
                <w:rFonts w:ascii="宋体" w:hAnsi="宋体" w:cs="宋体" w:eastAsia="宋体" w:hint="default"/>
                <w:sz w:val="18"/>
                <w:szCs w:val="18"/>
              </w:rPr>
              <w:t>公司及其子公司对外担保情况（不包括对子公司的担保）</w:t>
            </w:r>
          </w:p>
        </w:tc>
      </w:tr>
      <w:tr>
        <w:trPr>
          <w:trHeight w:val="1025" w:hRule="exact"/>
        </w:trPr>
        <w:tc>
          <w:tcPr>
            <w:tcW w:w="17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担保对象名称</w:t>
            </w:r>
          </w:p>
        </w:tc>
        <w:tc>
          <w:tcPr>
            <w:tcW w:w="9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99" w:right="95"/>
              <w:jc w:val="both"/>
              <w:rPr>
                <w:rFonts w:ascii="宋体" w:hAnsi="宋体" w:cs="宋体" w:eastAsia="宋体" w:hint="default"/>
                <w:sz w:val="18"/>
                <w:szCs w:val="18"/>
              </w:rPr>
            </w:pPr>
            <w:r>
              <w:rPr>
                <w:rFonts w:ascii="宋体" w:hAnsi="宋体" w:cs="宋体" w:eastAsia="宋体" w:hint="default"/>
                <w:sz w:val="18"/>
                <w:szCs w:val="18"/>
              </w:rPr>
              <w:t>担保额度 相关公告 披露日期</w:t>
            </w:r>
          </w:p>
        </w:tc>
        <w:tc>
          <w:tcPr>
            <w:tcW w:w="9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98" w:right="0"/>
              <w:jc w:val="left"/>
              <w:rPr>
                <w:rFonts w:ascii="宋体" w:hAnsi="宋体" w:cs="宋体" w:eastAsia="宋体" w:hint="default"/>
                <w:sz w:val="18"/>
                <w:szCs w:val="18"/>
              </w:rPr>
            </w:pPr>
            <w:r>
              <w:rPr>
                <w:rFonts w:ascii="宋体" w:hAnsi="宋体" w:cs="宋体" w:eastAsia="宋体" w:hint="default"/>
                <w:sz w:val="18"/>
                <w:szCs w:val="18"/>
              </w:rPr>
              <w:t>担保额度</w:t>
            </w:r>
          </w:p>
        </w:tc>
        <w:tc>
          <w:tcPr>
            <w:tcW w:w="12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实际发生日期</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435" w:right="77" w:hanging="360"/>
              <w:jc w:val="left"/>
              <w:rPr>
                <w:rFonts w:ascii="宋体" w:hAnsi="宋体" w:cs="宋体" w:eastAsia="宋体" w:hint="default"/>
                <w:sz w:val="18"/>
                <w:szCs w:val="18"/>
              </w:rPr>
            </w:pPr>
            <w:r>
              <w:rPr>
                <w:rFonts w:ascii="宋体" w:hAnsi="宋体" w:cs="宋体" w:eastAsia="宋体" w:hint="default"/>
                <w:sz w:val="18"/>
                <w:szCs w:val="18"/>
              </w:rPr>
              <w:t>实际担保金 额</w:t>
            </w:r>
          </w:p>
        </w:tc>
        <w:tc>
          <w:tcPr>
            <w:tcW w:w="10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150"/>
              <w:jc w:val="right"/>
              <w:rPr>
                <w:rFonts w:ascii="宋体" w:hAnsi="宋体" w:cs="宋体" w:eastAsia="宋体" w:hint="default"/>
                <w:sz w:val="18"/>
                <w:szCs w:val="18"/>
              </w:rPr>
            </w:pPr>
            <w:r>
              <w:rPr>
                <w:rFonts w:ascii="宋体" w:hAnsi="宋体" w:cs="宋体" w:eastAsia="宋体" w:hint="default"/>
                <w:sz w:val="18"/>
                <w:szCs w:val="18"/>
              </w:rPr>
              <w:t>担保类型</w:t>
            </w:r>
          </w:p>
        </w:tc>
        <w:tc>
          <w:tcPr>
            <w:tcW w:w="104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 w:right="0"/>
              <w:jc w:val="center"/>
              <w:rPr>
                <w:rFonts w:ascii="宋体" w:hAnsi="宋体" w:cs="宋体" w:eastAsia="宋体" w:hint="default"/>
                <w:sz w:val="18"/>
                <w:szCs w:val="18"/>
              </w:rPr>
            </w:pPr>
            <w:r>
              <w:rPr>
                <w:rFonts w:ascii="宋体" w:hAnsi="宋体" w:cs="宋体" w:eastAsia="宋体" w:hint="default"/>
                <w:sz w:val="18"/>
                <w:szCs w:val="18"/>
              </w:rPr>
              <w:t>担保期</w:t>
            </w:r>
          </w:p>
        </w:tc>
        <w:tc>
          <w:tcPr>
            <w:tcW w:w="7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212" w:right="29" w:hanging="180"/>
              <w:jc w:val="left"/>
              <w:rPr>
                <w:rFonts w:ascii="宋体" w:hAnsi="宋体" w:cs="宋体" w:eastAsia="宋体" w:hint="default"/>
                <w:sz w:val="18"/>
                <w:szCs w:val="18"/>
              </w:rPr>
            </w:pPr>
            <w:r>
              <w:rPr>
                <w:rFonts w:ascii="宋体" w:hAnsi="宋体" w:cs="宋体" w:eastAsia="宋体" w:hint="default"/>
                <w:sz w:val="18"/>
                <w:szCs w:val="18"/>
              </w:rPr>
              <w:t>是否履行 完毕</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25" w:right="23"/>
              <w:jc w:val="left"/>
              <w:rPr>
                <w:rFonts w:ascii="宋体" w:hAnsi="宋体" w:cs="宋体" w:eastAsia="宋体" w:hint="default"/>
                <w:sz w:val="18"/>
                <w:szCs w:val="18"/>
              </w:rPr>
            </w:pPr>
            <w:r>
              <w:rPr>
                <w:rFonts w:ascii="宋体" w:hAnsi="宋体" w:cs="宋体" w:eastAsia="宋体" w:hint="default"/>
                <w:sz w:val="18"/>
                <w:szCs w:val="18"/>
              </w:rPr>
              <w:t>是否为关 联方担保</w:t>
            </w:r>
          </w:p>
        </w:tc>
      </w:tr>
      <w:tr>
        <w:trPr>
          <w:trHeight w:val="1026" w:hRule="exact"/>
        </w:trPr>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22" w:right="54"/>
              <w:jc w:val="left"/>
              <w:rPr>
                <w:rFonts w:ascii="宋体" w:hAnsi="宋体" w:cs="宋体" w:eastAsia="宋体" w:hint="default"/>
                <w:sz w:val="18"/>
                <w:szCs w:val="18"/>
              </w:rPr>
            </w:pPr>
            <w:r>
              <w:rPr>
                <w:rFonts w:ascii="宋体" w:hAnsi="宋体" w:cs="宋体" w:eastAsia="宋体" w:hint="default"/>
                <w:sz w:val="18"/>
                <w:szCs w:val="18"/>
              </w:rPr>
              <w:t>北京希嘉创智教育科 技有限公司</w:t>
            </w: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03</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800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17</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800</w:t>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22" w:right="101"/>
              <w:jc w:val="left"/>
              <w:rPr>
                <w:rFonts w:ascii="宋体" w:hAnsi="宋体" w:cs="宋体" w:eastAsia="宋体" w:hint="default"/>
                <w:sz w:val="18"/>
                <w:szCs w:val="18"/>
              </w:rPr>
            </w:pPr>
            <w:r>
              <w:rPr>
                <w:rFonts w:ascii="宋体" w:hAnsi="宋体" w:cs="宋体" w:eastAsia="宋体" w:hint="default"/>
                <w:sz w:val="18"/>
                <w:szCs w:val="18"/>
              </w:rPr>
              <w:t>连带责任保 证</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114"/>
              <w:jc w:val="both"/>
              <w:rPr>
                <w:rFonts w:ascii="宋体" w:hAnsi="宋体" w:cs="宋体" w:eastAsia="宋体" w:hint="default"/>
                <w:sz w:val="18"/>
                <w:szCs w:val="18"/>
              </w:rPr>
            </w:pPr>
            <w:r>
              <w:rPr>
                <w:rFonts w:ascii="宋体" w:hAnsi="宋体" w:cs="宋体" w:eastAsia="宋体" w:hint="default"/>
                <w:sz w:val="18"/>
                <w:szCs w:val="18"/>
              </w:rPr>
              <w:t>主债务履行 期限届满之 日起三年</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6"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5" w:hRule="exact"/>
        </w:trPr>
        <w:tc>
          <w:tcPr>
            <w:tcW w:w="2636"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2"/>
              <w:ind w:left="22" w:right="81"/>
              <w:jc w:val="left"/>
              <w:rPr>
                <w:rFonts w:ascii="宋体" w:hAnsi="宋体" w:cs="宋体" w:eastAsia="宋体" w:hint="default"/>
                <w:sz w:val="18"/>
                <w:szCs w:val="18"/>
              </w:rPr>
            </w:pPr>
            <w:r>
              <w:rPr>
                <w:rFonts w:ascii="宋体" w:hAnsi="宋体" w:cs="宋体" w:eastAsia="宋体" w:hint="default"/>
                <w:sz w:val="18"/>
                <w:szCs w:val="18"/>
              </w:rPr>
              <w:t>报告期内审批的对外担保额度合 计（</w:t>
            </w:r>
            <w:r>
              <w:rPr>
                <w:rFonts w:ascii="Times New Roman" w:hAnsi="Times New Roman" w:cs="Times New Roman" w:eastAsia="Times New Roman" w:hint="default"/>
                <w:sz w:val="18"/>
                <w:szCs w:val="18"/>
              </w:rPr>
              <w:t>A1</w:t>
            </w:r>
            <w:r>
              <w:rPr>
                <w:rFonts w:ascii="宋体" w:hAnsi="宋体" w:cs="宋体" w:eastAsia="宋体" w:hint="default"/>
                <w:sz w:val="18"/>
                <w:szCs w:val="18"/>
              </w:rPr>
              <w:t>）</w:t>
            </w:r>
          </w:p>
        </w:tc>
        <w:tc>
          <w:tcPr>
            <w:tcW w:w="2220" w:type="dxa"/>
            <w:gridSpan w:val="2"/>
            <w:tcBorders>
              <w:top w:val="single" w:sz="4" w:space="0" w:color="000000"/>
              <w:left w:val="single" w:sz="9" w:space="0" w:color="D9D9D9"/>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800</w:t>
            </w:r>
          </w:p>
        </w:tc>
        <w:tc>
          <w:tcPr>
            <w:tcW w:w="2098"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2"/>
              <w:ind w:left="22" w:right="83"/>
              <w:jc w:val="left"/>
              <w:rPr>
                <w:rFonts w:ascii="宋体" w:hAnsi="宋体" w:cs="宋体" w:eastAsia="宋体" w:hint="default"/>
                <w:sz w:val="18"/>
                <w:szCs w:val="18"/>
              </w:rPr>
            </w:pPr>
            <w:r>
              <w:rPr>
                <w:rFonts w:ascii="宋体" w:hAnsi="宋体" w:cs="宋体" w:eastAsia="宋体" w:hint="default"/>
                <w:sz w:val="18"/>
                <w:szCs w:val="18"/>
              </w:rPr>
              <w:t>报告期内对外担保实际发 生额合计（</w:t>
            </w:r>
            <w:r>
              <w:rPr>
                <w:rFonts w:ascii="Times New Roman" w:hAnsi="Times New Roman" w:cs="Times New Roman" w:eastAsia="Times New Roman" w:hint="default"/>
                <w:sz w:val="18"/>
                <w:szCs w:val="18"/>
              </w:rPr>
              <w:t>A2</w:t>
            </w:r>
            <w:r>
              <w:rPr>
                <w:rFonts w:ascii="宋体" w:hAnsi="宋体" w:cs="宋体" w:eastAsia="宋体" w:hint="default"/>
                <w:sz w:val="18"/>
                <w:szCs w:val="18"/>
              </w:rPr>
              <w:t>）</w:t>
            </w:r>
          </w:p>
        </w:tc>
        <w:tc>
          <w:tcPr>
            <w:tcW w:w="2621"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800</w:t>
            </w:r>
          </w:p>
        </w:tc>
      </w:tr>
      <w:tr>
        <w:trPr>
          <w:trHeight w:val="719" w:hRule="exact"/>
        </w:trPr>
        <w:tc>
          <w:tcPr>
            <w:tcW w:w="2636"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2"/>
              <w:ind w:left="22" w:right="81"/>
              <w:jc w:val="left"/>
              <w:rPr>
                <w:rFonts w:ascii="宋体" w:hAnsi="宋体" w:cs="宋体" w:eastAsia="宋体" w:hint="default"/>
                <w:sz w:val="18"/>
                <w:szCs w:val="18"/>
              </w:rPr>
            </w:pPr>
            <w:r>
              <w:rPr>
                <w:rFonts w:ascii="宋体" w:hAnsi="宋体" w:cs="宋体" w:eastAsia="宋体" w:hint="default"/>
                <w:sz w:val="18"/>
                <w:szCs w:val="18"/>
              </w:rPr>
              <w:t>报告期末已审批的对外担保额度 合计（</w:t>
            </w:r>
            <w:r>
              <w:rPr>
                <w:rFonts w:ascii="Times New Roman" w:hAnsi="Times New Roman" w:cs="Times New Roman" w:eastAsia="Times New Roman" w:hint="default"/>
                <w:sz w:val="18"/>
                <w:szCs w:val="18"/>
              </w:rPr>
              <w:t>A3</w:t>
            </w:r>
            <w:r>
              <w:rPr>
                <w:rFonts w:ascii="宋体" w:hAnsi="宋体" w:cs="宋体" w:eastAsia="宋体" w:hint="default"/>
                <w:sz w:val="18"/>
                <w:szCs w:val="18"/>
              </w:rPr>
              <w:t>）</w:t>
            </w:r>
          </w:p>
        </w:tc>
        <w:tc>
          <w:tcPr>
            <w:tcW w:w="2220" w:type="dxa"/>
            <w:gridSpan w:val="2"/>
            <w:tcBorders>
              <w:top w:val="single" w:sz="4" w:space="0" w:color="000000"/>
              <w:left w:val="single" w:sz="9" w:space="0" w:color="D9D9D9"/>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800</w:t>
            </w:r>
          </w:p>
        </w:tc>
        <w:tc>
          <w:tcPr>
            <w:tcW w:w="2098"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2"/>
              <w:ind w:left="22" w:right="83"/>
              <w:jc w:val="left"/>
              <w:rPr>
                <w:rFonts w:ascii="宋体" w:hAnsi="宋体" w:cs="宋体" w:eastAsia="宋体" w:hint="default"/>
                <w:sz w:val="18"/>
                <w:szCs w:val="18"/>
              </w:rPr>
            </w:pPr>
            <w:r>
              <w:rPr>
                <w:rFonts w:ascii="宋体" w:hAnsi="宋体" w:cs="宋体" w:eastAsia="宋体" w:hint="default"/>
                <w:sz w:val="18"/>
                <w:szCs w:val="18"/>
              </w:rPr>
              <w:t>报告期末实际对外担保余 额合计（</w:t>
            </w:r>
            <w:r>
              <w:rPr>
                <w:rFonts w:ascii="Times New Roman" w:hAnsi="Times New Roman" w:cs="Times New Roman" w:eastAsia="Times New Roman" w:hint="default"/>
                <w:sz w:val="18"/>
                <w:szCs w:val="18"/>
              </w:rPr>
              <w:t>A4</w:t>
            </w:r>
            <w:r>
              <w:rPr>
                <w:rFonts w:ascii="宋体" w:hAnsi="宋体" w:cs="宋体" w:eastAsia="宋体" w:hint="default"/>
                <w:sz w:val="18"/>
                <w:szCs w:val="18"/>
              </w:rPr>
              <w:t>）</w:t>
            </w:r>
          </w:p>
        </w:tc>
        <w:tc>
          <w:tcPr>
            <w:tcW w:w="2621"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800</w:t>
            </w:r>
          </w:p>
        </w:tc>
      </w:tr>
      <w:tr>
        <w:trPr>
          <w:trHeight w:val="397" w:hRule="exact"/>
        </w:trPr>
        <w:tc>
          <w:tcPr>
            <w:tcW w:w="9575"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right="1"/>
              <w:jc w:val="center"/>
              <w:rPr>
                <w:rFonts w:ascii="宋体" w:hAnsi="宋体" w:cs="宋体" w:eastAsia="宋体" w:hint="default"/>
                <w:sz w:val="18"/>
                <w:szCs w:val="18"/>
              </w:rPr>
            </w:pPr>
            <w:r>
              <w:rPr>
                <w:rFonts w:ascii="宋体" w:hAnsi="宋体" w:cs="宋体" w:eastAsia="宋体" w:hint="default"/>
                <w:sz w:val="18"/>
                <w:szCs w:val="18"/>
              </w:rPr>
              <w:t>公司对子公司的担保情况</w:t>
            </w:r>
          </w:p>
        </w:tc>
      </w:tr>
      <w:tr>
        <w:trPr>
          <w:trHeight w:val="1026" w:hRule="exact"/>
        </w:trPr>
        <w:tc>
          <w:tcPr>
            <w:tcW w:w="17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0"/>
              <w:jc w:val="center"/>
              <w:rPr>
                <w:rFonts w:ascii="宋体" w:hAnsi="宋体" w:cs="宋体" w:eastAsia="宋体" w:hint="default"/>
                <w:sz w:val="18"/>
                <w:szCs w:val="18"/>
              </w:rPr>
            </w:pPr>
            <w:r>
              <w:rPr>
                <w:rFonts w:ascii="宋体" w:hAnsi="宋体" w:cs="宋体" w:eastAsia="宋体" w:hint="default"/>
                <w:sz w:val="18"/>
                <w:szCs w:val="18"/>
              </w:rPr>
              <w:t>担保对象名称</w:t>
            </w:r>
          </w:p>
        </w:tc>
        <w:tc>
          <w:tcPr>
            <w:tcW w:w="9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96" w:right="98"/>
              <w:jc w:val="both"/>
              <w:rPr>
                <w:rFonts w:ascii="宋体" w:hAnsi="宋体" w:cs="宋体" w:eastAsia="宋体" w:hint="default"/>
                <w:sz w:val="18"/>
                <w:szCs w:val="18"/>
              </w:rPr>
            </w:pPr>
            <w:r>
              <w:rPr>
                <w:rFonts w:ascii="宋体" w:hAnsi="宋体" w:cs="宋体" w:eastAsia="宋体" w:hint="default"/>
                <w:sz w:val="18"/>
                <w:szCs w:val="18"/>
              </w:rPr>
              <w:t>担保额度 相关公告 披露日期</w:t>
            </w:r>
          </w:p>
        </w:tc>
        <w:tc>
          <w:tcPr>
            <w:tcW w:w="9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96" w:right="0"/>
              <w:jc w:val="left"/>
              <w:rPr>
                <w:rFonts w:ascii="宋体" w:hAnsi="宋体" w:cs="宋体" w:eastAsia="宋体" w:hint="default"/>
                <w:sz w:val="18"/>
                <w:szCs w:val="18"/>
              </w:rPr>
            </w:pPr>
            <w:r>
              <w:rPr>
                <w:rFonts w:ascii="宋体" w:hAnsi="宋体" w:cs="宋体" w:eastAsia="宋体" w:hint="default"/>
                <w:sz w:val="18"/>
                <w:szCs w:val="18"/>
              </w:rPr>
              <w:t>担保额度</w:t>
            </w:r>
          </w:p>
        </w:tc>
        <w:tc>
          <w:tcPr>
            <w:tcW w:w="12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0"/>
              <w:jc w:val="center"/>
              <w:rPr>
                <w:rFonts w:ascii="宋体" w:hAnsi="宋体" w:cs="宋体" w:eastAsia="宋体" w:hint="default"/>
                <w:sz w:val="18"/>
                <w:szCs w:val="18"/>
              </w:rPr>
            </w:pPr>
            <w:r>
              <w:rPr>
                <w:rFonts w:ascii="宋体" w:hAnsi="宋体" w:cs="宋体" w:eastAsia="宋体" w:hint="default"/>
                <w:sz w:val="18"/>
                <w:szCs w:val="18"/>
              </w:rPr>
              <w:t>实际发生日期</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435" w:right="77" w:hanging="360"/>
              <w:jc w:val="left"/>
              <w:rPr>
                <w:rFonts w:ascii="宋体" w:hAnsi="宋体" w:cs="宋体" w:eastAsia="宋体" w:hint="default"/>
                <w:sz w:val="18"/>
                <w:szCs w:val="18"/>
              </w:rPr>
            </w:pPr>
            <w:r>
              <w:rPr>
                <w:rFonts w:ascii="宋体" w:hAnsi="宋体" w:cs="宋体" w:eastAsia="宋体" w:hint="default"/>
                <w:sz w:val="18"/>
                <w:szCs w:val="18"/>
              </w:rPr>
              <w:t>实际担保金 额</w:t>
            </w:r>
          </w:p>
        </w:tc>
        <w:tc>
          <w:tcPr>
            <w:tcW w:w="10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50"/>
              <w:jc w:val="right"/>
              <w:rPr>
                <w:rFonts w:ascii="宋体" w:hAnsi="宋体" w:cs="宋体" w:eastAsia="宋体" w:hint="default"/>
                <w:sz w:val="18"/>
                <w:szCs w:val="18"/>
              </w:rPr>
            </w:pPr>
            <w:r>
              <w:rPr>
                <w:rFonts w:ascii="宋体" w:hAnsi="宋体" w:cs="宋体" w:eastAsia="宋体" w:hint="default"/>
                <w:sz w:val="18"/>
                <w:szCs w:val="18"/>
              </w:rPr>
              <w:t>担保类型</w:t>
            </w:r>
          </w:p>
        </w:tc>
        <w:tc>
          <w:tcPr>
            <w:tcW w:w="104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2"/>
              <w:jc w:val="center"/>
              <w:rPr>
                <w:rFonts w:ascii="宋体" w:hAnsi="宋体" w:cs="宋体" w:eastAsia="宋体" w:hint="default"/>
                <w:sz w:val="18"/>
                <w:szCs w:val="18"/>
              </w:rPr>
            </w:pPr>
            <w:r>
              <w:rPr>
                <w:rFonts w:ascii="宋体" w:hAnsi="宋体" w:cs="宋体" w:eastAsia="宋体" w:hint="default"/>
                <w:sz w:val="18"/>
                <w:szCs w:val="18"/>
              </w:rPr>
              <w:t>担保期</w:t>
            </w:r>
          </w:p>
        </w:tc>
        <w:tc>
          <w:tcPr>
            <w:tcW w:w="7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208" w:right="31" w:hanging="180"/>
              <w:jc w:val="left"/>
              <w:rPr>
                <w:rFonts w:ascii="宋体" w:hAnsi="宋体" w:cs="宋体" w:eastAsia="宋体" w:hint="default"/>
                <w:sz w:val="18"/>
                <w:szCs w:val="18"/>
              </w:rPr>
            </w:pPr>
            <w:r>
              <w:rPr>
                <w:rFonts w:ascii="宋体" w:hAnsi="宋体" w:cs="宋体" w:eastAsia="宋体" w:hint="default"/>
                <w:sz w:val="18"/>
                <w:szCs w:val="18"/>
              </w:rPr>
              <w:t>是否履行 完毕</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25" w:right="23"/>
              <w:jc w:val="left"/>
              <w:rPr>
                <w:rFonts w:ascii="宋体" w:hAnsi="宋体" w:cs="宋体" w:eastAsia="宋体" w:hint="default"/>
                <w:sz w:val="18"/>
                <w:szCs w:val="18"/>
              </w:rPr>
            </w:pPr>
            <w:r>
              <w:rPr>
                <w:rFonts w:ascii="宋体" w:hAnsi="宋体" w:cs="宋体" w:eastAsia="宋体" w:hint="default"/>
                <w:sz w:val="18"/>
                <w:szCs w:val="18"/>
              </w:rPr>
              <w:t>是否为关 联方担保</w:t>
            </w:r>
          </w:p>
        </w:tc>
      </w:tr>
      <w:tr>
        <w:trPr>
          <w:trHeight w:val="403" w:hRule="exact"/>
        </w:trPr>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33"/>
              <w:jc w:val="center"/>
              <w:rPr>
                <w:rFonts w:ascii="宋体" w:hAnsi="宋体" w:cs="宋体" w:eastAsia="宋体" w:hint="default"/>
                <w:sz w:val="18"/>
                <w:szCs w:val="18"/>
              </w:rPr>
            </w:pPr>
            <w:r>
              <w:rPr>
                <w:rFonts w:ascii="宋体" w:hAnsi="宋体" w:cs="宋体" w:eastAsia="宋体" w:hint="default"/>
                <w:sz w:val="18"/>
                <w:szCs w:val="18"/>
              </w:rPr>
              <w:t>上海树维信息科技有</w:t>
            </w: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08</w:t>
            </w:r>
          </w:p>
        </w:tc>
        <w:tc>
          <w:tcPr>
            <w:tcW w:w="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800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14</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z w:val="18"/>
              </w:rPr>
              <w:t>800</w:t>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01"/>
              <w:jc w:val="right"/>
              <w:rPr>
                <w:rFonts w:ascii="宋体" w:hAnsi="宋体" w:cs="宋体" w:eastAsia="宋体" w:hint="default"/>
                <w:sz w:val="18"/>
                <w:szCs w:val="18"/>
              </w:rPr>
            </w:pPr>
            <w:r>
              <w:rPr>
                <w:rFonts w:ascii="宋体" w:hAnsi="宋体" w:cs="宋体" w:eastAsia="宋体" w:hint="default"/>
                <w:sz w:val="18"/>
                <w:szCs w:val="18"/>
              </w:rPr>
              <w:t>连带责任保</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92"/>
              <w:jc w:val="center"/>
              <w:rPr>
                <w:rFonts w:ascii="宋体" w:hAnsi="宋体" w:cs="宋体" w:eastAsia="宋体" w:hint="default"/>
                <w:sz w:val="18"/>
                <w:szCs w:val="18"/>
              </w:rPr>
            </w:pPr>
            <w:r>
              <w:rPr>
                <w:rFonts w:ascii="宋体" w:hAnsi="宋体" w:cs="宋体" w:eastAsia="宋体" w:hint="default"/>
                <w:sz w:val="18"/>
                <w:szCs w:val="18"/>
              </w:rPr>
              <w:t>主债务履行</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9"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是</w:t>
            </w:r>
          </w:p>
        </w:tc>
      </w:tr>
    </w:tbl>
    <w:p>
      <w:pPr>
        <w:spacing w:after="0" w:line="240" w:lineRule="auto"/>
        <w:jc w:val="left"/>
        <w:rPr>
          <w:rFonts w:ascii="宋体" w:hAnsi="宋体" w:cs="宋体" w:eastAsia="宋体" w:hint="default"/>
          <w:sz w:val="18"/>
          <w:szCs w:val="18"/>
        </w:rPr>
        <w:sectPr>
          <w:pgSz w:w="11910" w:h="16840"/>
          <w:pgMar w:header="877" w:footer="979" w:top="1100" w:bottom="1160" w:left="980" w:right="0"/>
        </w:sectPr>
      </w:pPr>
    </w:p>
    <w:p>
      <w:pPr>
        <w:spacing w:line="240" w:lineRule="auto" w:before="6"/>
        <w:rPr>
          <w:rFonts w:ascii="宋体" w:hAnsi="宋体" w:cs="宋体" w:eastAsia="宋体" w:hint="default"/>
          <w:sz w:val="24"/>
          <w:szCs w:val="24"/>
        </w:rPr>
      </w:pPr>
    </w:p>
    <w:tbl>
      <w:tblPr>
        <w:tblW w:w="0" w:type="auto"/>
        <w:jc w:val="left"/>
        <w:tblInd w:w="149" w:type="dxa"/>
        <w:tblLayout w:type="fixed"/>
        <w:tblCellMar>
          <w:top w:w="0" w:type="dxa"/>
          <w:left w:w="0" w:type="dxa"/>
          <w:bottom w:w="0" w:type="dxa"/>
          <w:right w:w="0" w:type="dxa"/>
        </w:tblCellMar>
        <w:tblLook w:val="01E0"/>
      </w:tblPr>
      <w:tblGrid>
        <w:gridCol w:w="1715"/>
        <w:gridCol w:w="904"/>
        <w:gridCol w:w="933"/>
        <w:gridCol w:w="1307"/>
        <w:gridCol w:w="1045"/>
        <w:gridCol w:w="1042"/>
        <w:gridCol w:w="1059"/>
        <w:gridCol w:w="785"/>
        <w:gridCol w:w="785"/>
      </w:tblGrid>
      <w:tr>
        <w:trPr>
          <w:trHeight w:val="674" w:hRule="exact"/>
        </w:trPr>
        <w:tc>
          <w:tcPr>
            <w:tcW w:w="17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限公司</w:t>
            </w:r>
          </w:p>
        </w:tc>
        <w:tc>
          <w:tcPr>
            <w:tcW w:w="9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7"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33" w:type="dxa"/>
            <w:tcBorders>
              <w:top w:val="single" w:sz="4" w:space="0" w:color="000000"/>
              <w:left w:val="single" w:sz="4" w:space="0" w:color="000000"/>
              <w:bottom w:val="single" w:sz="4" w:space="0" w:color="000000"/>
              <w:right w:val="single" w:sz="4" w:space="0" w:color="000000"/>
            </w:tcBorders>
          </w:tcPr>
          <w:p>
            <w:pPr/>
          </w:p>
        </w:tc>
        <w:tc>
          <w:tcPr>
            <w:tcW w:w="13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31"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045" w:type="dxa"/>
            <w:tcBorders>
              <w:top w:val="single" w:sz="4" w:space="0" w:color="000000"/>
              <w:left w:val="single" w:sz="4" w:space="0" w:color="000000"/>
              <w:bottom w:val="single" w:sz="4" w:space="0" w:color="000000"/>
              <w:right w:val="single" w:sz="4" w:space="0" w:color="000000"/>
            </w:tcBorders>
          </w:tcPr>
          <w:p>
            <w:pPr/>
          </w:p>
        </w:tc>
        <w:tc>
          <w:tcPr>
            <w:tcW w:w="10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38" w:right="0"/>
              <w:jc w:val="left"/>
              <w:rPr>
                <w:rFonts w:ascii="宋体" w:hAnsi="宋体" w:cs="宋体" w:eastAsia="宋体" w:hint="default"/>
                <w:sz w:val="18"/>
                <w:szCs w:val="18"/>
              </w:rPr>
            </w:pPr>
            <w:r>
              <w:rPr>
                <w:rFonts w:ascii="宋体" w:hAnsi="宋体" w:cs="宋体" w:eastAsia="宋体" w:hint="default"/>
                <w:sz w:val="18"/>
                <w:szCs w:val="18"/>
              </w:rPr>
              <w:t>证</w:t>
            </w:r>
          </w:p>
        </w:tc>
        <w:tc>
          <w:tcPr>
            <w:tcW w:w="1059"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30" w:right="116"/>
              <w:jc w:val="left"/>
              <w:rPr>
                <w:rFonts w:ascii="宋体" w:hAnsi="宋体" w:cs="宋体" w:eastAsia="宋体" w:hint="default"/>
                <w:sz w:val="18"/>
                <w:szCs w:val="18"/>
              </w:rPr>
            </w:pPr>
            <w:r>
              <w:rPr>
                <w:rFonts w:ascii="宋体" w:hAnsi="宋体" w:cs="宋体" w:eastAsia="宋体" w:hint="default"/>
                <w:sz w:val="18"/>
                <w:szCs w:val="18"/>
              </w:rPr>
              <w:t>期限届满之 日起两年</w:t>
            </w:r>
          </w:p>
        </w:tc>
        <w:tc>
          <w:tcPr>
            <w:tcW w:w="785" w:type="dxa"/>
            <w:tcBorders>
              <w:top w:val="single" w:sz="4" w:space="0" w:color="000000"/>
              <w:left w:val="single" w:sz="4" w:space="0" w:color="000000"/>
              <w:bottom w:val="single" w:sz="4" w:space="0" w:color="000000"/>
              <w:right w:val="single" w:sz="4" w:space="0" w:color="000000"/>
            </w:tcBorders>
          </w:tcPr>
          <w:p>
            <w:pPr/>
          </w:p>
        </w:tc>
        <w:tc>
          <w:tcPr>
            <w:tcW w:w="785"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61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65"/>
              <w:jc w:val="left"/>
              <w:rPr>
                <w:rFonts w:ascii="宋体" w:hAnsi="宋体" w:cs="宋体" w:eastAsia="宋体" w:hint="default"/>
                <w:sz w:val="18"/>
                <w:szCs w:val="18"/>
              </w:rPr>
            </w:pPr>
            <w:r>
              <w:rPr>
                <w:rFonts w:ascii="宋体" w:hAnsi="宋体" w:cs="宋体" w:eastAsia="宋体" w:hint="default"/>
                <w:sz w:val="18"/>
                <w:szCs w:val="18"/>
              </w:rPr>
              <w:t>报告期内审批对子公司担保额度 合计（</w:t>
            </w:r>
            <w:r>
              <w:rPr>
                <w:rFonts w:ascii="Times New Roman" w:hAnsi="Times New Roman" w:cs="Times New Roman" w:eastAsia="Times New Roman" w:hint="default"/>
                <w:sz w:val="18"/>
                <w:szCs w:val="18"/>
              </w:rPr>
              <w:t>B1</w:t>
            </w:r>
            <w:r>
              <w:rPr>
                <w:rFonts w:ascii="宋体" w:hAnsi="宋体" w:cs="宋体" w:eastAsia="宋体" w:hint="default"/>
                <w:sz w:val="18"/>
                <w:szCs w:val="18"/>
              </w:rPr>
              <w:t>）</w:t>
            </w:r>
          </w:p>
        </w:tc>
        <w:tc>
          <w:tcPr>
            <w:tcW w:w="2240" w:type="dxa"/>
            <w:gridSpan w:val="2"/>
            <w:tcBorders>
              <w:top w:val="single" w:sz="4" w:space="0" w:color="000000"/>
              <w:left w:val="single" w:sz="13" w:space="0" w:color="D2D2D2"/>
              <w:bottom w:val="single" w:sz="4" w:space="0" w:color="000000"/>
              <w:right w:val="single" w:sz="9" w:space="0" w:color="D2D2D2"/>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800</w:t>
            </w:r>
          </w:p>
        </w:tc>
        <w:tc>
          <w:tcPr>
            <w:tcW w:w="2087"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0" w:right="75"/>
              <w:jc w:val="left"/>
              <w:rPr>
                <w:rFonts w:ascii="宋体" w:hAnsi="宋体" w:cs="宋体" w:eastAsia="宋体" w:hint="default"/>
                <w:sz w:val="18"/>
                <w:szCs w:val="18"/>
              </w:rPr>
            </w:pPr>
            <w:r>
              <w:rPr>
                <w:rFonts w:ascii="宋体" w:hAnsi="宋体" w:cs="宋体" w:eastAsia="宋体" w:hint="default"/>
                <w:sz w:val="18"/>
                <w:szCs w:val="18"/>
              </w:rPr>
              <w:t>报告期内对子公司担保实 际发生额合计（</w:t>
            </w:r>
            <w:r>
              <w:rPr>
                <w:rFonts w:ascii="Times New Roman" w:hAnsi="Times New Roman" w:cs="Times New Roman" w:eastAsia="Times New Roman" w:hint="default"/>
                <w:sz w:val="18"/>
                <w:szCs w:val="18"/>
              </w:rPr>
              <w:t>B2</w:t>
            </w:r>
            <w:r>
              <w:rPr>
                <w:rFonts w:ascii="宋体" w:hAnsi="宋体" w:cs="宋体" w:eastAsia="宋体" w:hint="default"/>
                <w:sz w:val="18"/>
                <w:szCs w:val="18"/>
              </w:rPr>
              <w:t>）</w:t>
            </w:r>
          </w:p>
        </w:tc>
        <w:tc>
          <w:tcPr>
            <w:tcW w:w="2629" w:type="dxa"/>
            <w:gridSpan w:val="3"/>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800</w:t>
            </w:r>
          </w:p>
        </w:tc>
      </w:tr>
      <w:tr>
        <w:trPr>
          <w:trHeight w:val="719" w:hRule="exact"/>
        </w:trPr>
        <w:tc>
          <w:tcPr>
            <w:tcW w:w="261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65"/>
              <w:jc w:val="left"/>
              <w:rPr>
                <w:rFonts w:ascii="宋体" w:hAnsi="宋体" w:cs="宋体" w:eastAsia="宋体" w:hint="default"/>
                <w:sz w:val="18"/>
                <w:szCs w:val="18"/>
              </w:rPr>
            </w:pPr>
            <w:r>
              <w:rPr>
                <w:rFonts w:ascii="宋体" w:hAnsi="宋体" w:cs="宋体" w:eastAsia="宋体" w:hint="default"/>
                <w:sz w:val="18"/>
                <w:szCs w:val="18"/>
              </w:rPr>
              <w:t>报告期末已审批的对子公司担保 额度合计（</w:t>
            </w:r>
            <w:r>
              <w:rPr>
                <w:rFonts w:ascii="Times New Roman" w:hAnsi="Times New Roman" w:cs="Times New Roman" w:eastAsia="Times New Roman" w:hint="default"/>
                <w:sz w:val="18"/>
                <w:szCs w:val="18"/>
              </w:rPr>
              <w:t>B3</w:t>
            </w:r>
            <w:r>
              <w:rPr>
                <w:rFonts w:ascii="宋体" w:hAnsi="宋体" w:cs="宋体" w:eastAsia="宋体" w:hint="default"/>
                <w:sz w:val="18"/>
                <w:szCs w:val="18"/>
              </w:rPr>
              <w:t>）</w:t>
            </w:r>
          </w:p>
        </w:tc>
        <w:tc>
          <w:tcPr>
            <w:tcW w:w="2240" w:type="dxa"/>
            <w:gridSpan w:val="2"/>
            <w:tcBorders>
              <w:top w:val="single" w:sz="4" w:space="0" w:color="000000"/>
              <w:left w:val="single" w:sz="13" w:space="0" w:color="D2D2D2"/>
              <w:bottom w:val="single" w:sz="4" w:space="0" w:color="000000"/>
              <w:right w:val="single" w:sz="9" w:space="0" w:color="D2D2D2"/>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800</w:t>
            </w:r>
          </w:p>
        </w:tc>
        <w:tc>
          <w:tcPr>
            <w:tcW w:w="2087"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0" w:right="75"/>
              <w:jc w:val="left"/>
              <w:rPr>
                <w:rFonts w:ascii="宋体" w:hAnsi="宋体" w:cs="宋体" w:eastAsia="宋体" w:hint="default"/>
                <w:sz w:val="18"/>
                <w:szCs w:val="18"/>
              </w:rPr>
            </w:pPr>
            <w:r>
              <w:rPr>
                <w:rFonts w:ascii="宋体" w:hAnsi="宋体" w:cs="宋体" w:eastAsia="宋体" w:hint="default"/>
                <w:sz w:val="18"/>
                <w:szCs w:val="18"/>
              </w:rPr>
              <w:t>报告期末对子公司实际担 保余额合计（</w:t>
            </w:r>
            <w:r>
              <w:rPr>
                <w:rFonts w:ascii="Times New Roman" w:hAnsi="Times New Roman" w:cs="Times New Roman" w:eastAsia="Times New Roman" w:hint="default"/>
                <w:sz w:val="18"/>
                <w:szCs w:val="18"/>
              </w:rPr>
              <w:t>B4</w:t>
            </w:r>
            <w:r>
              <w:rPr>
                <w:rFonts w:ascii="宋体" w:hAnsi="宋体" w:cs="宋体" w:eastAsia="宋体" w:hint="default"/>
                <w:sz w:val="18"/>
                <w:szCs w:val="18"/>
              </w:rPr>
              <w:t>）</w:t>
            </w:r>
          </w:p>
        </w:tc>
        <w:tc>
          <w:tcPr>
            <w:tcW w:w="2629" w:type="dxa"/>
            <w:gridSpan w:val="3"/>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800</w:t>
            </w:r>
          </w:p>
        </w:tc>
      </w:tr>
      <w:tr>
        <w:trPr>
          <w:trHeight w:val="392" w:hRule="exact"/>
        </w:trPr>
        <w:tc>
          <w:tcPr>
            <w:tcW w:w="9575"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right="0"/>
              <w:jc w:val="center"/>
              <w:rPr>
                <w:rFonts w:ascii="宋体" w:hAnsi="宋体" w:cs="宋体" w:eastAsia="宋体" w:hint="default"/>
                <w:sz w:val="18"/>
                <w:szCs w:val="18"/>
              </w:rPr>
            </w:pPr>
            <w:r>
              <w:rPr>
                <w:rFonts w:ascii="宋体" w:hAnsi="宋体" w:cs="宋体" w:eastAsia="宋体" w:hint="default"/>
                <w:sz w:val="18"/>
                <w:szCs w:val="18"/>
              </w:rPr>
              <w:t>子公司对子公司的担保情况</w:t>
            </w:r>
          </w:p>
        </w:tc>
      </w:tr>
      <w:tr>
        <w:trPr>
          <w:trHeight w:val="166" w:hRule="exact"/>
        </w:trPr>
        <w:tc>
          <w:tcPr>
            <w:tcW w:w="1715" w:type="dxa"/>
            <w:vMerge w:val="restart"/>
            <w:tcBorders>
              <w:top w:val="single" w:sz="4" w:space="0" w:color="000000"/>
              <w:left w:val="single" w:sz="4" w:space="0" w:color="000000"/>
              <w:right w:val="single" w:sz="4" w:space="0" w:color="000000"/>
            </w:tcBorders>
            <w:shd w:val="clear" w:color="auto" w:fill="D2D2D2"/>
          </w:tcPr>
          <w:p>
            <w:pPr/>
          </w:p>
        </w:tc>
        <w:tc>
          <w:tcPr>
            <w:tcW w:w="904"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6"/>
              <w:ind w:left="86" w:right="85"/>
              <w:jc w:val="both"/>
              <w:rPr>
                <w:rFonts w:ascii="宋体" w:hAnsi="宋体" w:cs="宋体" w:eastAsia="宋体" w:hint="default"/>
                <w:sz w:val="18"/>
                <w:szCs w:val="18"/>
              </w:rPr>
            </w:pPr>
            <w:r>
              <w:rPr>
                <w:rFonts w:ascii="宋体" w:hAnsi="宋体" w:cs="宋体" w:eastAsia="宋体" w:hint="default"/>
                <w:sz w:val="18"/>
                <w:szCs w:val="18"/>
              </w:rPr>
              <w:t>担保额度 相关公告 披露日期</w:t>
            </w:r>
          </w:p>
        </w:tc>
        <w:tc>
          <w:tcPr>
            <w:tcW w:w="933" w:type="dxa"/>
            <w:vMerge w:val="restart"/>
            <w:tcBorders>
              <w:top w:val="single" w:sz="4" w:space="0" w:color="000000"/>
              <w:left w:val="single" w:sz="4" w:space="0" w:color="000000"/>
              <w:right w:val="single" w:sz="4" w:space="0" w:color="000000"/>
            </w:tcBorders>
            <w:shd w:val="clear" w:color="auto" w:fill="D2D2D2"/>
          </w:tcPr>
          <w:p>
            <w:pPr/>
          </w:p>
        </w:tc>
        <w:tc>
          <w:tcPr>
            <w:tcW w:w="1307" w:type="dxa"/>
            <w:vMerge w:val="restart"/>
            <w:tcBorders>
              <w:top w:val="single" w:sz="4" w:space="0" w:color="000000"/>
              <w:left w:val="single" w:sz="4" w:space="0" w:color="000000"/>
              <w:right w:val="single" w:sz="4" w:space="0" w:color="000000"/>
            </w:tcBorders>
            <w:shd w:val="clear" w:color="auto" w:fill="D2D2D2"/>
          </w:tcPr>
          <w:p>
            <w:pPr/>
          </w:p>
        </w:tc>
        <w:tc>
          <w:tcPr>
            <w:tcW w:w="1045" w:type="dxa"/>
            <w:tcBorders>
              <w:top w:val="single" w:sz="4" w:space="0" w:color="000000"/>
              <w:left w:val="single" w:sz="4" w:space="0" w:color="000000"/>
              <w:bottom w:val="nil" w:sz="6" w:space="0" w:color="auto"/>
              <w:right w:val="single" w:sz="4" w:space="0" w:color="000000"/>
            </w:tcBorders>
            <w:shd w:val="clear" w:color="auto" w:fill="D2D2D2"/>
          </w:tcPr>
          <w:p>
            <w:pPr/>
          </w:p>
        </w:tc>
        <w:tc>
          <w:tcPr>
            <w:tcW w:w="1042" w:type="dxa"/>
            <w:vMerge w:val="restart"/>
            <w:tcBorders>
              <w:top w:val="single" w:sz="4" w:space="0" w:color="000000"/>
              <w:left w:val="single" w:sz="4" w:space="0" w:color="000000"/>
              <w:right w:val="single" w:sz="4" w:space="0" w:color="000000"/>
            </w:tcBorders>
            <w:shd w:val="clear" w:color="auto" w:fill="D2D2D2"/>
          </w:tcPr>
          <w:p>
            <w:pPr/>
          </w:p>
        </w:tc>
        <w:tc>
          <w:tcPr>
            <w:tcW w:w="1059" w:type="dxa"/>
            <w:vMerge w:val="restart"/>
            <w:tcBorders>
              <w:top w:val="single" w:sz="4" w:space="0" w:color="000000"/>
              <w:left w:val="single" w:sz="4" w:space="0" w:color="000000"/>
              <w:right w:val="single" w:sz="4" w:space="0" w:color="000000"/>
            </w:tcBorders>
            <w:shd w:val="clear" w:color="auto" w:fill="D2D2D2"/>
          </w:tcPr>
          <w:p>
            <w:pPr/>
          </w:p>
        </w:tc>
        <w:tc>
          <w:tcPr>
            <w:tcW w:w="785" w:type="dxa"/>
            <w:tcBorders>
              <w:top w:val="single" w:sz="4" w:space="0" w:color="000000"/>
              <w:left w:val="single" w:sz="4" w:space="0" w:color="000000"/>
              <w:bottom w:val="nil" w:sz="6" w:space="0" w:color="auto"/>
              <w:right w:val="single" w:sz="4" w:space="0" w:color="000000"/>
            </w:tcBorders>
            <w:shd w:val="clear" w:color="auto" w:fill="D2D2D2"/>
          </w:tcPr>
          <w:p>
            <w:pPr/>
          </w:p>
        </w:tc>
        <w:tc>
          <w:tcPr>
            <w:tcW w:w="785"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56" w:hRule="exact"/>
        </w:trPr>
        <w:tc>
          <w:tcPr>
            <w:tcW w:w="1715" w:type="dxa"/>
            <w:vMerge/>
            <w:tcBorders>
              <w:left w:val="single" w:sz="4" w:space="0" w:color="000000"/>
              <w:bottom w:val="nil" w:sz="6" w:space="0" w:color="auto"/>
              <w:right w:val="single" w:sz="4" w:space="0" w:color="000000"/>
            </w:tcBorders>
            <w:shd w:val="clear" w:color="auto" w:fill="D2D2D2"/>
          </w:tcPr>
          <w:p>
            <w:pPr/>
          </w:p>
        </w:tc>
        <w:tc>
          <w:tcPr>
            <w:tcW w:w="904" w:type="dxa"/>
            <w:vMerge/>
            <w:tcBorders>
              <w:left w:val="single" w:sz="4" w:space="0" w:color="000000"/>
              <w:right w:val="single" w:sz="4" w:space="0" w:color="000000"/>
            </w:tcBorders>
            <w:shd w:val="clear" w:color="auto" w:fill="D2D2D2"/>
          </w:tcPr>
          <w:p>
            <w:pPr/>
          </w:p>
        </w:tc>
        <w:tc>
          <w:tcPr>
            <w:tcW w:w="933" w:type="dxa"/>
            <w:vMerge/>
            <w:tcBorders>
              <w:left w:val="single" w:sz="4" w:space="0" w:color="000000"/>
              <w:bottom w:val="nil" w:sz="6" w:space="0" w:color="auto"/>
              <w:right w:val="single" w:sz="4" w:space="0" w:color="000000"/>
            </w:tcBorders>
            <w:shd w:val="clear" w:color="auto" w:fill="D2D2D2"/>
          </w:tcPr>
          <w:p>
            <w:pPr/>
          </w:p>
        </w:tc>
        <w:tc>
          <w:tcPr>
            <w:tcW w:w="1307" w:type="dxa"/>
            <w:vMerge/>
            <w:tcBorders>
              <w:left w:val="single" w:sz="4" w:space="0" w:color="000000"/>
              <w:bottom w:val="nil" w:sz="6" w:space="0" w:color="auto"/>
              <w:right w:val="single" w:sz="4" w:space="0" w:color="000000"/>
            </w:tcBorders>
            <w:shd w:val="clear" w:color="auto" w:fill="D2D2D2"/>
          </w:tcPr>
          <w:p>
            <w:pPr/>
          </w:p>
        </w:tc>
        <w:tc>
          <w:tcPr>
            <w:tcW w:w="1045"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423" w:right="71" w:hanging="360"/>
              <w:jc w:val="left"/>
              <w:rPr>
                <w:rFonts w:ascii="宋体" w:hAnsi="宋体" w:cs="宋体" w:eastAsia="宋体" w:hint="default"/>
                <w:sz w:val="18"/>
                <w:szCs w:val="18"/>
              </w:rPr>
            </w:pPr>
            <w:r>
              <w:rPr>
                <w:rFonts w:ascii="宋体" w:hAnsi="宋体" w:cs="宋体" w:eastAsia="宋体" w:hint="default"/>
                <w:sz w:val="18"/>
                <w:szCs w:val="18"/>
              </w:rPr>
              <w:t>实际担保金 额</w:t>
            </w:r>
          </w:p>
        </w:tc>
        <w:tc>
          <w:tcPr>
            <w:tcW w:w="1042" w:type="dxa"/>
            <w:vMerge/>
            <w:tcBorders>
              <w:left w:val="single" w:sz="4" w:space="0" w:color="000000"/>
              <w:bottom w:val="nil" w:sz="6" w:space="0" w:color="auto"/>
              <w:right w:val="single" w:sz="4" w:space="0" w:color="000000"/>
            </w:tcBorders>
            <w:shd w:val="clear" w:color="auto" w:fill="D2D2D2"/>
          </w:tcPr>
          <w:p>
            <w:pPr/>
          </w:p>
        </w:tc>
        <w:tc>
          <w:tcPr>
            <w:tcW w:w="1059" w:type="dxa"/>
            <w:vMerge/>
            <w:tcBorders>
              <w:left w:val="single" w:sz="4" w:space="0" w:color="000000"/>
              <w:bottom w:val="nil" w:sz="6" w:space="0" w:color="auto"/>
              <w:right w:val="single" w:sz="4" w:space="0" w:color="000000"/>
            </w:tcBorders>
            <w:shd w:val="clear" w:color="auto" w:fill="D2D2D2"/>
          </w:tcPr>
          <w:p>
            <w:pPr/>
          </w:p>
        </w:tc>
        <w:tc>
          <w:tcPr>
            <w:tcW w:w="785"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201" w:right="31" w:hanging="180"/>
              <w:jc w:val="left"/>
              <w:rPr>
                <w:rFonts w:ascii="宋体" w:hAnsi="宋体" w:cs="宋体" w:eastAsia="宋体" w:hint="default"/>
                <w:sz w:val="18"/>
                <w:szCs w:val="18"/>
              </w:rPr>
            </w:pPr>
            <w:r>
              <w:rPr>
                <w:rFonts w:ascii="宋体" w:hAnsi="宋体" w:cs="宋体" w:eastAsia="宋体" w:hint="default"/>
                <w:sz w:val="18"/>
                <w:szCs w:val="18"/>
              </w:rPr>
              <w:t>是否履行 完毕</w:t>
            </w:r>
          </w:p>
        </w:tc>
        <w:tc>
          <w:tcPr>
            <w:tcW w:w="785"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24" w:right="29"/>
              <w:jc w:val="left"/>
              <w:rPr>
                <w:rFonts w:ascii="宋体" w:hAnsi="宋体" w:cs="宋体" w:eastAsia="宋体" w:hint="default"/>
                <w:sz w:val="18"/>
                <w:szCs w:val="18"/>
              </w:rPr>
            </w:pPr>
            <w:r>
              <w:rPr>
                <w:rFonts w:ascii="宋体" w:hAnsi="宋体" w:cs="宋体" w:eastAsia="宋体" w:hint="default"/>
                <w:sz w:val="18"/>
                <w:szCs w:val="18"/>
              </w:rPr>
              <w:t>是否为关 联方担保</w:t>
            </w:r>
          </w:p>
        </w:tc>
      </w:tr>
      <w:tr>
        <w:trPr>
          <w:trHeight w:val="392" w:hRule="exact"/>
        </w:trPr>
        <w:tc>
          <w:tcPr>
            <w:tcW w:w="171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308" w:right="0"/>
              <w:jc w:val="left"/>
              <w:rPr>
                <w:rFonts w:ascii="宋体" w:hAnsi="宋体" w:cs="宋体" w:eastAsia="宋体" w:hint="default"/>
                <w:sz w:val="18"/>
                <w:szCs w:val="18"/>
              </w:rPr>
            </w:pPr>
            <w:r>
              <w:rPr>
                <w:rFonts w:ascii="宋体" w:hAnsi="宋体" w:cs="宋体" w:eastAsia="宋体" w:hint="default"/>
                <w:sz w:val="18"/>
                <w:szCs w:val="18"/>
              </w:rPr>
              <w:t>担保对象名称</w:t>
            </w:r>
          </w:p>
        </w:tc>
        <w:tc>
          <w:tcPr>
            <w:tcW w:w="904" w:type="dxa"/>
            <w:vMerge/>
            <w:tcBorders>
              <w:left w:val="single" w:sz="4" w:space="0" w:color="000000"/>
              <w:right w:val="single" w:sz="4" w:space="0" w:color="000000"/>
            </w:tcBorders>
            <w:shd w:val="clear" w:color="auto" w:fill="D2D2D2"/>
          </w:tcPr>
          <w:p>
            <w:pPr/>
          </w:p>
        </w:tc>
        <w:tc>
          <w:tcPr>
            <w:tcW w:w="93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担保额度</w:t>
            </w:r>
          </w:p>
        </w:tc>
        <w:tc>
          <w:tcPr>
            <w:tcW w:w="130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实际发生日期</w:t>
            </w:r>
          </w:p>
        </w:tc>
        <w:tc>
          <w:tcPr>
            <w:tcW w:w="1045" w:type="dxa"/>
            <w:vMerge/>
            <w:tcBorders>
              <w:left w:val="single" w:sz="4" w:space="0" w:color="000000"/>
              <w:right w:val="single" w:sz="4" w:space="0" w:color="000000"/>
            </w:tcBorders>
            <w:shd w:val="clear" w:color="auto" w:fill="D2D2D2"/>
          </w:tcPr>
          <w:p>
            <w:pPr/>
          </w:p>
        </w:tc>
        <w:tc>
          <w:tcPr>
            <w:tcW w:w="104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58" w:right="0"/>
              <w:jc w:val="left"/>
              <w:rPr>
                <w:rFonts w:ascii="宋体" w:hAnsi="宋体" w:cs="宋体" w:eastAsia="宋体" w:hint="default"/>
                <w:sz w:val="18"/>
                <w:szCs w:val="18"/>
              </w:rPr>
            </w:pPr>
            <w:r>
              <w:rPr>
                <w:rFonts w:ascii="宋体" w:hAnsi="宋体" w:cs="宋体" w:eastAsia="宋体" w:hint="default"/>
                <w:sz w:val="18"/>
                <w:szCs w:val="18"/>
              </w:rPr>
              <w:t>担保类型</w:t>
            </w:r>
          </w:p>
        </w:tc>
        <w:tc>
          <w:tcPr>
            <w:tcW w:w="105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255" w:right="0"/>
              <w:jc w:val="left"/>
              <w:rPr>
                <w:rFonts w:ascii="宋体" w:hAnsi="宋体" w:cs="宋体" w:eastAsia="宋体" w:hint="default"/>
                <w:sz w:val="18"/>
                <w:szCs w:val="18"/>
              </w:rPr>
            </w:pPr>
            <w:r>
              <w:rPr>
                <w:rFonts w:ascii="宋体" w:hAnsi="宋体" w:cs="宋体" w:eastAsia="宋体" w:hint="default"/>
                <w:sz w:val="18"/>
                <w:szCs w:val="18"/>
              </w:rPr>
              <w:t>担保期</w:t>
            </w:r>
          </w:p>
        </w:tc>
        <w:tc>
          <w:tcPr>
            <w:tcW w:w="785" w:type="dxa"/>
            <w:vMerge/>
            <w:tcBorders>
              <w:left w:val="single" w:sz="4" w:space="0" w:color="000000"/>
              <w:right w:val="single" w:sz="4" w:space="0" w:color="000000"/>
            </w:tcBorders>
            <w:shd w:val="clear" w:color="auto" w:fill="D2D2D2"/>
          </w:tcPr>
          <w:p>
            <w:pPr/>
          </w:p>
        </w:tc>
        <w:tc>
          <w:tcPr>
            <w:tcW w:w="785" w:type="dxa"/>
            <w:vMerge/>
            <w:tcBorders>
              <w:left w:val="single" w:sz="4" w:space="0" w:color="000000"/>
              <w:right w:val="single" w:sz="4" w:space="0" w:color="000000"/>
            </w:tcBorders>
            <w:shd w:val="clear" w:color="auto" w:fill="D2D2D2"/>
          </w:tcPr>
          <w:p>
            <w:pPr/>
          </w:p>
        </w:tc>
      </w:tr>
      <w:tr>
        <w:trPr>
          <w:trHeight w:val="156" w:hRule="exact"/>
        </w:trPr>
        <w:tc>
          <w:tcPr>
            <w:tcW w:w="1715" w:type="dxa"/>
            <w:vMerge w:val="restart"/>
            <w:tcBorders>
              <w:top w:val="nil" w:sz="6" w:space="0" w:color="auto"/>
              <w:left w:val="single" w:sz="4" w:space="0" w:color="000000"/>
              <w:right w:val="single" w:sz="4" w:space="0" w:color="000000"/>
            </w:tcBorders>
            <w:shd w:val="clear" w:color="auto" w:fill="D2D2D2"/>
          </w:tcPr>
          <w:p>
            <w:pPr/>
          </w:p>
        </w:tc>
        <w:tc>
          <w:tcPr>
            <w:tcW w:w="904" w:type="dxa"/>
            <w:vMerge/>
            <w:tcBorders>
              <w:left w:val="single" w:sz="4" w:space="0" w:color="000000"/>
              <w:right w:val="single" w:sz="4" w:space="0" w:color="000000"/>
            </w:tcBorders>
            <w:shd w:val="clear" w:color="auto" w:fill="D2D2D2"/>
          </w:tcPr>
          <w:p>
            <w:pPr/>
          </w:p>
        </w:tc>
        <w:tc>
          <w:tcPr>
            <w:tcW w:w="933" w:type="dxa"/>
            <w:vMerge w:val="restart"/>
            <w:tcBorders>
              <w:top w:val="nil" w:sz="6" w:space="0" w:color="auto"/>
              <w:left w:val="single" w:sz="4" w:space="0" w:color="000000"/>
              <w:right w:val="single" w:sz="4" w:space="0" w:color="000000"/>
            </w:tcBorders>
            <w:shd w:val="clear" w:color="auto" w:fill="D2D2D2"/>
          </w:tcPr>
          <w:p>
            <w:pPr/>
          </w:p>
        </w:tc>
        <w:tc>
          <w:tcPr>
            <w:tcW w:w="1307" w:type="dxa"/>
            <w:vMerge w:val="restart"/>
            <w:tcBorders>
              <w:top w:val="nil" w:sz="6" w:space="0" w:color="auto"/>
              <w:left w:val="single" w:sz="4" w:space="0" w:color="000000"/>
              <w:right w:val="single" w:sz="4" w:space="0" w:color="000000"/>
            </w:tcBorders>
            <w:shd w:val="clear" w:color="auto" w:fill="D2D2D2"/>
          </w:tcPr>
          <w:p>
            <w:pPr/>
          </w:p>
        </w:tc>
        <w:tc>
          <w:tcPr>
            <w:tcW w:w="1045" w:type="dxa"/>
            <w:vMerge/>
            <w:tcBorders>
              <w:left w:val="single" w:sz="4" w:space="0" w:color="000000"/>
              <w:bottom w:val="nil" w:sz="6" w:space="0" w:color="auto"/>
              <w:right w:val="single" w:sz="4" w:space="0" w:color="000000"/>
            </w:tcBorders>
            <w:shd w:val="clear" w:color="auto" w:fill="D2D2D2"/>
          </w:tcPr>
          <w:p>
            <w:pPr/>
          </w:p>
        </w:tc>
        <w:tc>
          <w:tcPr>
            <w:tcW w:w="1042" w:type="dxa"/>
            <w:vMerge w:val="restart"/>
            <w:tcBorders>
              <w:top w:val="nil" w:sz="6" w:space="0" w:color="auto"/>
              <w:left w:val="single" w:sz="4" w:space="0" w:color="000000"/>
              <w:right w:val="single" w:sz="4" w:space="0" w:color="000000"/>
            </w:tcBorders>
            <w:shd w:val="clear" w:color="auto" w:fill="D2D2D2"/>
          </w:tcPr>
          <w:p>
            <w:pPr/>
          </w:p>
        </w:tc>
        <w:tc>
          <w:tcPr>
            <w:tcW w:w="1059" w:type="dxa"/>
            <w:vMerge w:val="restart"/>
            <w:tcBorders>
              <w:top w:val="nil" w:sz="6" w:space="0" w:color="auto"/>
              <w:left w:val="single" w:sz="4" w:space="0" w:color="000000"/>
              <w:right w:val="single" w:sz="4" w:space="0" w:color="000000"/>
            </w:tcBorders>
            <w:shd w:val="clear" w:color="auto" w:fill="D2D2D2"/>
          </w:tcPr>
          <w:p>
            <w:pPr/>
          </w:p>
        </w:tc>
        <w:tc>
          <w:tcPr>
            <w:tcW w:w="785" w:type="dxa"/>
            <w:vMerge/>
            <w:tcBorders>
              <w:left w:val="single" w:sz="4" w:space="0" w:color="000000"/>
              <w:bottom w:val="nil" w:sz="6" w:space="0" w:color="auto"/>
              <w:right w:val="single" w:sz="4" w:space="0" w:color="000000"/>
            </w:tcBorders>
            <w:shd w:val="clear" w:color="auto" w:fill="D2D2D2"/>
          </w:tcPr>
          <w:p>
            <w:pPr/>
          </w:p>
        </w:tc>
        <w:tc>
          <w:tcPr>
            <w:tcW w:w="785" w:type="dxa"/>
            <w:vMerge/>
            <w:tcBorders>
              <w:left w:val="single" w:sz="4" w:space="0" w:color="000000"/>
              <w:bottom w:val="nil" w:sz="6" w:space="0" w:color="auto"/>
              <w:right w:val="single" w:sz="4" w:space="0" w:color="000000"/>
            </w:tcBorders>
            <w:shd w:val="clear" w:color="auto" w:fill="D2D2D2"/>
          </w:tcPr>
          <w:p>
            <w:pPr/>
          </w:p>
        </w:tc>
      </w:tr>
      <w:tr>
        <w:trPr>
          <w:trHeight w:val="166" w:hRule="exact"/>
        </w:trPr>
        <w:tc>
          <w:tcPr>
            <w:tcW w:w="1715" w:type="dxa"/>
            <w:vMerge/>
            <w:tcBorders>
              <w:left w:val="single" w:sz="4" w:space="0" w:color="000000"/>
              <w:bottom w:val="single" w:sz="4" w:space="0" w:color="000000"/>
              <w:right w:val="single" w:sz="4" w:space="0" w:color="000000"/>
            </w:tcBorders>
            <w:shd w:val="clear" w:color="auto" w:fill="D2D2D2"/>
          </w:tcPr>
          <w:p>
            <w:pPr/>
          </w:p>
        </w:tc>
        <w:tc>
          <w:tcPr>
            <w:tcW w:w="904" w:type="dxa"/>
            <w:vMerge/>
            <w:tcBorders>
              <w:left w:val="single" w:sz="4" w:space="0" w:color="000000"/>
              <w:bottom w:val="single" w:sz="4" w:space="0" w:color="000000"/>
              <w:right w:val="single" w:sz="4" w:space="0" w:color="000000"/>
            </w:tcBorders>
            <w:shd w:val="clear" w:color="auto" w:fill="D2D2D2"/>
          </w:tcPr>
          <w:p>
            <w:pPr/>
          </w:p>
        </w:tc>
        <w:tc>
          <w:tcPr>
            <w:tcW w:w="933" w:type="dxa"/>
            <w:vMerge/>
            <w:tcBorders>
              <w:left w:val="single" w:sz="4" w:space="0" w:color="000000"/>
              <w:bottom w:val="single" w:sz="4" w:space="0" w:color="000000"/>
              <w:right w:val="single" w:sz="4" w:space="0" w:color="000000"/>
            </w:tcBorders>
            <w:shd w:val="clear" w:color="auto" w:fill="D2D2D2"/>
          </w:tcPr>
          <w:p>
            <w:pPr/>
          </w:p>
        </w:tc>
        <w:tc>
          <w:tcPr>
            <w:tcW w:w="1307" w:type="dxa"/>
            <w:vMerge/>
            <w:tcBorders>
              <w:left w:val="single" w:sz="4" w:space="0" w:color="000000"/>
              <w:bottom w:val="single" w:sz="4" w:space="0" w:color="000000"/>
              <w:right w:val="single" w:sz="4" w:space="0" w:color="000000"/>
            </w:tcBorders>
            <w:shd w:val="clear" w:color="auto" w:fill="D2D2D2"/>
          </w:tcPr>
          <w:p>
            <w:pPr/>
          </w:p>
        </w:tc>
        <w:tc>
          <w:tcPr>
            <w:tcW w:w="1045" w:type="dxa"/>
            <w:tcBorders>
              <w:top w:val="nil" w:sz="6" w:space="0" w:color="auto"/>
              <w:left w:val="single" w:sz="4" w:space="0" w:color="000000"/>
              <w:bottom w:val="single" w:sz="4" w:space="0" w:color="000000"/>
              <w:right w:val="single" w:sz="4" w:space="0" w:color="000000"/>
            </w:tcBorders>
            <w:shd w:val="clear" w:color="auto" w:fill="D2D2D2"/>
          </w:tcPr>
          <w:p>
            <w:pPr/>
          </w:p>
        </w:tc>
        <w:tc>
          <w:tcPr>
            <w:tcW w:w="1042" w:type="dxa"/>
            <w:vMerge/>
            <w:tcBorders>
              <w:left w:val="single" w:sz="4" w:space="0" w:color="000000"/>
              <w:bottom w:val="single" w:sz="4" w:space="0" w:color="000000"/>
              <w:right w:val="single" w:sz="4" w:space="0" w:color="000000"/>
            </w:tcBorders>
            <w:shd w:val="clear" w:color="auto" w:fill="D2D2D2"/>
          </w:tcPr>
          <w:p>
            <w:pPr/>
          </w:p>
        </w:tc>
        <w:tc>
          <w:tcPr>
            <w:tcW w:w="1059" w:type="dxa"/>
            <w:vMerge/>
            <w:tcBorders>
              <w:left w:val="single" w:sz="4" w:space="0" w:color="000000"/>
              <w:bottom w:val="single" w:sz="4" w:space="0" w:color="000000"/>
              <w:right w:val="single" w:sz="4" w:space="0" w:color="000000"/>
            </w:tcBorders>
            <w:shd w:val="clear" w:color="auto" w:fill="D2D2D2"/>
          </w:tcPr>
          <w:p>
            <w:pPr/>
          </w:p>
        </w:tc>
        <w:tc>
          <w:tcPr>
            <w:tcW w:w="785" w:type="dxa"/>
            <w:tcBorders>
              <w:top w:val="nil" w:sz="6" w:space="0" w:color="auto"/>
              <w:left w:val="single" w:sz="4" w:space="0" w:color="000000"/>
              <w:bottom w:val="single" w:sz="4" w:space="0" w:color="000000"/>
              <w:right w:val="single" w:sz="4" w:space="0" w:color="000000"/>
            </w:tcBorders>
            <w:shd w:val="clear" w:color="auto" w:fill="D2D2D2"/>
          </w:tcPr>
          <w:p>
            <w:pPr/>
          </w:p>
        </w:tc>
        <w:tc>
          <w:tcPr>
            <w:tcW w:w="785"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392" w:hRule="exact"/>
        </w:trPr>
        <w:tc>
          <w:tcPr>
            <w:tcW w:w="9575"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right="0"/>
              <w:jc w:val="center"/>
              <w:rPr>
                <w:rFonts w:ascii="宋体" w:hAnsi="宋体" w:cs="宋体" w:eastAsia="宋体" w:hint="default"/>
                <w:sz w:val="18"/>
                <w:szCs w:val="18"/>
              </w:rPr>
            </w:pPr>
            <w:r>
              <w:rPr>
                <w:rFonts w:ascii="宋体" w:hAnsi="宋体" w:cs="宋体" w:eastAsia="宋体" w:hint="default"/>
                <w:sz w:val="18"/>
                <w:szCs w:val="18"/>
              </w:rPr>
              <w:t>公司担保总额（即前三大项的合计）</w:t>
            </w:r>
          </w:p>
        </w:tc>
      </w:tr>
      <w:tr>
        <w:trPr>
          <w:trHeight w:val="719" w:hRule="exact"/>
        </w:trPr>
        <w:tc>
          <w:tcPr>
            <w:tcW w:w="261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22" w:right="0"/>
              <w:jc w:val="left"/>
              <w:rPr>
                <w:rFonts w:ascii="宋体" w:hAnsi="宋体" w:cs="宋体" w:eastAsia="宋体" w:hint="default"/>
                <w:sz w:val="18"/>
                <w:szCs w:val="18"/>
              </w:rPr>
            </w:pPr>
            <w:r>
              <w:rPr>
                <w:rFonts w:ascii="宋体" w:hAnsi="宋体" w:cs="宋体" w:eastAsia="宋体" w:hint="default"/>
                <w:sz w:val="18"/>
                <w:szCs w:val="18"/>
              </w:rPr>
              <w:t>报告期内审批担保额度合计</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A1+B1+C1</w:t>
            </w:r>
            <w:r>
              <w:rPr>
                <w:rFonts w:ascii="宋体" w:hAnsi="宋体" w:cs="宋体" w:eastAsia="宋体" w:hint="default"/>
                <w:sz w:val="18"/>
                <w:szCs w:val="18"/>
              </w:rPr>
              <w:t>）</w:t>
            </w:r>
          </w:p>
        </w:tc>
        <w:tc>
          <w:tcPr>
            <w:tcW w:w="2240" w:type="dxa"/>
            <w:gridSpan w:val="2"/>
            <w:tcBorders>
              <w:top w:val="single" w:sz="4" w:space="0" w:color="000000"/>
              <w:left w:val="single" w:sz="13" w:space="0" w:color="D2D2D2"/>
              <w:bottom w:val="single" w:sz="4" w:space="0" w:color="000000"/>
              <w:right w:val="single" w:sz="9" w:space="0" w:color="D2D2D2"/>
            </w:tcBorders>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right="15"/>
              <w:jc w:val="right"/>
              <w:rPr>
                <w:rFonts w:ascii="Times New Roman" w:hAnsi="Times New Roman" w:cs="Times New Roman" w:eastAsia="Times New Roman" w:hint="default"/>
                <w:sz w:val="18"/>
                <w:szCs w:val="18"/>
              </w:rPr>
            </w:pPr>
            <w:r>
              <w:rPr>
                <w:rFonts w:ascii="Times New Roman"/>
                <w:sz w:val="18"/>
              </w:rPr>
              <w:t>1,600</w:t>
            </w:r>
          </w:p>
        </w:tc>
        <w:tc>
          <w:tcPr>
            <w:tcW w:w="2087"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6"/>
              <w:ind w:left="20" w:right="75"/>
              <w:jc w:val="left"/>
              <w:rPr>
                <w:rFonts w:ascii="宋体" w:hAnsi="宋体" w:cs="宋体" w:eastAsia="宋体" w:hint="default"/>
                <w:sz w:val="18"/>
                <w:szCs w:val="18"/>
              </w:rPr>
            </w:pPr>
            <w:r>
              <w:rPr>
                <w:rFonts w:ascii="宋体" w:hAnsi="宋体" w:cs="宋体" w:eastAsia="宋体" w:hint="default"/>
                <w:sz w:val="18"/>
                <w:szCs w:val="18"/>
              </w:rPr>
              <w:t>报告期内担保实际发生额 合计（</w:t>
            </w:r>
            <w:r>
              <w:rPr>
                <w:rFonts w:ascii="Times New Roman" w:hAnsi="Times New Roman" w:cs="Times New Roman" w:eastAsia="Times New Roman" w:hint="default"/>
                <w:sz w:val="18"/>
                <w:szCs w:val="18"/>
              </w:rPr>
              <w:t>A2+B2+C2</w:t>
            </w:r>
            <w:r>
              <w:rPr>
                <w:rFonts w:ascii="宋体" w:hAnsi="宋体" w:cs="宋体" w:eastAsia="宋体" w:hint="default"/>
                <w:sz w:val="18"/>
                <w:szCs w:val="18"/>
              </w:rPr>
              <w:t>）</w:t>
            </w:r>
          </w:p>
        </w:tc>
        <w:tc>
          <w:tcPr>
            <w:tcW w:w="2629" w:type="dxa"/>
            <w:gridSpan w:val="3"/>
            <w:tcBorders>
              <w:top w:val="single" w:sz="4" w:space="0" w:color="000000"/>
              <w:left w:val="single" w:sz="13" w:space="0" w:color="D2D2D2"/>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1,600</w:t>
            </w:r>
          </w:p>
        </w:tc>
      </w:tr>
      <w:tr>
        <w:trPr>
          <w:trHeight w:val="714" w:hRule="exact"/>
        </w:trPr>
        <w:tc>
          <w:tcPr>
            <w:tcW w:w="261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报告期末已审批的担保额度合计</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A3+B3+C3</w:t>
            </w:r>
            <w:r>
              <w:rPr>
                <w:rFonts w:ascii="宋体" w:hAnsi="宋体" w:cs="宋体" w:eastAsia="宋体" w:hint="default"/>
                <w:sz w:val="18"/>
                <w:szCs w:val="18"/>
              </w:rPr>
              <w:t>）</w:t>
            </w:r>
          </w:p>
        </w:tc>
        <w:tc>
          <w:tcPr>
            <w:tcW w:w="2240" w:type="dxa"/>
            <w:gridSpan w:val="2"/>
            <w:tcBorders>
              <w:top w:val="single" w:sz="4" w:space="0" w:color="000000"/>
              <w:left w:val="single" w:sz="13" w:space="0" w:color="D2D2D2"/>
              <w:bottom w:val="single" w:sz="4" w:space="0" w:color="000000"/>
              <w:right w:val="single" w:sz="9" w:space="0" w:color="D2D2D2"/>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5"/>
              <w:jc w:val="right"/>
              <w:rPr>
                <w:rFonts w:ascii="Times New Roman" w:hAnsi="Times New Roman" w:cs="Times New Roman" w:eastAsia="Times New Roman" w:hint="default"/>
                <w:sz w:val="18"/>
                <w:szCs w:val="18"/>
              </w:rPr>
            </w:pPr>
            <w:r>
              <w:rPr>
                <w:rFonts w:ascii="Times New Roman"/>
                <w:sz w:val="18"/>
              </w:rPr>
              <w:t>1,600</w:t>
            </w:r>
          </w:p>
        </w:tc>
        <w:tc>
          <w:tcPr>
            <w:tcW w:w="2087"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0" w:right="75"/>
              <w:jc w:val="left"/>
              <w:rPr>
                <w:rFonts w:ascii="宋体" w:hAnsi="宋体" w:cs="宋体" w:eastAsia="宋体" w:hint="default"/>
                <w:sz w:val="18"/>
                <w:szCs w:val="18"/>
              </w:rPr>
            </w:pPr>
            <w:r>
              <w:rPr>
                <w:rFonts w:ascii="宋体" w:hAnsi="宋体" w:cs="宋体" w:eastAsia="宋体" w:hint="default"/>
                <w:sz w:val="18"/>
                <w:szCs w:val="18"/>
              </w:rPr>
              <w:t>报告期末实际担保余额合 计（</w:t>
            </w:r>
            <w:r>
              <w:rPr>
                <w:rFonts w:ascii="Times New Roman" w:hAnsi="Times New Roman" w:cs="Times New Roman" w:eastAsia="Times New Roman" w:hint="default"/>
                <w:sz w:val="18"/>
                <w:szCs w:val="18"/>
              </w:rPr>
              <w:t>A4+B4+C4</w:t>
            </w:r>
            <w:r>
              <w:rPr>
                <w:rFonts w:ascii="宋体" w:hAnsi="宋体" w:cs="宋体" w:eastAsia="宋体" w:hint="default"/>
                <w:sz w:val="18"/>
                <w:szCs w:val="18"/>
              </w:rPr>
              <w:t>）</w:t>
            </w:r>
          </w:p>
        </w:tc>
        <w:tc>
          <w:tcPr>
            <w:tcW w:w="2629" w:type="dxa"/>
            <w:gridSpan w:val="3"/>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1,600</w:t>
            </w:r>
          </w:p>
        </w:tc>
      </w:tr>
      <w:tr>
        <w:trPr>
          <w:trHeight w:val="407" w:hRule="exact"/>
        </w:trPr>
        <w:tc>
          <w:tcPr>
            <w:tcW w:w="4859"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实际担保总额（即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A4+B4+C4</w:t>
            </w:r>
            <w:r>
              <w:rPr>
                <w:rFonts w:ascii="宋体" w:hAnsi="宋体" w:cs="宋体" w:eastAsia="宋体" w:hint="default"/>
                <w:sz w:val="18"/>
                <w:szCs w:val="18"/>
              </w:rPr>
              <w:t>）占公司净资产的比例</w:t>
            </w:r>
          </w:p>
        </w:tc>
        <w:tc>
          <w:tcPr>
            <w:tcW w:w="4716" w:type="dxa"/>
            <w:gridSpan w:val="5"/>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2"/>
                <w:sz w:val="18"/>
              </w:rPr>
              <w:t>1.11%</w:t>
            </w:r>
          </w:p>
        </w:tc>
      </w:tr>
      <w:tr>
        <w:trPr>
          <w:trHeight w:val="392" w:hRule="exact"/>
        </w:trPr>
        <w:tc>
          <w:tcPr>
            <w:tcW w:w="9575"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22" w:right="0"/>
              <w:jc w:val="left"/>
              <w:rPr>
                <w:rFonts w:ascii="宋体" w:hAnsi="宋体" w:cs="宋体" w:eastAsia="宋体" w:hint="default"/>
                <w:sz w:val="18"/>
                <w:szCs w:val="18"/>
              </w:rPr>
            </w:pPr>
            <w:r>
              <w:rPr>
                <w:rFonts w:ascii="宋体" w:hAnsi="宋体" w:cs="宋体" w:eastAsia="宋体" w:hint="default"/>
                <w:sz w:val="18"/>
                <w:szCs w:val="18"/>
              </w:rPr>
              <w:t>其中：</w:t>
            </w:r>
          </w:p>
        </w:tc>
      </w:tr>
      <w:tr>
        <w:trPr>
          <w:trHeight w:val="407" w:hRule="exact"/>
        </w:trPr>
        <w:tc>
          <w:tcPr>
            <w:tcW w:w="4859"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22" w:right="0"/>
              <w:jc w:val="left"/>
              <w:rPr>
                <w:rFonts w:ascii="宋体" w:hAnsi="宋体" w:cs="宋体" w:eastAsia="宋体" w:hint="default"/>
                <w:sz w:val="18"/>
                <w:szCs w:val="18"/>
              </w:rPr>
            </w:pPr>
            <w:r>
              <w:rPr>
                <w:rFonts w:ascii="宋体" w:hAnsi="宋体" w:cs="宋体" w:eastAsia="宋体" w:hint="default"/>
                <w:sz w:val="18"/>
                <w:szCs w:val="18"/>
              </w:rPr>
              <w:t>为股东、实际控制人及其关联方提供担保的余额（</w:t>
            </w:r>
            <w:r>
              <w:rPr>
                <w:rFonts w:ascii="Times New Roman" w:hAnsi="Times New Roman" w:cs="Times New Roman" w:eastAsia="Times New Roman" w:hint="default"/>
                <w:sz w:val="18"/>
                <w:szCs w:val="18"/>
              </w:rPr>
              <w:t>D</w:t>
            </w:r>
            <w:r>
              <w:rPr>
                <w:rFonts w:ascii="宋体" w:hAnsi="宋体" w:cs="宋体" w:eastAsia="宋体" w:hint="default"/>
                <w:sz w:val="18"/>
                <w:szCs w:val="18"/>
              </w:rPr>
              <w:t>）</w:t>
            </w:r>
          </w:p>
        </w:tc>
        <w:tc>
          <w:tcPr>
            <w:tcW w:w="4716" w:type="dxa"/>
            <w:gridSpan w:val="5"/>
            <w:tcBorders>
              <w:top w:val="single" w:sz="4" w:space="0" w:color="000000"/>
              <w:left w:val="single" w:sz="13" w:space="0" w:color="D2D2D2"/>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z w:val="18"/>
              </w:rPr>
              <w:t>0</w:t>
            </w:r>
          </w:p>
        </w:tc>
      </w:tr>
      <w:tr>
        <w:trPr>
          <w:trHeight w:val="714" w:hRule="exact"/>
        </w:trPr>
        <w:tc>
          <w:tcPr>
            <w:tcW w:w="4859"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129"/>
              <w:jc w:val="left"/>
              <w:rPr>
                <w:rFonts w:ascii="宋体" w:hAnsi="宋体" w:cs="宋体" w:eastAsia="宋体" w:hint="default"/>
                <w:sz w:val="18"/>
                <w:szCs w:val="18"/>
              </w:rPr>
            </w:pPr>
            <w:r>
              <w:rPr>
                <w:rFonts w:ascii="宋体" w:hAnsi="宋体" w:cs="宋体" w:eastAsia="宋体" w:hint="default"/>
                <w:sz w:val="18"/>
                <w:szCs w:val="18"/>
              </w:rPr>
              <w:t>直接或间接为资产负债率超过</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70%</w:t>
            </w:r>
            <w:r>
              <w:rPr>
                <w:rFonts w:ascii="宋体" w:hAnsi="宋体" w:cs="宋体" w:eastAsia="宋体" w:hint="default"/>
                <w:sz w:val="18"/>
                <w:szCs w:val="18"/>
              </w:rPr>
              <w:t>的被担保对象提供的债务 担保余额（</w:t>
            </w:r>
            <w:r>
              <w:rPr>
                <w:rFonts w:ascii="Times New Roman" w:hAnsi="Times New Roman" w:cs="Times New Roman" w:eastAsia="Times New Roman" w:hint="default"/>
                <w:sz w:val="18"/>
                <w:szCs w:val="18"/>
              </w:rPr>
              <w:t>E</w:t>
            </w:r>
            <w:r>
              <w:rPr>
                <w:rFonts w:ascii="宋体" w:hAnsi="宋体" w:cs="宋体" w:eastAsia="宋体" w:hint="default"/>
                <w:sz w:val="18"/>
                <w:szCs w:val="18"/>
              </w:rPr>
              <w:t>）</w:t>
            </w:r>
          </w:p>
        </w:tc>
        <w:tc>
          <w:tcPr>
            <w:tcW w:w="4716" w:type="dxa"/>
            <w:gridSpan w:val="5"/>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4859"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担保总额超过净资产</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50%</w:t>
            </w:r>
            <w:r>
              <w:rPr>
                <w:rFonts w:ascii="宋体" w:hAnsi="宋体" w:cs="宋体" w:eastAsia="宋体" w:hint="default"/>
                <w:sz w:val="18"/>
                <w:szCs w:val="18"/>
              </w:rPr>
              <w:t>部分的金额（</w:t>
            </w:r>
            <w:r>
              <w:rPr>
                <w:rFonts w:ascii="Times New Roman" w:hAnsi="Times New Roman" w:cs="Times New Roman" w:eastAsia="Times New Roman" w:hint="default"/>
                <w:sz w:val="18"/>
                <w:szCs w:val="18"/>
              </w:rPr>
              <w:t>F</w:t>
            </w:r>
            <w:r>
              <w:rPr>
                <w:rFonts w:ascii="宋体" w:hAnsi="宋体" w:cs="宋体" w:eastAsia="宋体" w:hint="default"/>
                <w:sz w:val="18"/>
                <w:szCs w:val="18"/>
              </w:rPr>
              <w:t>）</w:t>
            </w:r>
          </w:p>
        </w:tc>
        <w:tc>
          <w:tcPr>
            <w:tcW w:w="4716" w:type="dxa"/>
            <w:gridSpan w:val="5"/>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r>
    </w:tbl>
    <w:p>
      <w:pPr>
        <w:spacing w:before="51"/>
        <w:ind w:left="154" w:right="1117" w:firstLine="0"/>
        <w:jc w:val="left"/>
        <w:rPr>
          <w:rFonts w:ascii="宋体" w:hAnsi="宋体" w:cs="宋体" w:eastAsia="宋体" w:hint="default"/>
          <w:sz w:val="18"/>
          <w:szCs w:val="18"/>
        </w:rPr>
      </w:pPr>
      <w:r>
        <w:rPr>
          <w:rFonts w:ascii="宋体" w:hAnsi="宋体" w:cs="宋体" w:eastAsia="宋体" w:hint="default"/>
          <w:sz w:val="18"/>
          <w:szCs w:val="18"/>
        </w:rPr>
        <w:t>采用复合方式担保的具体情况说明</w:t>
      </w:r>
    </w:p>
    <w:p>
      <w:pPr>
        <w:spacing w:line="240" w:lineRule="auto" w:before="11"/>
        <w:rPr>
          <w:rFonts w:ascii="宋体" w:hAnsi="宋体" w:cs="宋体" w:eastAsia="宋体" w:hint="default"/>
          <w:sz w:val="26"/>
          <w:szCs w:val="26"/>
        </w:rPr>
      </w:pPr>
    </w:p>
    <w:p>
      <w:pPr>
        <w:pStyle w:val="Heading4"/>
        <w:spacing w:line="240" w:lineRule="auto"/>
        <w:ind w:right="1117"/>
        <w:jc w:val="left"/>
        <w:rPr>
          <w:b w:val="0"/>
          <w:bCs w:val="0"/>
        </w:rPr>
      </w:pPr>
      <w:bookmarkStart w:name="（2）违规对外担保情况" w:id="91"/>
      <w:bookmarkEnd w:id="91"/>
      <w:r>
        <w:rPr>
          <w:b w:val="0"/>
          <w:bCs w:val="0"/>
        </w:rPr>
      </w:r>
      <w:r>
        <w:rPr/>
        <w:t>（</w:t>
      </w:r>
      <w:r>
        <w:rPr>
          <w:rFonts w:ascii="Times New Roman" w:hAnsi="Times New Roman" w:cs="Times New Roman" w:eastAsia="Times New Roman" w:hint="default"/>
        </w:rPr>
        <w:t>2</w:t>
      </w:r>
      <w:r>
        <w:rPr/>
        <w:t>）违规对外担保情况</w:t>
      </w:r>
      <w:r>
        <w:rPr>
          <w:b w:val="0"/>
          <w:bCs w:val="0"/>
        </w:rPr>
      </w:r>
    </w:p>
    <w:p>
      <w:pPr>
        <w:spacing w:line="240" w:lineRule="auto" w:before="8"/>
        <w:rPr>
          <w:rFonts w:ascii="宋体" w:hAnsi="宋体" w:cs="宋体" w:eastAsia="宋体" w:hint="default"/>
          <w:b/>
          <w:bCs/>
          <w:sz w:val="26"/>
          <w:szCs w:val="26"/>
        </w:rPr>
      </w:pPr>
    </w:p>
    <w:p>
      <w:pPr>
        <w:spacing w:line="340" w:lineRule="auto" w:before="0"/>
        <w:ind w:left="154" w:right="769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公司报告期无违规对外担保情况。</w:t>
      </w:r>
    </w:p>
    <w:p>
      <w:pPr>
        <w:spacing w:line="240" w:lineRule="auto" w:before="12"/>
        <w:rPr>
          <w:rFonts w:ascii="宋体" w:hAnsi="宋体" w:cs="宋体" w:eastAsia="宋体" w:hint="default"/>
          <w:sz w:val="20"/>
          <w:szCs w:val="20"/>
        </w:rPr>
      </w:pPr>
    </w:p>
    <w:p>
      <w:pPr>
        <w:pStyle w:val="Heading4"/>
        <w:spacing w:line="240" w:lineRule="auto"/>
        <w:ind w:right="1117"/>
        <w:jc w:val="left"/>
        <w:rPr>
          <w:b w:val="0"/>
          <w:bCs w:val="0"/>
        </w:rPr>
      </w:pPr>
      <w:bookmarkStart w:name="3、委托他人进行现金资产管理情况" w:id="92"/>
      <w:bookmarkEnd w:id="92"/>
      <w:r>
        <w:rPr>
          <w:b w:val="0"/>
          <w:bCs w:val="0"/>
        </w:rPr>
      </w:r>
      <w:r>
        <w:rPr>
          <w:rFonts w:ascii="Times New Roman" w:hAnsi="Times New Roman" w:cs="Times New Roman" w:eastAsia="Times New Roman" w:hint="default"/>
        </w:rPr>
        <w:t>3</w:t>
      </w:r>
      <w:r>
        <w:rPr/>
        <w:t>、委托他人进行现金资产管理情况</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1117"/>
        <w:jc w:val="left"/>
        <w:rPr>
          <w:b w:val="0"/>
          <w:bCs w:val="0"/>
        </w:rPr>
      </w:pPr>
      <w:bookmarkStart w:name="（1）委托理财情况" w:id="93"/>
      <w:bookmarkEnd w:id="93"/>
      <w:r>
        <w:rPr>
          <w:b w:val="0"/>
          <w:bCs w:val="0"/>
        </w:rPr>
      </w:r>
      <w:r>
        <w:rPr/>
        <w:t>（</w:t>
      </w:r>
      <w:r>
        <w:rPr>
          <w:rFonts w:ascii="Times New Roman" w:hAnsi="Times New Roman" w:cs="Times New Roman" w:eastAsia="Times New Roman" w:hint="default"/>
        </w:rPr>
        <w:t>1</w:t>
      </w:r>
      <w:r>
        <w:rPr/>
        <w:t>）委托理财情况</w:t>
      </w:r>
      <w:r>
        <w:rPr>
          <w:b w:val="0"/>
          <w:bCs w:val="0"/>
        </w:rPr>
      </w:r>
    </w:p>
    <w:p>
      <w:pPr>
        <w:spacing w:line="240" w:lineRule="auto" w:before="3"/>
        <w:rPr>
          <w:rFonts w:ascii="宋体" w:hAnsi="宋体" w:cs="宋体" w:eastAsia="宋体" w:hint="default"/>
          <w:b/>
          <w:bCs/>
          <w:sz w:val="23"/>
          <w:szCs w:val="23"/>
        </w:rPr>
      </w:pPr>
    </w:p>
    <w:p>
      <w:pPr>
        <w:spacing w:after="0" w:line="240" w:lineRule="auto"/>
        <w:rPr>
          <w:rFonts w:ascii="宋体" w:hAnsi="宋体" w:cs="宋体" w:eastAsia="宋体" w:hint="default"/>
          <w:sz w:val="23"/>
          <w:szCs w:val="23"/>
        </w:rPr>
        <w:sectPr>
          <w:pgSz w:w="11910" w:h="16840"/>
          <w:pgMar w:header="877" w:footer="979" w:top="1100" w:bottom="1160" w:left="980" w:right="0"/>
        </w:sectPr>
      </w:pPr>
    </w:p>
    <w:p>
      <w:pPr>
        <w:spacing w:line="338" w:lineRule="auto" w:before="44"/>
        <w:ind w:left="154" w:right="-2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报告期内委托理财概况</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3"/>
        <w:rPr>
          <w:rFonts w:ascii="宋体" w:hAnsi="宋体" w:cs="宋体" w:eastAsia="宋体" w:hint="default"/>
          <w:sz w:val="21"/>
          <w:szCs w:val="21"/>
        </w:rPr>
      </w:pPr>
    </w:p>
    <w:p>
      <w:pPr>
        <w:spacing w:before="0"/>
        <w:ind w:left="153" w:right="0" w:firstLine="0"/>
        <w:jc w:val="left"/>
        <w:rPr>
          <w:rFonts w:ascii="宋体" w:hAnsi="宋体" w:cs="宋体" w:eastAsia="宋体" w:hint="default"/>
          <w:sz w:val="18"/>
          <w:szCs w:val="18"/>
        </w:rPr>
      </w:pPr>
      <w:r>
        <w:rPr>
          <w:rFonts w:ascii="宋体" w:hAnsi="宋体" w:cs="宋体" w:eastAsia="宋体" w:hint="default"/>
          <w:sz w:val="18"/>
          <w:szCs w:val="18"/>
        </w:rPr>
        <w:t>单位：万元</w:t>
      </w:r>
    </w:p>
    <w:p>
      <w:pPr>
        <w:spacing w:after="0"/>
        <w:jc w:val="left"/>
        <w:rPr>
          <w:rFonts w:ascii="宋体" w:hAnsi="宋体" w:cs="宋体" w:eastAsia="宋体" w:hint="default"/>
          <w:sz w:val="18"/>
          <w:szCs w:val="18"/>
        </w:rPr>
        <w:sectPr>
          <w:type w:val="continuous"/>
          <w:pgSz w:w="11910" w:h="16840"/>
          <w:pgMar w:top="1060" w:bottom="1160" w:left="980" w:right="0"/>
          <w:cols w:num="2" w:equalWidth="0">
            <w:col w:w="1955" w:space="6785"/>
            <w:col w:w="2190"/>
          </w:cols>
        </w:sectPr>
      </w:pP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869"/>
        <w:gridCol w:w="1962"/>
        <w:gridCol w:w="1981"/>
        <w:gridCol w:w="1908"/>
        <w:gridCol w:w="1848"/>
      </w:tblGrid>
      <w:tr>
        <w:trPr>
          <w:trHeight w:val="402" w:hRule="exact"/>
        </w:trPr>
        <w:tc>
          <w:tcPr>
            <w:tcW w:w="1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69" w:right="0"/>
              <w:jc w:val="left"/>
              <w:rPr>
                <w:rFonts w:ascii="宋体" w:hAnsi="宋体" w:cs="宋体" w:eastAsia="宋体" w:hint="default"/>
                <w:sz w:val="18"/>
                <w:szCs w:val="18"/>
              </w:rPr>
            </w:pPr>
            <w:r>
              <w:rPr>
                <w:rFonts w:ascii="宋体" w:hAnsi="宋体" w:cs="宋体" w:eastAsia="宋体" w:hint="default"/>
                <w:sz w:val="18"/>
                <w:szCs w:val="18"/>
              </w:rPr>
              <w:t>具体类型</w:t>
            </w:r>
          </w:p>
        </w:tc>
        <w:tc>
          <w:tcPr>
            <w:tcW w:w="19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65" w:right="0"/>
              <w:jc w:val="left"/>
              <w:rPr>
                <w:rFonts w:ascii="宋体" w:hAnsi="宋体" w:cs="宋体" w:eastAsia="宋体" w:hint="default"/>
                <w:sz w:val="18"/>
                <w:szCs w:val="18"/>
              </w:rPr>
            </w:pPr>
            <w:r>
              <w:rPr>
                <w:rFonts w:ascii="宋体" w:hAnsi="宋体" w:cs="宋体" w:eastAsia="宋体" w:hint="default"/>
                <w:sz w:val="18"/>
                <w:szCs w:val="18"/>
              </w:rPr>
              <w:t>委托理财的资金来源</w:t>
            </w:r>
          </w:p>
        </w:tc>
        <w:tc>
          <w:tcPr>
            <w:tcW w:w="19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55" w:right="0"/>
              <w:jc w:val="left"/>
              <w:rPr>
                <w:rFonts w:ascii="宋体" w:hAnsi="宋体" w:cs="宋体" w:eastAsia="宋体" w:hint="default"/>
                <w:sz w:val="18"/>
                <w:szCs w:val="18"/>
              </w:rPr>
            </w:pPr>
            <w:r>
              <w:rPr>
                <w:rFonts w:ascii="宋体" w:hAnsi="宋体" w:cs="宋体" w:eastAsia="宋体" w:hint="default"/>
                <w:sz w:val="18"/>
                <w:szCs w:val="18"/>
              </w:rPr>
              <w:t>委托理财发生额</w:t>
            </w:r>
          </w:p>
        </w:tc>
        <w:tc>
          <w:tcPr>
            <w:tcW w:w="19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99" w:right="0"/>
              <w:jc w:val="left"/>
              <w:rPr>
                <w:rFonts w:ascii="宋体" w:hAnsi="宋体" w:cs="宋体" w:eastAsia="宋体" w:hint="default"/>
                <w:sz w:val="18"/>
                <w:szCs w:val="18"/>
              </w:rPr>
            </w:pPr>
            <w:r>
              <w:rPr>
                <w:rFonts w:ascii="宋体" w:hAnsi="宋体" w:cs="宋体" w:eastAsia="宋体" w:hint="default"/>
                <w:sz w:val="18"/>
                <w:szCs w:val="18"/>
              </w:rPr>
              <w:t>未到期余额</w:t>
            </w:r>
          </w:p>
        </w:tc>
        <w:tc>
          <w:tcPr>
            <w:tcW w:w="18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99" w:right="0"/>
              <w:jc w:val="left"/>
              <w:rPr>
                <w:rFonts w:ascii="宋体" w:hAnsi="宋体" w:cs="宋体" w:eastAsia="宋体" w:hint="default"/>
                <w:sz w:val="18"/>
                <w:szCs w:val="18"/>
              </w:rPr>
            </w:pPr>
            <w:r>
              <w:rPr>
                <w:rFonts w:ascii="宋体" w:hAnsi="宋体" w:cs="宋体" w:eastAsia="宋体" w:hint="default"/>
                <w:sz w:val="18"/>
                <w:szCs w:val="18"/>
              </w:rPr>
              <w:t>逾期未收回的金额</w:t>
            </w:r>
          </w:p>
        </w:tc>
      </w:tr>
      <w:tr>
        <w:trPr>
          <w:trHeight w:val="402" w:hRule="exact"/>
        </w:trPr>
        <w:tc>
          <w:tcPr>
            <w:tcW w:w="1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银行理财产品</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部分闲置自有资金</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16,050</w:t>
            </w:r>
          </w:p>
        </w:tc>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1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银行理财产品</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暂时闲置募集资金</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30,000</w:t>
            </w:r>
          </w:p>
        </w:tc>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14,600</w:t>
            </w:r>
          </w:p>
        </w:tc>
        <w:tc>
          <w:tcPr>
            <w:tcW w:w="1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3831"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46,050</w:t>
            </w:r>
          </w:p>
        </w:tc>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14,600</w:t>
            </w:r>
          </w:p>
        </w:tc>
        <w:tc>
          <w:tcPr>
            <w:tcW w:w="1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r>
    </w:tbl>
    <w:p>
      <w:pPr>
        <w:spacing w:after="0" w:line="240" w:lineRule="auto"/>
        <w:jc w:val="right"/>
        <w:rPr>
          <w:rFonts w:ascii="Times New Roman" w:hAnsi="Times New Roman" w:cs="Times New Roman" w:eastAsia="Times New Roman" w:hint="default"/>
          <w:sz w:val="18"/>
          <w:szCs w:val="18"/>
        </w:rPr>
        <w:sectPr>
          <w:type w:val="continuous"/>
          <w:pgSz w:w="11910" w:h="16840"/>
          <w:pgMar w:top="1060" w:bottom="1160" w:left="980" w:right="0"/>
        </w:sectPr>
      </w:pPr>
    </w:p>
    <w:p>
      <w:pPr>
        <w:spacing w:line="240" w:lineRule="auto" w:before="13"/>
        <w:rPr>
          <w:rFonts w:ascii="宋体" w:hAnsi="宋体" w:cs="宋体" w:eastAsia="宋体" w:hint="default"/>
          <w:sz w:val="21"/>
          <w:szCs w:val="21"/>
        </w:rPr>
      </w:pPr>
    </w:p>
    <w:p>
      <w:pPr>
        <w:spacing w:before="44"/>
        <w:ind w:left="154" w:right="1117" w:firstLine="0"/>
        <w:jc w:val="left"/>
        <w:rPr>
          <w:rFonts w:ascii="宋体" w:hAnsi="宋体" w:cs="宋体" w:eastAsia="宋体" w:hint="default"/>
          <w:sz w:val="18"/>
          <w:szCs w:val="18"/>
        </w:rPr>
      </w:pPr>
      <w:r>
        <w:rPr>
          <w:rFonts w:ascii="宋体" w:hAnsi="宋体" w:cs="宋体" w:eastAsia="宋体" w:hint="default"/>
          <w:sz w:val="18"/>
          <w:szCs w:val="18"/>
        </w:rPr>
        <w:t>单项金额重大或安全性较低、流动性较差、不保本的高风险委托理财具体情况</w:t>
      </w:r>
    </w:p>
    <w:p>
      <w:pPr>
        <w:spacing w:line="340" w:lineRule="auto" w:before="116"/>
        <w:ind w:left="154" w:right="571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委托理财出现预期无法收回本金或存在其他可能导致减值的情形</w:t>
      </w:r>
    </w:p>
    <w:p>
      <w:pPr>
        <w:spacing w:before="40"/>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9"/>
        <w:rPr>
          <w:rFonts w:ascii="宋体" w:hAnsi="宋体" w:cs="宋体" w:eastAsia="宋体" w:hint="default"/>
          <w:sz w:val="25"/>
          <w:szCs w:val="25"/>
        </w:rPr>
      </w:pPr>
    </w:p>
    <w:p>
      <w:pPr>
        <w:pStyle w:val="Heading4"/>
        <w:spacing w:line="240" w:lineRule="auto"/>
        <w:ind w:right="1117"/>
        <w:jc w:val="left"/>
        <w:rPr>
          <w:b w:val="0"/>
          <w:bCs w:val="0"/>
        </w:rPr>
      </w:pPr>
      <w:bookmarkStart w:name="（2）委托贷款情况" w:id="94"/>
      <w:bookmarkEnd w:id="94"/>
      <w:r>
        <w:rPr>
          <w:b w:val="0"/>
          <w:bCs w:val="0"/>
        </w:rPr>
      </w:r>
      <w:r>
        <w:rPr/>
        <w:t>（</w:t>
      </w:r>
      <w:r>
        <w:rPr>
          <w:rFonts w:ascii="Times New Roman" w:hAnsi="Times New Roman" w:cs="Times New Roman" w:eastAsia="Times New Roman" w:hint="default"/>
        </w:rPr>
        <w:t>2</w:t>
      </w:r>
      <w:r>
        <w:rPr/>
        <w:t>）委托贷款情况</w:t>
      </w:r>
      <w:r>
        <w:rPr>
          <w:b w:val="0"/>
          <w:bCs w:val="0"/>
        </w:rPr>
      </w:r>
    </w:p>
    <w:p>
      <w:pPr>
        <w:spacing w:line="240" w:lineRule="auto" w:before="9"/>
        <w:rPr>
          <w:rFonts w:ascii="宋体" w:hAnsi="宋体" w:cs="宋体" w:eastAsia="宋体" w:hint="default"/>
          <w:b/>
          <w:bCs/>
          <w:sz w:val="26"/>
          <w:szCs w:val="26"/>
        </w:rPr>
      </w:pPr>
    </w:p>
    <w:p>
      <w:pPr>
        <w:spacing w:line="338" w:lineRule="auto" w:before="0"/>
        <w:ind w:left="154" w:right="841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公司报告期不存在委托贷款。</w:t>
      </w:r>
    </w:p>
    <w:p>
      <w:pPr>
        <w:spacing w:line="240" w:lineRule="auto" w:before="2"/>
        <w:rPr>
          <w:rFonts w:ascii="宋体" w:hAnsi="宋体" w:cs="宋体" w:eastAsia="宋体" w:hint="default"/>
          <w:sz w:val="21"/>
          <w:szCs w:val="21"/>
        </w:rPr>
      </w:pPr>
    </w:p>
    <w:p>
      <w:pPr>
        <w:pStyle w:val="Heading4"/>
        <w:spacing w:line="240" w:lineRule="auto"/>
        <w:ind w:right="1117"/>
        <w:jc w:val="left"/>
        <w:rPr>
          <w:b w:val="0"/>
          <w:bCs w:val="0"/>
        </w:rPr>
      </w:pPr>
      <w:bookmarkStart w:name="4、其他重大合同" w:id="95"/>
      <w:bookmarkEnd w:id="95"/>
      <w:r>
        <w:rPr>
          <w:b w:val="0"/>
          <w:bCs w:val="0"/>
        </w:rPr>
      </w:r>
      <w:r>
        <w:rPr>
          <w:rFonts w:ascii="Times New Roman" w:hAnsi="Times New Roman" w:cs="Times New Roman" w:eastAsia="Times New Roman" w:hint="default"/>
        </w:rPr>
        <w:t>4</w:t>
      </w:r>
      <w:r>
        <w:rPr/>
        <w:t>、其他重大合同</w:t>
      </w:r>
      <w:r>
        <w:rPr>
          <w:b w:val="0"/>
          <w:bCs w:val="0"/>
        </w:rPr>
      </w:r>
    </w:p>
    <w:p>
      <w:pPr>
        <w:spacing w:line="240" w:lineRule="auto" w:before="8"/>
        <w:rPr>
          <w:rFonts w:ascii="宋体" w:hAnsi="宋体" w:cs="宋体" w:eastAsia="宋体" w:hint="default"/>
          <w:b/>
          <w:bCs/>
          <w:sz w:val="26"/>
          <w:szCs w:val="26"/>
        </w:rPr>
      </w:pPr>
    </w:p>
    <w:p>
      <w:pPr>
        <w:spacing w:line="340" w:lineRule="auto" w:before="0"/>
        <w:ind w:left="154" w:right="805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公司报告期不存在其他重大合同。</w:t>
      </w:r>
    </w:p>
    <w:p>
      <w:pPr>
        <w:spacing w:line="240" w:lineRule="auto" w:before="3"/>
        <w:rPr>
          <w:rFonts w:ascii="宋体" w:hAnsi="宋体" w:cs="宋体" w:eastAsia="宋体" w:hint="default"/>
          <w:sz w:val="19"/>
          <w:szCs w:val="19"/>
        </w:rPr>
      </w:pPr>
    </w:p>
    <w:p>
      <w:pPr>
        <w:pStyle w:val="Heading2"/>
        <w:spacing w:line="240" w:lineRule="auto"/>
        <w:ind w:right="1117"/>
        <w:jc w:val="left"/>
        <w:rPr>
          <w:b w:val="0"/>
          <w:bCs w:val="0"/>
        </w:rPr>
      </w:pPr>
      <w:bookmarkStart w:name="十七、社会责任情况" w:id="96"/>
      <w:bookmarkEnd w:id="96"/>
      <w:r>
        <w:rPr>
          <w:b w:val="0"/>
          <w:bCs w:val="0"/>
        </w:rPr>
      </w:r>
      <w:r>
        <w:rPr/>
        <w:t>十七、社会责任情况</w:t>
      </w:r>
      <w:r>
        <w:rPr>
          <w:b w:val="0"/>
          <w:bCs w:val="0"/>
        </w:rPr>
      </w:r>
    </w:p>
    <w:p>
      <w:pPr>
        <w:spacing w:line="240" w:lineRule="auto" w:before="9"/>
        <w:rPr>
          <w:rFonts w:ascii="宋体" w:hAnsi="宋体" w:cs="宋体" w:eastAsia="宋体" w:hint="default"/>
          <w:b/>
          <w:bCs/>
          <w:sz w:val="24"/>
          <w:szCs w:val="24"/>
        </w:rPr>
      </w:pPr>
    </w:p>
    <w:p>
      <w:pPr>
        <w:spacing w:line="547" w:lineRule="auto" w:before="0"/>
        <w:ind w:left="154" w:right="4992" w:firstLine="0"/>
        <w:jc w:val="left"/>
        <w:rPr>
          <w:rFonts w:ascii="宋体" w:hAnsi="宋体" w:cs="宋体" w:eastAsia="宋体" w:hint="default"/>
          <w:sz w:val="21"/>
          <w:szCs w:val="21"/>
        </w:rPr>
      </w:pPr>
      <w:bookmarkStart w:name="1、履行社会责任情况" w:id="97"/>
      <w:bookmarkEnd w:id="97"/>
      <w:r>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、履行社会责任情况</w:t>
      </w:r>
      <w:r>
        <w:rPr>
          <w:rFonts w:ascii="宋体" w:hAnsi="宋体" w:cs="宋体" w:eastAsia="宋体" w:hint="default"/>
          <w:b/>
          <w:bCs/>
          <w:w w:val="99"/>
          <w:sz w:val="21"/>
          <w:szCs w:val="21"/>
        </w:rPr>
        <w:t> </w:t>
      </w:r>
      <w:r>
        <w:rPr>
          <w:rFonts w:ascii="宋体" w:hAnsi="宋体" w:cs="宋体" w:eastAsia="宋体" w:hint="default"/>
          <w:sz w:val="18"/>
          <w:szCs w:val="18"/>
        </w:rPr>
        <w:t>具体内容请查看公司于在巨潮资讯网刊登的《</w:t>
      </w:r>
      <w:r>
        <w:rPr>
          <w:rFonts w:ascii="Times New Roman" w:hAnsi="Times New Roman" w:cs="Times New Roman" w:eastAsia="Times New Roman" w:hint="default"/>
          <w:sz w:val="18"/>
          <w:szCs w:val="18"/>
        </w:rPr>
        <w:t>2018</w:t>
      </w:r>
      <w:r>
        <w:rPr>
          <w:rFonts w:ascii="宋体" w:hAnsi="宋体" w:cs="宋体" w:eastAsia="宋体" w:hint="default"/>
          <w:sz w:val="18"/>
          <w:szCs w:val="18"/>
        </w:rPr>
        <w:t>年度社会责任报告》。 </w:t>
      </w:r>
      <w:bookmarkStart w:name="2、履行精准扶贫社会责任情况" w:id="98"/>
      <w:bookmarkEnd w:id="98"/>
      <w:r>
        <w:rPr>
          <w:rFonts w:ascii="宋体" w:hAnsi="宋体" w:cs="宋体" w:eastAsia="宋体" w:hint="default"/>
          <w:sz w:val="18"/>
          <w:szCs w:val="18"/>
        </w:rPr>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、履行精准扶贫社会责任情况</w:t>
      </w:r>
      <w:r>
        <w:rPr>
          <w:rFonts w:ascii="宋体" w:hAnsi="宋体" w:cs="宋体" w:eastAsia="宋体" w:hint="default"/>
          <w:sz w:val="21"/>
          <w:szCs w:val="21"/>
        </w:rPr>
      </w:r>
    </w:p>
    <w:p>
      <w:pPr>
        <w:pStyle w:val="Heading4"/>
        <w:spacing w:line="240" w:lineRule="auto" w:before="25"/>
        <w:ind w:right="1117"/>
        <w:jc w:val="left"/>
        <w:rPr>
          <w:b w:val="0"/>
          <w:bCs w:val="0"/>
        </w:rPr>
      </w:pPr>
      <w:bookmarkStart w:name="（1）精准扶贫规划" w:id="99"/>
      <w:bookmarkEnd w:id="99"/>
      <w:r>
        <w:rPr>
          <w:b w:val="0"/>
          <w:bCs w:val="0"/>
        </w:rPr>
      </w:r>
      <w:r>
        <w:rPr/>
        <w:t>（</w:t>
      </w:r>
      <w:r>
        <w:rPr>
          <w:rFonts w:ascii="Times New Roman" w:hAnsi="Times New Roman" w:cs="Times New Roman" w:eastAsia="Times New Roman" w:hint="default"/>
        </w:rPr>
        <w:t>1</w:t>
      </w:r>
      <w:r>
        <w:rPr/>
        <w:t>）精准扶贫规划</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1117"/>
        <w:jc w:val="left"/>
        <w:rPr>
          <w:b w:val="0"/>
          <w:bCs w:val="0"/>
        </w:rPr>
      </w:pPr>
      <w:bookmarkStart w:name="（2）年度精准扶贫概要" w:id="100"/>
      <w:bookmarkEnd w:id="100"/>
      <w:r>
        <w:rPr>
          <w:b w:val="0"/>
          <w:bCs w:val="0"/>
        </w:rPr>
      </w:r>
      <w:r>
        <w:rPr/>
        <w:t>（</w:t>
      </w:r>
      <w:r>
        <w:rPr>
          <w:rFonts w:ascii="Times New Roman" w:hAnsi="Times New Roman" w:cs="Times New Roman" w:eastAsia="Times New Roman" w:hint="default"/>
        </w:rPr>
        <w:t>2</w:t>
      </w:r>
      <w:r>
        <w:rPr/>
        <w:t>）年度精准扶贫概要</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1117"/>
        <w:jc w:val="left"/>
        <w:rPr>
          <w:b w:val="0"/>
          <w:bCs w:val="0"/>
        </w:rPr>
      </w:pPr>
      <w:bookmarkStart w:name="（3）精准扶贫成效" w:id="101"/>
      <w:bookmarkEnd w:id="101"/>
      <w:r>
        <w:rPr>
          <w:b w:val="0"/>
          <w:bCs w:val="0"/>
        </w:rPr>
      </w:r>
      <w:r>
        <w:rPr/>
        <w:t>（</w:t>
      </w:r>
      <w:r>
        <w:rPr>
          <w:rFonts w:ascii="Times New Roman" w:hAnsi="Times New Roman" w:cs="Times New Roman" w:eastAsia="Times New Roman" w:hint="default"/>
        </w:rPr>
        <w:t>3</w:t>
      </w:r>
      <w:r>
        <w:rPr/>
        <w:t>）精准扶贫成效</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1117"/>
        <w:jc w:val="left"/>
        <w:rPr>
          <w:b w:val="0"/>
          <w:bCs w:val="0"/>
        </w:rPr>
      </w:pPr>
      <w:bookmarkStart w:name="（4）后续精准扶贫计划" w:id="102"/>
      <w:bookmarkEnd w:id="102"/>
      <w:r>
        <w:rPr>
          <w:b w:val="0"/>
          <w:bCs w:val="0"/>
        </w:rPr>
      </w:r>
      <w:r>
        <w:rPr/>
        <w:t>（</w:t>
      </w:r>
      <w:r>
        <w:rPr>
          <w:rFonts w:ascii="Times New Roman" w:hAnsi="Times New Roman" w:cs="Times New Roman" w:eastAsia="Times New Roman" w:hint="default"/>
        </w:rPr>
        <w:t>4</w:t>
      </w:r>
      <w:r>
        <w:rPr/>
        <w:t>）后续精准扶贫计划</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1117"/>
        <w:jc w:val="left"/>
        <w:rPr>
          <w:b w:val="0"/>
          <w:bCs w:val="0"/>
        </w:rPr>
      </w:pPr>
      <w:bookmarkStart w:name="3、环境保护相关的情况" w:id="103"/>
      <w:bookmarkEnd w:id="103"/>
      <w:r>
        <w:rPr>
          <w:b w:val="0"/>
          <w:bCs w:val="0"/>
        </w:rPr>
      </w:r>
      <w:r>
        <w:rPr>
          <w:rFonts w:ascii="Times New Roman" w:hAnsi="Times New Roman" w:cs="Times New Roman" w:eastAsia="Times New Roman" w:hint="default"/>
        </w:rPr>
        <w:t>3</w:t>
      </w:r>
      <w:r>
        <w:rPr/>
        <w:t>、环境保护相关的情况</w:t>
      </w:r>
      <w:r>
        <w:rPr>
          <w:b w:val="0"/>
          <w:bCs w:val="0"/>
        </w:rPr>
      </w:r>
    </w:p>
    <w:p>
      <w:pPr>
        <w:spacing w:line="240" w:lineRule="auto" w:before="8"/>
        <w:rPr>
          <w:rFonts w:ascii="宋体" w:hAnsi="宋体" w:cs="宋体" w:eastAsia="宋体" w:hint="default"/>
          <w:b/>
          <w:bCs/>
          <w:sz w:val="26"/>
          <w:szCs w:val="26"/>
        </w:rPr>
      </w:pPr>
    </w:p>
    <w:p>
      <w:pPr>
        <w:spacing w:line="360" w:lineRule="auto" w:before="0"/>
        <w:ind w:left="154" w:right="5712" w:firstLine="0"/>
        <w:jc w:val="left"/>
        <w:rPr>
          <w:rFonts w:ascii="宋体" w:hAnsi="宋体" w:cs="宋体" w:eastAsia="宋体" w:hint="default"/>
          <w:sz w:val="18"/>
          <w:szCs w:val="18"/>
        </w:rPr>
      </w:pPr>
      <w:r>
        <w:rPr>
          <w:rFonts w:ascii="宋体" w:hAnsi="宋体" w:cs="宋体" w:eastAsia="宋体" w:hint="default"/>
          <w:sz w:val="18"/>
          <w:szCs w:val="18"/>
        </w:rPr>
        <w:t>上市公司及其子公司是否属于环境保护部门公布的重点排污单位 不适用</w:t>
      </w:r>
    </w:p>
    <w:p>
      <w:pPr>
        <w:spacing w:line="240" w:lineRule="auto" w:before="1"/>
        <w:rPr>
          <w:rFonts w:ascii="宋体" w:hAnsi="宋体" w:cs="宋体" w:eastAsia="宋体" w:hint="default"/>
          <w:sz w:val="18"/>
          <w:szCs w:val="18"/>
        </w:rPr>
      </w:pPr>
    </w:p>
    <w:p>
      <w:pPr>
        <w:pStyle w:val="Heading2"/>
        <w:spacing w:line="240" w:lineRule="auto"/>
        <w:ind w:right="1117"/>
        <w:jc w:val="left"/>
        <w:rPr>
          <w:b w:val="0"/>
          <w:bCs w:val="0"/>
        </w:rPr>
      </w:pPr>
      <w:bookmarkStart w:name="十八、其他重大事项的说明" w:id="104"/>
      <w:bookmarkEnd w:id="104"/>
      <w:r>
        <w:rPr>
          <w:b w:val="0"/>
          <w:bCs w:val="0"/>
        </w:rPr>
      </w:r>
      <w:r>
        <w:rPr/>
        <w:t>十八、其他重大事项的说明</w:t>
      </w:r>
      <w:r>
        <w:rPr>
          <w:b w:val="0"/>
          <w:bCs w:val="0"/>
        </w:rPr>
      </w:r>
    </w:p>
    <w:p>
      <w:pPr>
        <w:spacing w:line="240" w:lineRule="auto" w:before="9"/>
        <w:rPr>
          <w:rFonts w:ascii="宋体" w:hAnsi="宋体" w:cs="宋体" w:eastAsia="宋体" w:hint="default"/>
          <w:b/>
          <w:bCs/>
          <w:sz w:val="26"/>
          <w:szCs w:val="26"/>
        </w:rPr>
      </w:pPr>
    </w:p>
    <w:p>
      <w:pPr>
        <w:spacing w:before="0"/>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pStyle w:val="BodyText"/>
        <w:spacing w:line="398" w:lineRule="auto" w:before="154"/>
        <w:ind w:right="1129" w:firstLine="423"/>
        <w:jc w:val="both"/>
      </w:pPr>
      <w:r>
        <w:rPr>
          <w:rFonts w:ascii="Times New Roman" w:hAnsi="Times New Roman" w:cs="Times New Roman" w:eastAsia="Times New Roman" w:hint="default"/>
          <w:spacing w:val="-1"/>
        </w:rPr>
        <w:t>2019</w:t>
      </w:r>
      <w:r>
        <w:rPr>
          <w:spacing w:val="-1"/>
        </w:rPr>
        <w:t>年</w:t>
      </w:r>
      <w:r>
        <w:rPr>
          <w:rFonts w:ascii="Times New Roman" w:hAnsi="Times New Roman" w:cs="Times New Roman" w:eastAsia="Times New Roman" w:hint="default"/>
          <w:spacing w:val="-1"/>
        </w:rPr>
        <w:t>1</w:t>
      </w:r>
      <w:r>
        <w:rPr>
          <w:spacing w:val="-1"/>
        </w:rPr>
        <w:t>月</w:t>
      </w:r>
      <w:r>
        <w:rPr>
          <w:rFonts w:ascii="Times New Roman" w:hAnsi="Times New Roman" w:cs="Times New Roman" w:eastAsia="Times New Roman" w:hint="default"/>
          <w:spacing w:val="-1"/>
        </w:rPr>
        <w:t>6</w:t>
      </w:r>
      <w:r>
        <w:rPr>
          <w:spacing w:val="-1"/>
        </w:rPr>
        <w:t>日，公司股东杨维国、付秋生、尚卫国、赵利宾、华梦阳、傅常顺、杜建平、刘恩臣、葛</w:t>
      </w:r>
      <w:r>
        <w:rPr/>
        <w:t> </w:t>
      </w:r>
      <w:r>
        <w:rPr>
          <w:spacing w:val="-1"/>
        </w:rPr>
        <w:t>晓阁与上海云鑫创业投资有限公司签订了《股份转让协议》，分别将其持有的部分公司无限售流通股转让</w:t>
      </w:r>
      <w:r>
        <w:rPr>
          <w:spacing w:val="-83"/>
        </w:rPr>
        <w:t> </w:t>
      </w:r>
      <w:r>
        <w:rPr>
          <w:spacing w:val="-83"/>
        </w:rPr>
      </w:r>
      <w:r>
        <w:rPr>
          <w:spacing w:val="-1"/>
        </w:rPr>
        <w:t>给上海云鑫，合计转让</w:t>
      </w:r>
      <w:r>
        <w:rPr>
          <w:rFonts w:ascii="Times New Roman" w:hAnsi="Times New Roman" w:cs="Times New Roman" w:eastAsia="Times New Roman" w:hint="default"/>
          <w:spacing w:val="-1"/>
        </w:rPr>
        <w:t>30,210,000</w:t>
      </w:r>
      <w:r>
        <w:rPr>
          <w:spacing w:val="-1"/>
        </w:rPr>
        <w:t>股，约占公司目前总股本的</w:t>
      </w:r>
      <w:r>
        <w:rPr>
          <w:rFonts w:ascii="Times New Roman" w:hAnsi="Times New Roman" w:cs="Times New Roman" w:eastAsia="Times New Roman" w:hint="default"/>
          <w:spacing w:val="-1"/>
        </w:rPr>
        <w:t>6.28%</w:t>
      </w:r>
      <w:r>
        <w:rPr>
          <w:spacing w:val="-1"/>
        </w:rPr>
        <w:t>。上海云鑫为浙江蚂蚁小微金融服务集</w:t>
      </w:r>
    </w:p>
    <w:p>
      <w:pPr>
        <w:spacing w:after="0" w:line="398" w:lineRule="auto"/>
        <w:jc w:val="both"/>
        <w:sectPr>
          <w:pgSz w:w="11910" w:h="16840"/>
          <w:pgMar w:header="877" w:footer="979" w:top="1100" w:bottom="1160" w:left="980" w:right="0"/>
        </w:sectPr>
      </w:pPr>
    </w:p>
    <w:p>
      <w:pPr>
        <w:spacing w:line="240" w:lineRule="auto" w:before="8"/>
        <w:rPr>
          <w:rFonts w:ascii="宋体" w:hAnsi="宋体" w:cs="宋体" w:eastAsia="宋体" w:hint="default"/>
          <w:sz w:val="26"/>
          <w:szCs w:val="26"/>
        </w:rPr>
      </w:pPr>
    </w:p>
    <w:p>
      <w:pPr>
        <w:pStyle w:val="BodyText"/>
        <w:spacing w:line="240" w:lineRule="auto" w:before="35"/>
        <w:ind w:right="1117"/>
        <w:jc w:val="left"/>
      </w:pPr>
      <w:r>
        <w:rPr/>
        <w:t>团股份有限公司的全资子公司。</w:t>
      </w:r>
    </w:p>
    <w:p>
      <w:pPr>
        <w:spacing w:line="240" w:lineRule="auto" w:before="10"/>
        <w:rPr>
          <w:rFonts w:ascii="宋体" w:hAnsi="宋体" w:cs="宋体" w:eastAsia="宋体" w:hint="default"/>
          <w:sz w:val="14"/>
          <w:szCs w:val="14"/>
        </w:rPr>
      </w:pPr>
    </w:p>
    <w:p>
      <w:pPr>
        <w:pStyle w:val="BodyText"/>
        <w:spacing w:line="398" w:lineRule="auto" w:before="0"/>
        <w:ind w:right="1130" w:firstLine="423"/>
        <w:jc w:val="both"/>
      </w:pPr>
      <w:r>
        <w:rPr>
          <w:rFonts w:ascii="Times New Roman" w:hAnsi="Times New Roman" w:cs="Times New Roman" w:eastAsia="Times New Roman" w:hint="default"/>
        </w:rPr>
        <w:t>2019</w:t>
      </w:r>
      <w:r>
        <w:rPr/>
        <w:t>年</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29</w:t>
      </w:r>
      <w:r>
        <w:rPr/>
        <w:t>日，转让双方收到中国证券登记结算有限责任公司出具的《证券过户登记确认书》，杨 </w:t>
      </w:r>
      <w:r>
        <w:rPr>
          <w:spacing w:val="-1"/>
        </w:rPr>
        <w:t>维国、付秋生、尚卫国、赵利宾、华梦阳、傅常顺、杜建平、刘恩臣、葛晓阁通过协议方式转让给上海云</w:t>
      </w:r>
      <w:r>
        <w:rPr>
          <w:spacing w:val="-84"/>
        </w:rPr>
        <w:t> </w:t>
      </w:r>
      <w:r>
        <w:rPr>
          <w:spacing w:val="-84"/>
        </w:rPr>
      </w:r>
      <w:r>
        <w:rPr/>
        <w:t>鑫的</w:t>
      </w:r>
      <w:r>
        <w:rPr>
          <w:rFonts w:ascii="Times New Roman" w:hAnsi="Times New Roman" w:cs="Times New Roman" w:eastAsia="Times New Roman" w:hint="default"/>
        </w:rPr>
        <w:t>30,210,000</w:t>
      </w:r>
      <w:r>
        <w:rPr/>
        <w:t>股无限售流通股份已于</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28</w:t>
      </w:r>
      <w:r>
        <w:rPr/>
        <w:t>日完成了过户登记手续。</w:t>
      </w:r>
    </w:p>
    <w:p>
      <w:pPr>
        <w:pStyle w:val="BodyText"/>
        <w:spacing w:line="408" w:lineRule="auto" w:before="24"/>
        <w:ind w:left="577" w:right="1123"/>
        <w:jc w:val="left"/>
      </w:pPr>
      <w:r>
        <w:rPr/>
        <w:t>以上内容详见公司刊登在中国证监会指定创业板信息披露网站上披露的相关公告。 </w:t>
      </w:r>
      <w:r>
        <w:rPr>
          <w:spacing w:val="-1"/>
        </w:rPr>
        <w:t>截至本报告披露日，上海云鑫持有公司股份</w:t>
      </w:r>
      <w:r>
        <w:rPr>
          <w:rFonts w:ascii="Times New Roman" w:hAnsi="Times New Roman" w:cs="Times New Roman" w:eastAsia="Times New Roman" w:hint="default"/>
          <w:spacing w:val="-1"/>
        </w:rPr>
        <w:t>30,210,000</w:t>
      </w:r>
      <w:r>
        <w:rPr>
          <w:spacing w:val="-1"/>
        </w:rPr>
        <w:t>股，约占目前公司总股本的</w:t>
      </w:r>
      <w:r>
        <w:rPr>
          <w:rFonts w:ascii="Times New Roman" w:hAnsi="Times New Roman" w:cs="Times New Roman" w:eastAsia="Times New Roman" w:hint="default"/>
          <w:spacing w:val="-1"/>
        </w:rPr>
        <w:t>6.28%</w:t>
      </w:r>
      <w:r>
        <w:rPr>
          <w:spacing w:val="-1"/>
        </w:rPr>
        <w:t>，为公司第二</w:t>
      </w:r>
    </w:p>
    <w:p>
      <w:pPr>
        <w:pStyle w:val="BodyText"/>
        <w:spacing w:line="240" w:lineRule="auto" w:before="14"/>
        <w:ind w:right="1117"/>
        <w:jc w:val="left"/>
      </w:pPr>
      <w:r>
        <w:rPr/>
        <w:t>大股东。</w:t>
      </w:r>
    </w:p>
    <w:p>
      <w:pPr>
        <w:spacing w:line="240" w:lineRule="auto" w:before="0"/>
        <w:rPr>
          <w:rFonts w:ascii="宋体" w:hAnsi="宋体" w:cs="宋体" w:eastAsia="宋体" w:hint="default"/>
          <w:sz w:val="20"/>
          <w:szCs w:val="20"/>
        </w:rPr>
      </w:pPr>
    </w:p>
    <w:p>
      <w:pPr>
        <w:pStyle w:val="Heading2"/>
        <w:spacing w:line="240" w:lineRule="auto" w:before="131"/>
        <w:ind w:right="1117"/>
        <w:jc w:val="left"/>
        <w:rPr>
          <w:b w:val="0"/>
          <w:bCs w:val="0"/>
        </w:rPr>
      </w:pPr>
      <w:bookmarkStart w:name="十九、公司子公司重大事项" w:id="105"/>
      <w:bookmarkEnd w:id="105"/>
      <w:r>
        <w:rPr>
          <w:b w:val="0"/>
          <w:bCs w:val="0"/>
        </w:rPr>
      </w:r>
      <w:r>
        <w:rPr/>
        <w:t>十九、公司子公司重大事项</w:t>
      </w:r>
      <w:r>
        <w:rPr>
          <w:b w:val="0"/>
          <w:bCs w:val="0"/>
        </w:rPr>
      </w:r>
    </w:p>
    <w:p>
      <w:pPr>
        <w:spacing w:line="240" w:lineRule="auto" w:before="7"/>
        <w:rPr>
          <w:rFonts w:ascii="宋体" w:hAnsi="宋体" w:cs="宋体" w:eastAsia="宋体" w:hint="default"/>
          <w:b/>
          <w:bCs/>
          <w:sz w:val="26"/>
          <w:szCs w:val="26"/>
        </w:rPr>
      </w:pPr>
    </w:p>
    <w:p>
      <w:pPr>
        <w:spacing w:before="0"/>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pStyle w:val="BodyText"/>
        <w:spacing w:line="398" w:lineRule="auto" w:before="153"/>
        <w:ind w:right="1130" w:firstLine="423"/>
        <w:jc w:val="both"/>
      </w:pPr>
      <w:r>
        <w:rPr>
          <w:rFonts w:ascii="Times New Roman" w:hAnsi="Times New Roman" w:cs="Times New Roman" w:eastAsia="Times New Roman" w:hint="default"/>
          <w:spacing w:val="-1"/>
        </w:rPr>
        <w:t>1</w:t>
      </w:r>
      <w:r>
        <w:rPr>
          <w:spacing w:val="-1"/>
        </w:rPr>
        <w:t>、为了降低公司运营管理成本、提高运营效率、充分整合资源，公司于</w:t>
      </w:r>
      <w:r>
        <w:rPr>
          <w:rFonts w:ascii="Times New Roman" w:hAnsi="Times New Roman" w:cs="Times New Roman" w:eastAsia="Times New Roman" w:hint="default"/>
          <w:spacing w:val="-1"/>
        </w:rPr>
        <w:t>2018</w:t>
      </w:r>
      <w:r>
        <w:rPr>
          <w:spacing w:val="-1"/>
        </w:rPr>
        <w:t>年</w:t>
      </w:r>
      <w:r>
        <w:rPr>
          <w:rFonts w:ascii="Times New Roman" w:hAnsi="Times New Roman" w:cs="Times New Roman" w:eastAsia="Times New Roman" w:hint="default"/>
          <w:spacing w:val="-1"/>
        </w:rPr>
        <w:t>4</w:t>
      </w:r>
      <w:r>
        <w:rPr>
          <w:spacing w:val="-1"/>
        </w:rPr>
        <w:t>月</w:t>
      </w:r>
      <w:r>
        <w:rPr>
          <w:rFonts w:ascii="Times New Roman" w:hAnsi="Times New Roman" w:cs="Times New Roman" w:eastAsia="Times New Roman" w:hint="default"/>
          <w:spacing w:val="-1"/>
        </w:rPr>
        <w:t>25</w:t>
      </w:r>
      <w:r>
        <w:rPr>
          <w:spacing w:val="-1"/>
        </w:rPr>
        <w:t>日召开的第四届</w:t>
      </w:r>
      <w:r>
        <w:rPr/>
        <w:t> </w:t>
      </w:r>
      <w:r>
        <w:rPr>
          <w:spacing w:val="-1"/>
        </w:rPr>
        <w:t>董事会第十一次会议审议通过了《关于注销控股子公司的议案》，同意注销控股子公司山西新开普信息科</w:t>
      </w:r>
      <w:r>
        <w:rPr>
          <w:spacing w:val="-83"/>
        </w:rPr>
        <w:t> </w:t>
      </w:r>
      <w:r>
        <w:rPr>
          <w:spacing w:val="-83"/>
        </w:rPr>
      </w:r>
      <w:r>
        <w:rPr/>
        <w:t>技有限公司。</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11</w:t>
      </w:r>
      <w:r>
        <w:rPr/>
        <w:t>月</w:t>
      </w:r>
      <w:r>
        <w:rPr>
          <w:rFonts w:ascii="Times New Roman" w:hAnsi="Times New Roman" w:cs="Times New Roman" w:eastAsia="Times New Roman" w:hint="default"/>
        </w:rPr>
        <w:t>13</w:t>
      </w:r>
      <w:r>
        <w:rPr/>
        <w:t>日，山西新开普所有税务事项均已结清。</w:t>
      </w:r>
    </w:p>
    <w:p>
      <w:pPr>
        <w:pStyle w:val="BodyText"/>
        <w:spacing w:line="391" w:lineRule="auto" w:before="24"/>
        <w:ind w:right="1117" w:firstLine="423"/>
        <w:jc w:val="left"/>
      </w:pPr>
      <w:r>
        <w:rPr>
          <w:rFonts w:ascii="Times New Roman" w:hAnsi="Times New Roman" w:cs="Times New Roman" w:eastAsia="Times New Roman" w:hint="default"/>
        </w:rPr>
        <w:t>2</w:t>
      </w:r>
      <w:r>
        <w:rPr/>
        <w:t>、</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10</w:t>
      </w:r>
      <w:r>
        <w:rPr/>
        <w:t>日，公司召开的第四届董事会第十七次会议审议通过《关于转让全资子公司部分股 </w:t>
      </w:r>
      <w:r>
        <w:rPr>
          <w:spacing w:val="-5"/>
        </w:rPr>
        <w:t>权暨关联交易的议案》，同意公司与上海天维恒瑞企业管理合伙企业（有限合伙）签署《股权转让协议》，</w:t>
      </w:r>
      <w:r>
        <w:rPr/>
        <w:t> </w:t>
      </w:r>
      <w:r>
        <w:rPr>
          <w:spacing w:val="-4"/>
        </w:rPr>
        <w:t>公司向天维恒瑞转让全资子公司完美数联（北京）科技有限公司</w:t>
      </w:r>
      <w:r>
        <w:rPr>
          <w:rFonts w:ascii="Times New Roman" w:hAnsi="Times New Roman" w:cs="Times New Roman" w:eastAsia="Times New Roman" w:hint="default"/>
          <w:spacing w:val="-4"/>
        </w:rPr>
        <w:t>14.2857%</w:t>
      </w:r>
      <w:r>
        <w:rPr>
          <w:spacing w:val="-4"/>
        </w:rPr>
        <w:t>的股权（对应认缴注册资本</w:t>
      </w:r>
      <w:r>
        <w:rPr>
          <w:rFonts w:ascii="Times New Roman" w:hAnsi="Times New Roman" w:cs="Times New Roman" w:eastAsia="Times New Roman" w:hint="default"/>
          <w:spacing w:val="-4"/>
        </w:rPr>
        <w:t>285.71</w:t>
      </w:r>
      <w:r>
        <w:rPr>
          <w:rFonts w:ascii="Times New Roman" w:hAnsi="Times New Roman" w:cs="Times New Roman" w:eastAsia="Times New Roman" w:hint="default"/>
          <w:spacing w:val="-36"/>
        </w:rPr>
        <w:t> </w:t>
      </w:r>
      <w:r>
        <w:rPr/>
        <w:t>万元，实缴金额</w:t>
      </w:r>
      <w:r>
        <w:rPr>
          <w:rFonts w:ascii="Times New Roman" w:hAnsi="Times New Roman" w:cs="Times New Roman" w:eastAsia="Times New Roman" w:hint="default"/>
        </w:rPr>
        <w:t>0.00</w:t>
      </w:r>
      <w:r>
        <w:rPr/>
        <w:t>元）。本次股权转让完成后，公司持有完美数联</w:t>
      </w:r>
      <w:r>
        <w:rPr>
          <w:rFonts w:ascii="Times New Roman" w:hAnsi="Times New Roman" w:cs="Times New Roman" w:eastAsia="Times New Roman" w:hint="default"/>
        </w:rPr>
        <w:t>85.7143%</w:t>
      </w:r>
      <w:r>
        <w:rPr/>
        <w:t>的股权，并已于</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12</w:t>
      </w:r>
      <w:r>
        <w:rPr/>
        <w:t>月 </w:t>
      </w:r>
      <w:r>
        <w:rPr>
          <w:rFonts w:ascii="Times New Roman" w:hAnsi="Times New Roman" w:cs="Times New Roman" w:eastAsia="Times New Roman" w:hint="default"/>
        </w:rPr>
        <w:t>28</w:t>
      </w:r>
      <w:r>
        <w:rPr/>
        <w:t>日完成工商变更。</w:t>
      </w:r>
    </w:p>
    <w:p>
      <w:pPr>
        <w:pStyle w:val="BodyText"/>
        <w:spacing w:line="391" w:lineRule="auto" w:before="30"/>
        <w:ind w:right="0" w:firstLine="423"/>
        <w:jc w:val="left"/>
      </w:pPr>
      <w:r>
        <w:rPr>
          <w:rFonts w:ascii="Times New Roman" w:hAnsi="Times New Roman" w:cs="Times New Roman" w:eastAsia="Times New Roman" w:hint="default"/>
        </w:rPr>
        <w:t>2019</w:t>
      </w:r>
      <w:r>
        <w:rPr/>
        <w:t>年</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6</w:t>
      </w:r>
      <w:r>
        <w:rPr/>
        <w:t>日，公司第四届董事会第十八次会议审议通过了《关于上海云鑫创业投资有限公司增资完 美数联（北京）科技有限公司暨关联交易的议案》，同意公司、完美数联、上海天维恒瑞企业管理合伙企 业（有限合伙）与上海云鑫创业投资有限公司签署相关交易协议。上海云鑫拟以人民币</w:t>
      </w:r>
      <w:r>
        <w:rPr>
          <w:rFonts w:ascii="Times New Roman" w:hAnsi="Times New Roman" w:cs="Times New Roman" w:eastAsia="Times New Roman" w:hint="default"/>
        </w:rPr>
        <w:t>25,000</w:t>
      </w:r>
      <w:r>
        <w:rPr/>
        <w:t>万元对完美 数联进行增资。本次交易交割全部完成后，完美数联注册资本将增加至</w:t>
      </w:r>
      <w:r>
        <w:rPr>
          <w:rFonts w:ascii="Times New Roman" w:hAnsi="Times New Roman" w:cs="Times New Roman" w:eastAsia="Times New Roman" w:hint="default"/>
        </w:rPr>
        <w:t>2,857</w:t>
      </w:r>
      <w:r>
        <w:rPr/>
        <w:t>万元，新开普持有</w:t>
      </w:r>
      <w:r>
        <w:rPr>
          <w:rFonts w:ascii="Times New Roman" w:hAnsi="Times New Roman" w:cs="Times New Roman" w:eastAsia="Times New Roman" w:hint="default"/>
        </w:rPr>
        <w:t>60%</w:t>
      </w:r>
      <w:r>
        <w:rPr/>
        <w:t>股权，</w:t>
      </w:r>
      <w:r>
        <w:rPr>
          <w:spacing w:val="-51"/>
        </w:rPr>
        <w:t> </w:t>
      </w:r>
      <w:r>
        <w:rPr>
          <w:spacing w:val="-51"/>
        </w:rPr>
      </w:r>
      <w:r>
        <w:rPr/>
        <w:t>天维恒瑞持有</w:t>
      </w:r>
      <w:r>
        <w:rPr>
          <w:rFonts w:ascii="Times New Roman" w:hAnsi="Times New Roman" w:cs="Times New Roman" w:eastAsia="Times New Roman" w:hint="default"/>
        </w:rPr>
        <w:t>10%</w:t>
      </w:r>
      <w:r>
        <w:rPr/>
        <w:t>股权，上海云鑫持有</w:t>
      </w:r>
      <w:r>
        <w:rPr>
          <w:rFonts w:ascii="Times New Roman" w:hAnsi="Times New Roman" w:cs="Times New Roman" w:eastAsia="Times New Roman" w:hint="default"/>
        </w:rPr>
        <w:t>30%</w:t>
      </w:r>
      <w:r>
        <w:rPr/>
        <w:t>股权。</w:t>
      </w:r>
    </w:p>
    <w:p>
      <w:pPr>
        <w:spacing w:after="0" w:line="391" w:lineRule="auto"/>
        <w:jc w:val="left"/>
        <w:sectPr>
          <w:pgSz w:w="11910" w:h="16840"/>
          <w:pgMar w:header="877" w:footer="979" w:top="110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9"/>
          <w:szCs w:val="19"/>
        </w:rPr>
      </w:pPr>
    </w:p>
    <w:p>
      <w:pPr>
        <w:pStyle w:val="Heading1"/>
        <w:spacing w:line="240" w:lineRule="auto"/>
        <w:ind w:left="2966" w:right="1117"/>
        <w:jc w:val="left"/>
        <w:rPr>
          <w:b w:val="0"/>
          <w:bCs w:val="0"/>
        </w:rPr>
      </w:pPr>
      <w:bookmarkStart w:name="第六节 股份变动及股东情况" w:id="106"/>
      <w:bookmarkEnd w:id="106"/>
      <w:r>
        <w:rPr>
          <w:b w:val="0"/>
          <w:bCs w:val="0"/>
        </w:rPr>
      </w:r>
      <w:bookmarkStart w:name="_bookmark4" w:id="107"/>
      <w:bookmarkEnd w:id="107"/>
      <w:r>
        <w:rPr>
          <w:b w:val="0"/>
          <w:bCs w:val="0"/>
        </w:rPr>
      </w:r>
      <w:r>
        <w:rPr/>
        <w:t>第六节</w:t>
      </w:r>
      <w:r>
        <w:rPr>
          <w:spacing w:val="-10"/>
        </w:rPr>
        <w:t> </w:t>
      </w:r>
      <w:r>
        <w:rPr/>
        <w:t>股份变动及股东情况</w:t>
      </w:r>
      <w:r>
        <w:rPr>
          <w:b w:val="0"/>
          <w:bCs w:val="0"/>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6"/>
          <w:szCs w:val="16"/>
        </w:rPr>
      </w:pPr>
    </w:p>
    <w:p>
      <w:pPr>
        <w:pStyle w:val="Heading2"/>
        <w:spacing w:line="240" w:lineRule="auto" w:before="26"/>
        <w:ind w:right="1117"/>
        <w:jc w:val="left"/>
        <w:rPr>
          <w:b w:val="0"/>
          <w:bCs w:val="0"/>
        </w:rPr>
      </w:pPr>
      <w:bookmarkStart w:name="一、股份变动情况" w:id="108"/>
      <w:bookmarkEnd w:id="108"/>
      <w:r>
        <w:rPr>
          <w:b w:val="0"/>
          <w:bCs w:val="0"/>
        </w:rPr>
      </w:r>
      <w:r>
        <w:rPr/>
        <w:t>一、股份变动情况</w:t>
      </w:r>
      <w:r>
        <w:rPr>
          <w:b w:val="0"/>
          <w:bCs w:val="0"/>
        </w:rPr>
      </w:r>
    </w:p>
    <w:p>
      <w:pPr>
        <w:spacing w:line="240" w:lineRule="auto" w:before="9"/>
        <w:rPr>
          <w:rFonts w:ascii="宋体" w:hAnsi="宋体" w:cs="宋体" w:eastAsia="宋体" w:hint="default"/>
          <w:b/>
          <w:bCs/>
          <w:sz w:val="24"/>
          <w:szCs w:val="24"/>
        </w:rPr>
      </w:pPr>
    </w:p>
    <w:p>
      <w:pPr>
        <w:pStyle w:val="Heading4"/>
        <w:spacing w:line="240" w:lineRule="auto"/>
        <w:ind w:right="1117"/>
        <w:jc w:val="left"/>
        <w:rPr>
          <w:b w:val="0"/>
          <w:bCs w:val="0"/>
        </w:rPr>
      </w:pPr>
      <w:bookmarkStart w:name="1、股份变动情况" w:id="109"/>
      <w:bookmarkEnd w:id="109"/>
      <w:r>
        <w:rPr>
          <w:b w:val="0"/>
          <w:bCs w:val="0"/>
        </w:rPr>
      </w:r>
      <w:r>
        <w:rPr>
          <w:rFonts w:ascii="Times New Roman" w:hAnsi="Times New Roman" w:cs="Times New Roman" w:eastAsia="Times New Roman" w:hint="default"/>
        </w:rPr>
        <w:t>1</w:t>
      </w:r>
      <w:r>
        <w:rPr/>
        <w:t>、股份变动情况</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单位：股</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2216"/>
        <w:gridCol w:w="823"/>
        <w:gridCol w:w="824"/>
        <w:gridCol w:w="822"/>
        <w:gridCol w:w="822"/>
        <w:gridCol w:w="822"/>
        <w:gridCol w:w="822"/>
        <w:gridCol w:w="822"/>
        <w:gridCol w:w="794"/>
        <w:gridCol w:w="794"/>
      </w:tblGrid>
      <w:tr>
        <w:trPr>
          <w:trHeight w:val="402" w:hRule="exact"/>
        </w:trPr>
        <w:tc>
          <w:tcPr>
            <w:tcW w:w="2216" w:type="dxa"/>
            <w:tcBorders>
              <w:top w:val="single" w:sz="4" w:space="0" w:color="000000"/>
              <w:left w:val="single" w:sz="4" w:space="0" w:color="000000"/>
              <w:bottom w:val="nil" w:sz="6" w:space="0" w:color="auto"/>
              <w:right w:val="single" w:sz="4" w:space="0" w:color="000000"/>
            </w:tcBorders>
            <w:shd w:val="clear" w:color="auto" w:fill="D2D2D2"/>
          </w:tcPr>
          <w:p>
            <w:pPr/>
          </w:p>
        </w:tc>
        <w:tc>
          <w:tcPr>
            <w:tcW w:w="1647"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67" w:right="0"/>
              <w:jc w:val="left"/>
              <w:rPr>
                <w:rFonts w:ascii="宋体" w:hAnsi="宋体" w:cs="宋体" w:eastAsia="宋体" w:hint="default"/>
                <w:sz w:val="18"/>
                <w:szCs w:val="18"/>
              </w:rPr>
            </w:pPr>
            <w:r>
              <w:rPr>
                <w:rFonts w:ascii="宋体" w:hAnsi="宋体" w:cs="宋体" w:eastAsia="宋体" w:hint="default"/>
                <w:sz w:val="18"/>
                <w:szCs w:val="18"/>
              </w:rPr>
              <w:t>本次变动前</w:t>
            </w:r>
          </w:p>
        </w:tc>
        <w:tc>
          <w:tcPr>
            <w:tcW w:w="4110"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59" w:right="0"/>
              <w:jc w:val="left"/>
              <w:rPr>
                <w:rFonts w:ascii="宋体" w:hAnsi="宋体" w:cs="宋体" w:eastAsia="宋体" w:hint="default"/>
                <w:sz w:val="18"/>
                <w:szCs w:val="18"/>
              </w:rPr>
            </w:pPr>
            <w:r>
              <w:rPr>
                <w:rFonts w:ascii="宋体" w:hAnsi="宋体" w:cs="宋体" w:eastAsia="宋体" w:hint="default"/>
                <w:sz w:val="18"/>
                <w:szCs w:val="18"/>
              </w:rPr>
              <w:t>本次变动增减（＋，－）</w:t>
            </w:r>
          </w:p>
        </w:tc>
        <w:tc>
          <w:tcPr>
            <w:tcW w:w="158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39" w:right="0"/>
              <w:jc w:val="left"/>
              <w:rPr>
                <w:rFonts w:ascii="宋体" w:hAnsi="宋体" w:cs="宋体" w:eastAsia="宋体" w:hint="default"/>
                <w:sz w:val="18"/>
                <w:szCs w:val="18"/>
              </w:rPr>
            </w:pPr>
            <w:r>
              <w:rPr>
                <w:rFonts w:ascii="宋体" w:hAnsi="宋体" w:cs="宋体" w:eastAsia="宋体" w:hint="default"/>
                <w:sz w:val="18"/>
                <w:szCs w:val="18"/>
              </w:rPr>
              <w:t>本次变动后</w:t>
            </w:r>
          </w:p>
        </w:tc>
      </w:tr>
      <w:tr>
        <w:trPr>
          <w:trHeight w:val="161" w:hRule="exact"/>
        </w:trPr>
        <w:tc>
          <w:tcPr>
            <w:tcW w:w="2216" w:type="dxa"/>
            <w:vMerge w:val="restart"/>
            <w:tcBorders>
              <w:top w:val="nil" w:sz="6" w:space="0" w:color="auto"/>
              <w:left w:val="single" w:sz="4" w:space="0" w:color="000000"/>
              <w:right w:val="single" w:sz="4" w:space="0" w:color="000000"/>
            </w:tcBorders>
            <w:shd w:val="clear" w:color="auto" w:fill="D2D2D2"/>
          </w:tcPr>
          <w:p>
            <w:pPr/>
          </w:p>
        </w:tc>
        <w:tc>
          <w:tcPr>
            <w:tcW w:w="823" w:type="dxa"/>
            <w:tcBorders>
              <w:top w:val="single" w:sz="4" w:space="0" w:color="000000"/>
              <w:left w:val="single" w:sz="4" w:space="0" w:color="000000"/>
              <w:bottom w:val="nil" w:sz="6" w:space="0" w:color="auto"/>
              <w:right w:val="single" w:sz="4" w:space="0" w:color="000000"/>
            </w:tcBorders>
            <w:shd w:val="clear" w:color="auto" w:fill="D2D2D2"/>
          </w:tcPr>
          <w:p>
            <w:pPr/>
          </w:p>
        </w:tc>
        <w:tc>
          <w:tcPr>
            <w:tcW w:w="824" w:type="dxa"/>
            <w:tcBorders>
              <w:top w:val="single" w:sz="4" w:space="0" w:color="000000"/>
              <w:left w:val="single" w:sz="4" w:space="0" w:color="000000"/>
              <w:bottom w:val="nil" w:sz="6" w:space="0" w:color="auto"/>
              <w:right w:val="single" w:sz="4" w:space="0" w:color="000000"/>
            </w:tcBorders>
            <w:shd w:val="clear" w:color="auto" w:fill="D2D2D2"/>
          </w:tcPr>
          <w:p>
            <w:pPr/>
          </w:p>
        </w:tc>
        <w:tc>
          <w:tcPr>
            <w:tcW w:w="822" w:type="dxa"/>
            <w:tcBorders>
              <w:top w:val="single" w:sz="4" w:space="0" w:color="000000"/>
              <w:left w:val="single" w:sz="4" w:space="0" w:color="000000"/>
              <w:bottom w:val="nil" w:sz="6" w:space="0" w:color="auto"/>
              <w:right w:val="single" w:sz="4" w:space="0" w:color="000000"/>
            </w:tcBorders>
            <w:shd w:val="clear" w:color="auto" w:fill="D2D2D2"/>
          </w:tcPr>
          <w:p>
            <w:pPr/>
          </w:p>
        </w:tc>
        <w:tc>
          <w:tcPr>
            <w:tcW w:w="822" w:type="dxa"/>
            <w:tcBorders>
              <w:top w:val="single" w:sz="4" w:space="0" w:color="000000"/>
              <w:left w:val="single" w:sz="4" w:space="0" w:color="000000"/>
              <w:bottom w:val="nil" w:sz="6" w:space="0" w:color="auto"/>
              <w:right w:val="single" w:sz="4" w:space="0" w:color="000000"/>
            </w:tcBorders>
            <w:shd w:val="clear" w:color="auto" w:fill="D2D2D2"/>
          </w:tcPr>
          <w:p>
            <w:pPr/>
          </w:p>
        </w:tc>
        <w:tc>
          <w:tcPr>
            <w:tcW w:w="822"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51"/>
              <w:ind w:left="316" w:right="43" w:hanging="270"/>
              <w:jc w:val="left"/>
              <w:rPr>
                <w:rFonts w:ascii="宋体" w:hAnsi="宋体" w:cs="宋体" w:eastAsia="宋体" w:hint="default"/>
                <w:sz w:val="18"/>
                <w:szCs w:val="18"/>
              </w:rPr>
            </w:pPr>
            <w:r>
              <w:rPr>
                <w:rFonts w:ascii="宋体" w:hAnsi="宋体" w:cs="宋体" w:eastAsia="宋体" w:hint="default"/>
                <w:sz w:val="18"/>
                <w:szCs w:val="18"/>
              </w:rPr>
              <w:t>公积金转 股</w:t>
            </w:r>
          </w:p>
        </w:tc>
        <w:tc>
          <w:tcPr>
            <w:tcW w:w="822" w:type="dxa"/>
            <w:tcBorders>
              <w:top w:val="single" w:sz="4" w:space="0" w:color="000000"/>
              <w:left w:val="single" w:sz="4" w:space="0" w:color="000000"/>
              <w:bottom w:val="nil" w:sz="6" w:space="0" w:color="auto"/>
              <w:right w:val="single" w:sz="4" w:space="0" w:color="000000"/>
            </w:tcBorders>
            <w:shd w:val="clear" w:color="auto" w:fill="D2D2D2"/>
          </w:tcPr>
          <w:p>
            <w:pPr/>
          </w:p>
        </w:tc>
        <w:tc>
          <w:tcPr>
            <w:tcW w:w="822" w:type="dxa"/>
            <w:tcBorders>
              <w:top w:val="single" w:sz="4" w:space="0" w:color="000000"/>
              <w:left w:val="single" w:sz="4" w:space="0" w:color="000000"/>
              <w:bottom w:val="nil" w:sz="6" w:space="0" w:color="auto"/>
              <w:right w:val="single" w:sz="4" w:space="0" w:color="000000"/>
            </w:tcBorders>
            <w:shd w:val="clear" w:color="auto" w:fill="D2D2D2"/>
          </w:tcPr>
          <w:p>
            <w:pPr/>
          </w:p>
        </w:tc>
        <w:tc>
          <w:tcPr>
            <w:tcW w:w="794" w:type="dxa"/>
            <w:tcBorders>
              <w:top w:val="single" w:sz="4" w:space="0" w:color="000000"/>
              <w:left w:val="single" w:sz="4" w:space="0" w:color="000000"/>
              <w:bottom w:val="nil" w:sz="6" w:space="0" w:color="auto"/>
              <w:right w:val="single" w:sz="4" w:space="0" w:color="000000"/>
            </w:tcBorders>
            <w:shd w:val="clear" w:color="auto" w:fill="D2D2D2"/>
          </w:tcPr>
          <w:p>
            <w:pPr/>
          </w:p>
        </w:tc>
        <w:tc>
          <w:tcPr>
            <w:tcW w:w="794"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91" w:hRule="exact"/>
        </w:trPr>
        <w:tc>
          <w:tcPr>
            <w:tcW w:w="2216" w:type="dxa"/>
            <w:vMerge/>
            <w:tcBorders>
              <w:left w:val="single" w:sz="4" w:space="0" w:color="000000"/>
              <w:bottom w:val="nil" w:sz="6" w:space="0" w:color="auto"/>
              <w:right w:val="single" w:sz="4" w:space="0" w:color="000000"/>
            </w:tcBorders>
            <w:shd w:val="clear" w:color="auto" w:fill="D2D2D2"/>
          </w:tcPr>
          <w:p>
            <w:pPr/>
          </w:p>
        </w:tc>
        <w:tc>
          <w:tcPr>
            <w:tcW w:w="82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225"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82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225"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82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45" w:right="0"/>
              <w:jc w:val="left"/>
              <w:rPr>
                <w:rFonts w:ascii="宋体" w:hAnsi="宋体" w:cs="宋体" w:eastAsia="宋体" w:hint="default"/>
                <w:sz w:val="18"/>
                <w:szCs w:val="18"/>
              </w:rPr>
            </w:pPr>
            <w:r>
              <w:rPr>
                <w:rFonts w:ascii="宋体" w:hAnsi="宋体" w:cs="宋体" w:eastAsia="宋体" w:hint="default"/>
                <w:sz w:val="18"/>
                <w:szCs w:val="18"/>
              </w:rPr>
              <w:t>发行新股</w:t>
            </w:r>
          </w:p>
        </w:tc>
        <w:tc>
          <w:tcPr>
            <w:tcW w:w="82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226" w:right="0"/>
              <w:jc w:val="left"/>
              <w:rPr>
                <w:rFonts w:ascii="宋体" w:hAnsi="宋体" w:cs="宋体" w:eastAsia="宋体" w:hint="default"/>
                <w:sz w:val="18"/>
                <w:szCs w:val="18"/>
              </w:rPr>
            </w:pPr>
            <w:r>
              <w:rPr>
                <w:rFonts w:ascii="宋体" w:hAnsi="宋体" w:cs="宋体" w:eastAsia="宋体" w:hint="default"/>
                <w:sz w:val="18"/>
                <w:szCs w:val="18"/>
              </w:rPr>
              <w:t>送股</w:t>
            </w:r>
          </w:p>
        </w:tc>
        <w:tc>
          <w:tcPr>
            <w:tcW w:w="822" w:type="dxa"/>
            <w:vMerge/>
            <w:tcBorders>
              <w:left w:val="single" w:sz="4" w:space="0" w:color="000000"/>
              <w:right w:val="single" w:sz="4" w:space="0" w:color="000000"/>
            </w:tcBorders>
            <w:shd w:val="clear" w:color="auto" w:fill="D2D2D2"/>
          </w:tcPr>
          <w:p>
            <w:pPr/>
          </w:p>
        </w:tc>
        <w:tc>
          <w:tcPr>
            <w:tcW w:w="82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226"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82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226"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79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212"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79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211" w:right="0"/>
              <w:jc w:val="left"/>
              <w:rPr>
                <w:rFonts w:ascii="宋体" w:hAnsi="宋体" w:cs="宋体" w:eastAsia="宋体" w:hint="default"/>
                <w:sz w:val="18"/>
                <w:szCs w:val="18"/>
              </w:rPr>
            </w:pPr>
            <w:r>
              <w:rPr>
                <w:rFonts w:ascii="宋体" w:hAnsi="宋体" w:cs="宋体" w:eastAsia="宋体" w:hint="default"/>
                <w:sz w:val="18"/>
                <w:szCs w:val="18"/>
              </w:rPr>
              <w:t>比例</w:t>
            </w:r>
          </w:p>
        </w:tc>
      </w:tr>
      <w:tr>
        <w:trPr>
          <w:trHeight w:val="202" w:hRule="exact"/>
        </w:trPr>
        <w:tc>
          <w:tcPr>
            <w:tcW w:w="2216" w:type="dxa"/>
            <w:vMerge w:val="restart"/>
            <w:tcBorders>
              <w:top w:val="nil" w:sz="6" w:space="0" w:color="auto"/>
              <w:left w:val="single" w:sz="4" w:space="0" w:color="000000"/>
              <w:right w:val="single" w:sz="4" w:space="0" w:color="000000"/>
            </w:tcBorders>
            <w:shd w:val="clear" w:color="auto" w:fill="D2D2D2"/>
          </w:tcPr>
          <w:p>
            <w:pPr/>
          </w:p>
        </w:tc>
        <w:tc>
          <w:tcPr>
            <w:tcW w:w="823" w:type="dxa"/>
            <w:vMerge/>
            <w:tcBorders>
              <w:left w:val="single" w:sz="4" w:space="0" w:color="000000"/>
              <w:bottom w:val="nil" w:sz="6" w:space="0" w:color="auto"/>
              <w:right w:val="single" w:sz="4" w:space="0" w:color="000000"/>
            </w:tcBorders>
            <w:shd w:val="clear" w:color="auto" w:fill="D2D2D2"/>
          </w:tcPr>
          <w:p>
            <w:pPr/>
          </w:p>
        </w:tc>
        <w:tc>
          <w:tcPr>
            <w:tcW w:w="824" w:type="dxa"/>
            <w:vMerge/>
            <w:tcBorders>
              <w:left w:val="single" w:sz="4" w:space="0" w:color="000000"/>
              <w:bottom w:val="nil" w:sz="6" w:space="0" w:color="auto"/>
              <w:right w:val="single" w:sz="4" w:space="0" w:color="000000"/>
            </w:tcBorders>
            <w:shd w:val="clear" w:color="auto" w:fill="D2D2D2"/>
          </w:tcPr>
          <w:p>
            <w:pPr/>
          </w:p>
        </w:tc>
        <w:tc>
          <w:tcPr>
            <w:tcW w:w="822" w:type="dxa"/>
            <w:vMerge/>
            <w:tcBorders>
              <w:left w:val="single" w:sz="4" w:space="0" w:color="000000"/>
              <w:bottom w:val="nil" w:sz="6" w:space="0" w:color="auto"/>
              <w:right w:val="single" w:sz="4" w:space="0" w:color="000000"/>
            </w:tcBorders>
            <w:shd w:val="clear" w:color="auto" w:fill="D2D2D2"/>
          </w:tcPr>
          <w:p>
            <w:pPr/>
          </w:p>
        </w:tc>
        <w:tc>
          <w:tcPr>
            <w:tcW w:w="822" w:type="dxa"/>
            <w:vMerge/>
            <w:tcBorders>
              <w:left w:val="single" w:sz="4" w:space="0" w:color="000000"/>
              <w:bottom w:val="nil" w:sz="6" w:space="0" w:color="auto"/>
              <w:right w:val="single" w:sz="4" w:space="0" w:color="000000"/>
            </w:tcBorders>
            <w:shd w:val="clear" w:color="auto" w:fill="D2D2D2"/>
          </w:tcPr>
          <w:p>
            <w:pPr/>
          </w:p>
        </w:tc>
        <w:tc>
          <w:tcPr>
            <w:tcW w:w="822" w:type="dxa"/>
            <w:vMerge/>
            <w:tcBorders>
              <w:left w:val="single" w:sz="4" w:space="0" w:color="000000"/>
              <w:right w:val="single" w:sz="4" w:space="0" w:color="000000"/>
            </w:tcBorders>
            <w:shd w:val="clear" w:color="auto" w:fill="D2D2D2"/>
          </w:tcPr>
          <w:p>
            <w:pPr/>
          </w:p>
        </w:tc>
        <w:tc>
          <w:tcPr>
            <w:tcW w:w="822" w:type="dxa"/>
            <w:vMerge/>
            <w:tcBorders>
              <w:left w:val="single" w:sz="4" w:space="0" w:color="000000"/>
              <w:bottom w:val="nil" w:sz="6" w:space="0" w:color="auto"/>
              <w:right w:val="single" w:sz="4" w:space="0" w:color="000000"/>
            </w:tcBorders>
            <w:shd w:val="clear" w:color="auto" w:fill="D2D2D2"/>
          </w:tcPr>
          <w:p>
            <w:pPr/>
          </w:p>
        </w:tc>
        <w:tc>
          <w:tcPr>
            <w:tcW w:w="822" w:type="dxa"/>
            <w:vMerge/>
            <w:tcBorders>
              <w:left w:val="single" w:sz="4" w:space="0" w:color="000000"/>
              <w:bottom w:val="nil" w:sz="6" w:space="0" w:color="auto"/>
              <w:right w:val="single" w:sz="4" w:space="0" w:color="000000"/>
            </w:tcBorders>
            <w:shd w:val="clear" w:color="auto" w:fill="D2D2D2"/>
          </w:tcPr>
          <w:p>
            <w:pPr/>
          </w:p>
        </w:tc>
        <w:tc>
          <w:tcPr>
            <w:tcW w:w="794" w:type="dxa"/>
            <w:vMerge/>
            <w:tcBorders>
              <w:left w:val="single" w:sz="4" w:space="0" w:color="000000"/>
              <w:bottom w:val="nil" w:sz="6" w:space="0" w:color="auto"/>
              <w:right w:val="single" w:sz="4" w:space="0" w:color="000000"/>
            </w:tcBorders>
            <w:shd w:val="clear" w:color="auto" w:fill="D2D2D2"/>
          </w:tcPr>
          <w:p>
            <w:pPr/>
          </w:p>
        </w:tc>
        <w:tc>
          <w:tcPr>
            <w:tcW w:w="794" w:type="dxa"/>
            <w:vMerge/>
            <w:tcBorders>
              <w:left w:val="single" w:sz="4" w:space="0" w:color="000000"/>
              <w:bottom w:val="nil" w:sz="6" w:space="0" w:color="auto"/>
              <w:right w:val="single" w:sz="4" w:space="0" w:color="000000"/>
            </w:tcBorders>
            <w:shd w:val="clear" w:color="auto" w:fill="D2D2D2"/>
          </w:tcPr>
          <w:p>
            <w:pPr/>
          </w:p>
        </w:tc>
      </w:tr>
      <w:tr>
        <w:trPr>
          <w:trHeight w:val="161" w:hRule="exact"/>
        </w:trPr>
        <w:tc>
          <w:tcPr>
            <w:tcW w:w="2216" w:type="dxa"/>
            <w:vMerge/>
            <w:tcBorders>
              <w:left w:val="single" w:sz="4" w:space="0" w:color="000000"/>
              <w:bottom w:val="single" w:sz="4" w:space="0" w:color="000000"/>
              <w:right w:val="single" w:sz="4" w:space="0" w:color="000000"/>
            </w:tcBorders>
            <w:shd w:val="clear" w:color="auto" w:fill="D2D2D2"/>
          </w:tcPr>
          <w:p>
            <w:pPr/>
          </w:p>
        </w:tc>
        <w:tc>
          <w:tcPr>
            <w:tcW w:w="823" w:type="dxa"/>
            <w:tcBorders>
              <w:top w:val="nil" w:sz="6" w:space="0" w:color="auto"/>
              <w:left w:val="single" w:sz="4" w:space="0" w:color="000000"/>
              <w:bottom w:val="single" w:sz="4" w:space="0" w:color="000000"/>
              <w:right w:val="single" w:sz="4" w:space="0" w:color="000000"/>
            </w:tcBorders>
            <w:shd w:val="clear" w:color="auto" w:fill="D2D2D2"/>
          </w:tcPr>
          <w:p>
            <w:pPr/>
          </w:p>
        </w:tc>
        <w:tc>
          <w:tcPr>
            <w:tcW w:w="824" w:type="dxa"/>
            <w:tcBorders>
              <w:top w:val="nil" w:sz="6" w:space="0" w:color="auto"/>
              <w:left w:val="single" w:sz="4" w:space="0" w:color="000000"/>
              <w:bottom w:val="single" w:sz="4" w:space="0" w:color="000000"/>
              <w:right w:val="single" w:sz="4" w:space="0" w:color="000000"/>
            </w:tcBorders>
            <w:shd w:val="clear" w:color="auto" w:fill="D2D2D2"/>
          </w:tcPr>
          <w:p>
            <w:pPr/>
          </w:p>
        </w:tc>
        <w:tc>
          <w:tcPr>
            <w:tcW w:w="822" w:type="dxa"/>
            <w:tcBorders>
              <w:top w:val="nil" w:sz="6" w:space="0" w:color="auto"/>
              <w:left w:val="single" w:sz="4" w:space="0" w:color="000000"/>
              <w:bottom w:val="single" w:sz="4" w:space="0" w:color="000000"/>
              <w:right w:val="single" w:sz="4" w:space="0" w:color="000000"/>
            </w:tcBorders>
            <w:shd w:val="clear" w:color="auto" w:fill="D2D2D2"/>
          </w:tcPr>
          <w:p>
            <w:pPr/>
          </w:p>
        </w:tc>
        <w:tc>
          <w:tcPr>
            <w:tcW w:w="822" w:type="dxa"/>
            <w:tcBorders>
              <w:top w:val="nil" w:sz="6" w:space="0" w:color="auto"/>
              <w:left w:val="single" w:sz="4" w:space="0" w:color="000000"/>
              <w:bottom w:val="single" w:sz="4" w:space="0" w:color="000000"/>
              <w:right w:val="single" w:sz="4" w:space="0" w:color="000000"/>
            </w:tcBorders>
            <w:shd w:val="clear" w:color="auto" w:fill="D2D2D2"/>
          </w:tcPr>
          <w:p>
            <w:pPr/>
          </w:p>
        </w:tc>
        <w:tc>
          <w:tcPr>
            <w:tcW w:w="822" w:type="dxa"/>
            <w:vMerge/>
            <w:tcBorders>
              <w:left w:val="single" w:sz="4" w:space="0" w:color="000000"/>
              <w:bottom w:val="single" w:sz="4" w:space="0" w:color="000000"/>
              <w:right w:val="single" w:sz="4" w:space="0" w:color="000000"/>
            </w:tcBorders>
            <w:shd w:val="clear" w:color="auto" w:fill="D2D2D2"/>
          </w:tcPr>
          <w:p>
            <w:pPr/>
          </w:p>
        </w:tc>
        <w:tc>
          <w:tcPr>
            <w:tcW w:w="822" w:type="dxa"/>
            <w:tcBorders>
              <w:top w:val="nil" w:sz="6" w:space="0" w:color="auto"/>
              <w:left w:val="single" w:sz="4" w:space="0" w:color="000000"/>
              <w:bottom w:val="single" w:sz="4" w:space="0" w:color="000000"/>
              <w:right w:val="single" w:sz="4" w:space="0" w:color="000000"/>
            </w:tcBorders>
            <w:shd w:val="clear" w:color="auto" w:fill="D2D2D2"/>
          </w:tcPr>
          <w:p>
            <w:pPr/>
          </w:p>
        </w:tc>
        <w:tc>
          <w:tcPr>
            <w:tcW w:w="822" w:type="dxa"/>
            <w:tcBorders>
              <w:top w:val="nil" w:sz="6" w:space="0" w:color="auto"/>
              <w:left w:val="single" w:sz="4" w:space="0" w:color="000000"/>
              <w:bottom w:val="single" w:sz="4" w:space="0" w:color="000000"/>
              <w:right w:val="single" w:sz="4" w:space="0" w:color="000000"/>
            </w:tcBorders>
            <w:shd w:val="clear" w:color="auto" w:fill="D2D2D2"/>
          </w:tcPr>
          <w:p>
            <w:pPr/>
          </w:p>
        </w:tc>
        <w:tc>
          <w:tcPr>
            <w:tcW w:w="794" w:type="dxa"/>
            <w:tcBorders>
              <w:top w:val="nil" w:sz="6" w:space="0" w:color="auto"/>
              <w:left w:val="single" w:sz="4" w:space="0" w:color="000000"/>
              <w:bottom w:val="single" w:sz="4" w:space="0" w:color="000000"/>
              <w:right w:val="single" w:sz="4" w:space="0" w:color="000000"/>
            </w:tcBorders>
            <w:shd w:val="clear" w:color="auto" w:fill="D2D2D2"/>
          </w:tcPr>
          <w:p>
            <w:pPr/>
          </w:p>
        </w:tc>
        <w:tc>
          <w:tcPr>
            <w:tcW w:w="794"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161" w:hRule="exact"/>
        </w:trPr>
        <w:tc>
          <w:tcPr>
            <w:tcW w:w="2216" w:type="dxa"/>
            <w:tcBorders>
              <w:top w:val="single" w:sz="4" w:space="0" w:color="000000"/>
              <w:left w:val="single" w:sz="4" w:space="0" w:color="000000"/>
              <w:bottom w:val="nil" w:sz="6" w:space="0" w:color="auto"/>
              <w:right w:val="single" w:sz="4" w:space="0" w:color="000000"/>
            </w:tcBorders>
            <w:shd w:val="clear" w:color="auto" w:fill="D2D2D2"/>
          </w:tcPr>
          <w:p>
            <w:pPr/>
          </w:p>
        </w:tc>
        <w:tc>
          <w:tcPr>
            <w:tcW w:w="823" w:type="dxa"/>
            <w:vMerge w:val="restart"/>
            <w:tcBorders>
              <w:top w:val="single" w:sz="4" w:space="0" w:color="000000"/>
              <w:left w:val="single" w:sz="10" w:space="0" w:color="D2D2D2"/>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120,156,5</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09</w:t>
            </w:r>
          </w:p>
        </w:tc>
        <w:tc>
          <w:tcPr>
            <w:tcW w:w="82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35" w:right="0"/>
              <w:jc w:val="left"/>
              <w:rPr>
                <w:rFonts w:ascii="Times New Roman" w:hAnsi="Times New Roman" w:cs="Times New Roman" w:eastAsia="Times New Roman" w:hint="default"/>
                <w:sz w:val="18"/>
                <w:szCs w:val="18"/>
              </w:rPr>
            </w:pPr>
            <w:r>
              <w:rPr>
                <w:rFonts w:ascii="Times New Roman"/>
                <w:sz w:val="18"/>
              </w:rPr>
              <w:t>37.03%</w:t>
            </w:r>
          </w:p>
        </w:tc>
        <w:tc>
          <w:tcPr>
            <w:tcW w:w="822" w:type="dxa"/>
            <w:vMerge w:val="restart"/>
            <w:tcBorders>
              <w:top w:val="single" w:sz="4" w:space="0" w:color="000000"/>
              <w:left w:val="single" w:sz="4" w:space="0" w:color="000000"/>
              <w:right w:val="single" w:sz="4" w:space="0" w:color="000000"/>
            </w:tcBorders>
          </w:tcPr>
          <w:p>
            <w:pPr/>
          </w:p>
        </w:tc>
        <w:tc>
          <w:tcPr>
            <w:tcW w:w="822" w:type="dxa"/>
            <w:vMerge w:val="restart"/>
            <w:tcBorders>
              <w:top w:val="single" w:sz="4" w:space="0" w:color="000000"/>
              <w:left w:val="single" w:sz="4" w:space="0" w:color="000000"/>
              <w:right w:val="single" w:sz="4" w:space="0" w:color="000000"/>
            </w:tcBorders>
          </w:tcPr>
          <w:p>
            <w:pPr/>
          </w:p>
        </w:tc>
        <w:tc>
          <w:tcPr>
            <w:tcW w:w="822"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58,280,25</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3</w:t>
            </w:r>
          </w:p>
        </w:tc>
        <w:tc>
          <w:tcPr>
            <w:tcW w:w="822"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-13,979,5</w:t>
            </w:r>
            <w:r>
              <w:rPr>
                <w:rFonts w:ascii="Times New Roman"/>
                <w:sz w:val="18"/>
              </w:rPr>
            </w:r>
          </w:p>
          <w:p>
            <w:pPr>
              <w:pStyle w:val="TableParagraph"/>
              <w:spacing w:line="240" w:lineRule="auto" w:before="106"/>
              <w:ind w:right="21"/>
              <w:jc w:val="right"/>
              <w:rPr>
                <w:rFonts w:ascii="Times New Roman" w:hAnsi="Times New Roman" w:cs="Times New Roman" w:eastAsia="Times New Roman" w:hint="default"/>
                <w:sz w:val="18"/>
                <w:szCs w:val="18"/>
              </w:rPr>
            </w:pPr>
            <w:r>
              <w:rPr>
                <w:rFonts w:ascii="Times New Roman"/>
                <w:sz w:val="18"/>
              </w:rPr>
              <w:t>71</w:t>
            </w:r>
          </w:p>
        </w:tc>
        <w:tc>
          <w:tcPr>
            <w:tcW w:w="822"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44,300,68</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2</w:t>
            </w:r>
          </w:p>
        </w:tc>
        <w:tc>
          <w:tcPr>
            <w:tcW w:w="794"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164,457,1</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91</w:t>
            </w:r>
          </w:p>
        </w:tc>
        <w:tc>
          <w:tcPr>
            <w:tcW w:w="79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06" w:right="0"/>
              <w:jc w:val="left"/>
              <w:rPr>
                <w:rFonts w:ascii="Times New Roman" w:hAnsi="Times New Roman" w:cs="Times New Roman" w:eastAsia="Times New Roman" w:hint="default"/>
                <w:sz w:val="18"/>
                <w:szCs w:val="18"/>
              </w:rPr>
            </w:pPr>
            <w:r>
              <w:rPr>
                <w:rFonts w:ascii="Times New Roman"/>
                <w:sz w:val="18"/>
              </w:rPr>
              <w:t>34.18%</w:t>
            </w:r>
          </w:p>
        </w:tc>
      </w:tr>
      <w:tr>
        <w:trPr>
          <w:trHeight w:val="392" w:hRule="exact"/>
        </w:trPr>
        <w:tc>
          <w:tcPr>
            <w:tcW w:w="221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一、有限售条件股份</w:t>
            </w:r>
          </w:p>
        </w:tc>
        <w:tc>
          <w:tcPr>
            <w:tcW w:w="823" w:type="dxa"/>
            <w:vMerge/>
            <w:tcBorders>
              <w:left w:val="single" w:sz="10" w:space="0" w:color="D2D2D2"/>
              <w:right w:val="single" w:sz="4" w:space="0" w:color="000000"/>
            </w:tcBorders>
          </w:tcPr>
          <w:p>
            <w:pPr/>
          </w:p>
        </w:tc>
        <w:tc>
          <w:tcPr>
            <w:tcW w:w="824"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794" w:type="dxa"/>
            <w:vMerge/>
            <w:tcBorders>
              <w:left w:val="single" w:sz="4" w:space="0" w:color="000000"/>
              <w:right w:val="single" w:sz="4" w:space="0" w:color="000000"/>
            </w:tcBorders>
          </w:tcPr>
          <w:p>
            <w:pPr/>
          </w:p>
        </w:tc>
        <w:tc>
          <w:tcPr>
            <w:tcW w:w="794" w:type="dxa"/>
            <w:vMerge/>
            <w:tcBorders>
              <w:left w:val="single" w:sz="4" w:space="0" w:color="000000"/>
              <w:right w:val="single" w:sz="4" w:space="0" w:color="000000"/>
            </w:tcBorders>
          </w:tcPr>
          <w:p>
            <w:pPr/>
          </w:p>
        </w:tc>
      </w:tr>
      <w:tr>
        <w:trPr>
          <w:trHeight w:val="161" w:hRule="exact"/>
        </w:trPr>
        <w:tc>
          <w:tcPr>
            <w:tcW w:w="2216" w:type="dxa"/>
            <w:tcBorders>
              <w:top w:val="nil" w:sz="6" w:space="0" w:color="auto"/>
              <w:left w:val="single" w:sz="4" w:space="0" w:color="000000"/>
              <w:bottom w:val="single" w:sz="4" w:space="0" w:color="000000"/>
              <w:right w:val="single" w:sz="4" w:space="0" w:color="000000"/>
            </w:tcBorders>
            <w:shd w:val="clear" w:color="auto" w:fill="D2D2D2"/>
          </w:tcPr>
          <w:p>
            <w:pPr/>
          </w:p>
        </w:tc>
        <w:tc>
          <w:tcPr>
            <w:tcW w:w="823" w:type="dxa"/>
            <w:vMerge/>
            <w:tcBorders>
              <w:left w:val="single" w:sz="10" w:space="0" w:color="D2D2D2"/>
              <w:bottom w:val="single" w:sz="4" w:space="0" w:color="000000"/>
              <w:right w:val="single" w:sz="4" w:space="0" w:color="000000"/>
            </w:tcBorders>
          </w:tcPr>
          <w:p>
            <w:pPr/>
          </w:p>
        </w:tc>
        <w:tc>
          <w:tcPr>
            <w:tcW w:w="824"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794" w:type="dxa"/>
            <w:vMerge/>
            <w:tcBorders>
              <w:left w:val="single" w:sz="4" w:space="0" w:color="000000"/>
              <w:bottom w:val="single" w:sz="4" w:space="0" w:color="000000"/>
              <w:right w:val="single" w:sz="4" w:space="0" w:color="000000"/>
            </w:tcBorders>
          </w:tcPr>
          <w:p>
            <w:pPr/>
          </w:p>
        </w:tc>
        <w:tc>
          <w:tcPr>
            <w:tcW w:w="794" w:type="dxa"/>
            <w:vMerge/>
            <w:tcBorders>
              <w:left w:val="single" w:sz="4" w:space="0" w:color="000000"/>
              <w:bottom w:val="single" w:sz="4" w:space="0" w:color="000000"/>
              <w:right w:val="single" w:sz="4" w:space="0" w:color="000000"/>
            </w:tcBorders>
          </w:tcPr>
          <w:p>
            <w:pPr/>
          </w:p>
        </w:tc>
      </w:tr>
      <w:tr>
        <w:trPr>
          <w:trHeight w:val="161" w:hRule="exact"/>
        </w:trPr>
        <w:tc>
          <w:tcPr>
            <w:tcW w:w="2216" w:type="dxa"/>
            <w:tcBorders>
              <w:top w:val="single" w:sz="4" w:space="0" w:color="000000"/>
              <w:left w:val="single" w:sz="4" w:space="0" w:color="000000"/>
              <w:bottom w:val="nil" w:sz="6" w:space="0" w:color="auto"/>
              <w:right w:val="single" w:sz="4" w:space="0" w:color="000000"/>
            </w:tcBorders>
            <w:shd w:val="clear" w:color="auto" w:fill="D2D2D2"/>
          </w:tcPr>
          <w:p>
            <w:pPr/>
          </w:p>
        </w:tc>
        <w:tc>
          <w:tcPr>
            <w:tcW w:w="823" w:type="dxa"/>
            <w:vMerge w:val="restart"/>
            <w:tcBorders>
              <w:top w:val="single" w:sz="4" w:space="0" w:color="000000"/>
              <w:left w:val="single" w:sz="10" w:space="0" w:color="D2D2D2"/>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120,156,5</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09</w:t>
            </w:r>
          </w:p>
        </w:tc>
        <w:tc>
          <w:tcPr>
            <w:tcW w:w="82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35" w:right="0"/>
              <w:jc w:val="left"/>
              <w:rPr>
                <w:rFonts w:ascii="Times New Roman" w:hAnsi="Times New Roman" w:cs="Times New Roman" w:eastAsia="Times New Roman" w:hint="default"/>
                <w:sz w:val="18"/>
                <w:szCs w:val="18"/>
              </w:rPr>
            </w:pPr>
            <w:r>
              <w:rPr>
                <w:rFonts w:ascii="Times New Roman"/>
                <w:sz w:val="18"/>
              </w:rPr>
              <w:t>37.03%</w:t>
            </w:r>
          </w:p>
        </w:tc>
        <w:tc>
          <w:tcPr>
            <w:tcW w:w="822" w:type="dxa"/>
            <w:vMerge w:val="restart"/>
            <w:tcBorders>
              <w:top w:val="single" w:sz="4" w:space="0" w:color="000000"/>
              <w:left w:val="single" w:sz="4" w:space="0" w:color="000000"/>
              <w:right w:val="single" w:sz="4" w:space="0" w:color="000000"/>
            </w:tcBorders>
          </w:tcPr>
          <w:p>
            <w:pPr/>
          </w:p>
        </w:tc>
        <w:tc>
          <w:tcPr>
            <w:tcW w:w="822" w:type="dxa"/>
            <w:vMerge w:val="restart"/>
            <w:tcBorders>
              <w:top w:val="single" w:sz="4" w:space="0" w:color="000000"/>
              <w:left w:val="single" w:sz="4" w:space="0" w:color="000000"/>
              <w:right w:val="single" w:sz="4" w:space="0" w:color="000000"/>
            </w:tcBorders>
          </w:tcPr>
          <w:p>
            <w:pPr/>
          </w:p>
        </w:tc>
        <w:tc>
          <w:tcPr>
            <w:tcW w:w="822"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58,280,25</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3</w:t>
            </w:r>
          </w:p>
        </w:tc>
        <w:tc>
          <w:tcPr>
            <w:tcW w:w="822"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-13,979,5</w:t>
            </w:r>
            <w:r>
              <w:rPr>
                <w:rFonts w:ascii="Times New Roman"/>
                <w:sz w:val="18"/>
              </w:rPr>
            </w:r>
          </w:p>
          <w:p>
            <w:pPr>
              <w:pStyle w:val="TableParagraph"/>
              <w:spacing w:line="240" w:lineRule="auto" w:before="106"/>
              <w:ind w:right="21"/>
              <w:jc w:val="right"/>
              <w:rPr>
                <w:rFonts w:ascii="Times New Roman" w:hAnsi="Times New Roman" w:cs="Times New Roman" w:eastAsia="Times New Roman" w:hint="default"/>
                <w:sz w:val="18"/>
                <w:szCs w:val="18"/>
              </w:rPr>
            </w:pPr>
            <w:r>
              <w:rPr>
                <w:rFonts w:ascii="Times New Roman"/>
                <w:sz w:val="18"/>
              </w:rPr>
              <w:t>71</w:t>
            </w:r>
          </w:p>
        </w:tc>
        <w:tc>
          <w:tcPr>
            <w:tcW w:w="822"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44,300,68</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2</w:t>
            </w:r>
          </w:p>
        </w:tc>
        <w:tc>
          <w:tcPr>
            <w:tcW w:w="794"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164,457,1</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91</w:t>
            </w:r>
          </w:p>
        </w:tc>
        <w:tc>
          <w:tcPr>
            <w:tcW w:w="79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06" w:right="0"/>
              <w:jc w:val="left"/>
              <w:rPr>
                <w:rFonts w:ascii="Times New Roman" w:hAnsi="Times New Roman" w:cs="Times New Roman" w:eastAsia="Times New Roman" w:hint="default"/>
                <w:sz w:val="18"/>
                <w:szCs w:val="18"/>
              </w:rPr>
            </w:pPr>
            <w:r>
              <w:rPr>
                <w:rFonts w:ascii="Times New Roman"/>
                <w:sz w:val="18"/>
              </w:rPr>
              <w:t>34.18%</w:t>
            </w:r>
          </w:p>
        </w:tc>
      </w:tr>
      <w:tr>
        <w:trPr>
          <w:trHeight w:val="392" w:hRule="exact"/>
        </w:trPr>
        <w:tc>
          <w:tcPr>
            <w:tcW w:w="221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、其他内资持股</w:t>
            </w:r>
          </w:p>
        </w:tc>
        <w:tc>
          <w:tcPr>
            <w:tcW w:w="823" w:type="dxa"/>
            <w:vMerge/>
            <w:tcBorders>
              <w:left w:val="single" w:sz="10" w:space="0" w:color="D2D2D2"/>
              <w:right w:val="single" w:sz="4" w:space="0" w:color="000000"/>
            </w:tcBorders>
          </w:tcPr>
          <w:p>
            <w:pPr/>
          </w:p>
        </w:tc>
        <w:tc>
          <w:tcPr>
            <w:tcW w:w="824"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794" w:type="dxa"/>
            <w:vMerge/>
            <w:tcBorders>
              <w:left w:val="single" w:sz="4" w:space="0" w:color="000000"/>
              <w:right w:val="single" w:sz="4" w:space="0" w:color="000000"/>
            </w:tcBorders>
          </w:tcPr>
          <w:p>
            <w:pPr/>
          </w:p>
        </w:tc>
        <w:tc>
          <w:tcPr>
            <w:tcW w:w="794" w:type="dxa"/>
            <w:vMerge/>
            <w:tcBorders>
              <w:left w:val="single" w:sz="4" w:space="0" w:color="000000"/>
              <w:right w:val="single" w:sz="4" w:space="0" w:color="000000"/>
            </w:tcBorders>
          </w:tcPr>
          <w:p>
            <w:pPr/>
          </w:p>
        </w:tc>
      </w:tr>
      <w:tr>
        <w:trPr>
          <w:trHeight w:val="161" w:hRule="exact"/>
        </w:trPr>
        <w:tc>
          <w:tcPr>
            <w:tcW w:w="2216" w:type="dxa"/>
            <w:tcBorders>
              <w:top w:val="nil" w:sz="6" w:space="0" w:color="auto"/>
              <w:left w:val="single" w:sz="4" w:space="0" w:color="000000"/>
              <w:bottom w:val="single" w:sz="4" w:space="0" w:color="000000"/>
              <w:right w:val="single" w:sz="4" w:space="0" w:color="000000"/>
            </w:tcBorders>
            <w:shd w:val="clear" w:color="auto" w:fill="D2D2D2"/>
          </w:tcPr>
          <w:p>
            <w:pPr/>
          </w:p>
        </w:tc>
        <w:tc>
          <w:tcPr>
            <w:tcW w:w="823" w:type="dxa"/>
            <w:vMerge/>
            <w:tcBorders>
              <w:left w:val="single" w:sz="10" w:space="0" w:color="D2D2D2"/>
              <w:bottom w:val="single" w:sz="4" w:space="0" w:color="000000"/>
              <w:right w:val="single" w:sz="4" w:space="0" w:color="000000"/>
            </w:tcBorders>
          </w:tcPr>
          <w:p>
            <w:pPr/>
          </w:p>
        </w:tc>
        <w:tc>
          <w:tcPr>
            <w:tcW w:w="824"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794" w:type="dxa"/>
            <w:vMerge/>
            <w:tcBorders>
              <w:left w:val="single" w:sz="4" w:space="0" w:color="000000"/>
              <w:bottom w:val="single" w:sz="4" w:space="0" w:color="000000"/>
              <w:right w:val="single" w:sz="4" w:space="0" w:color="000000"/>
            </w:tcBorders>
          </w:tcPr>
          <w:p>
            <w:pPr/>
          </w:p>
        </w:tc>
        <w:tc>
          <w:tcPr>
            <w:tcW w:w="794" w:type="dxa"/>
            <w:vMerge/>
            <w:tcBorders>
              <w:left w:val="single" w:sz="4" w:space="0" w:color="000000"/>
              <w:bottom w:val="single" w:sz="4" w:space="0" w:color="000000"/>
              <w:right w:val="single" w:sz="4" w:space="0" w:color="000000"/>
            </w:tcBorders>
          </w:tcPr>
          <w:p>
            <w:pPr/>
          </w:p>
        </w:tc>
      </w:tr>
      <w:tr>
        <w:trPr>
          <w:trHeight w:val="161" w:hRule="exact"/>
        </w:trPr>
        <w:tc>
          <w:tcPr>
            <w:tcW w:w="2216" w:type="dxa"/>
            <w:tcBorders>
              <w:top w:val="single" w:sz="4" w:space="0" w:color="000000"/>
              <w:left w:val="single" w:sz="4" w:space="0" w:color="000000"/>
              <w:bottom w:val="nil" w:sz="6" w:space="0" w:color="auto"/>
              <w:right w:val="single" w:sz="4" w:space="0" w:color="000000"/>
            </w:tcBorders>
            <w:shd w:val="clear" w:color="auto" w:fill="D2D2D2"/>
          </w:tcPr>
          <w:p>
            <w:pPr/>
          </w:p>
        </w:tc>
        <w:tc>
          <w:tcPr>
            <w:tcW w:w="823" w:type="dxa"/>
            <w:vMerge w:val="restart"/>
            <w:tcBorders>
              <w:top w:val="single" w:sz="4" w:space="0" w:color="000000"/>
              <w:left w:val="single" w:sz="10" w:space="0" w:color="D2D2D2"/>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2" w:right="0"/>
              <w:jc w:val="left"/>
              <w:rPr>
                <w:rFonts w:ascii="Times New Roman" w:hAnsi="Times New Roman" w:cs="Times New Roman" w:eastAsia="Times New Roman" w:hint="default"/>
                <w:sz w:val="18"/>
                <w:szCs w:val="18"/>
              </w:rPr>
            </w:pPr>
            <w:r>
              <w:rPr>
                <w:rFonts w:ascii="Times New Roman"/>
                <w:sz w:val="18"/>
              </w:rPr>
              <w:t>3,775,582</w:t>
            </w:r>
          </w:p>
        </w:tc>
        <w:tc>
          <w:tcPr>
            <w:tcW w:w="82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25" w:right="0"/>
              <w:jc w:val="left"/>
              <w:rPr>
                <w:rFonts w:ascii="Times New Roman" w:hAnsi="Times New Roman" w:cs="Times New Roman" w:eastAsia="Times New Roman" w:hint="default"/>
                <w:sz w:val="18"/>
                <w:szCs w:val="18"/>
              </w:rPr>
            </w:pPr>
            <w:r>
              <w:rPr>
                <w:rFonts w:ascii="Times New Roman"/>
                <w:sz w:val="18"/>
              </w:rPr>
              <w:t>1.16%</w:t>
            </w:r>
          </w:p>
        </w:tc>
        <w:tc>
          <w:tcPr>
            <w:tcW w:w="822" w:type="dxa"/>
            <w:vMerge w:val="restart"/>
            <w:tcBorders>
              <w:top w:val="single" w:sz="4" w:space="0" w:color="000000"/>
              <w:left w:val="single" w:sz="4" w:space="0" w:color="000000"/>
              <w:right w:val="single" w:sz="4" w:space="0" w:color="000000"/>
            </w:tcBorders>
          </w:tcPr>
          <w:p>
            <w:pPr/>
          </w:p>
        </w:tc>
        <w:tc>
          <w:tcPr>
            <w:tcW w:w="822" w:type="dxa"/>
            <w:vMerge w:val="restart"/>
            <w:tcBorders>
              <w:top w:val="single" w:sz="4" w:space="0" w:color="000000"/>
              <w:left w:val="single" w:sz="4" w:space="0" w:color="000000"/>
              <w:right w:val="single" w:sz="4" w:space="0" w:color="000000"/>
            </w:tcBorders>
          </w:tcPr>
          <w:p>
            <w:pPr/>
          </w:p>
        </w:tc>
        <w:tc>
          <w:tcPr>
            <w:tcW w:w="82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9" w:right="0"/>
              <w:jc w:val="left"/>
              <w:rPr>
                <w:rFonts w:ascii="Times New Roman" w:hAnsi="Times New Roman" w:cs="Times New Roman" w:eastAsia="Times New Roman" w:hint="default"/>
                <w:sz w:val="18"/>
                <w:szCs w:val="18"/>
              </w:rPr>
            </w:pPr>
            <w:r>
              <w:rPr>
                <w:rFonts w:ascii="Times New Roman"/>
                <w:sz w:val="18"/>
              </w:rPr>
              <w:t>1,921,069</w:t>
            </w:r>
          </w:p>
        </w:tc>
        <w:tc>
          <w:tcPr>
            <w:tcW w:w="822"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-1,921,06</w:t>
            </w:r>
            <w:r>
              <w:rPr>
                <w:rFonts w:ascii="Times New Roman"/>
                <w:sz w:val="18"/>
              </w:rPr>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9</w:t>
            </w:r>
          </w:p>
        </w:tc>
        <w:tc>
          <w:tcPr>
            <w:tcW w:w="822" w:type="dxa"/>
            <w:vMerge w:val="restart"/>
            <w:tcBorders>
              <w:top w:val="single" w:sz="4" w:space="0" w:color="000000"/>
              <w:left w:val="single" w:sz="4" w:space="0" w:color="000000"/>
              <w:right w:val="single" w:sz="4" w:space="0" w:color="000000"/>
            </w:tcBorders>
          </w:tcPr>
          <w:p>
            <w:pPr/>
          </w:p>
        </w:tc>
        <w:tc>
          <w:tcPr>
            <w:tcW w:w="794" w:type="dxa"/>
            <w:vMerge w:val="restart"/>
            <w:tcBorders>
              <w:top w:val="single" w:sz="4" w:space="0" w:color="000000"/>
              <w:left w:val="single" w:sz="4" w:space="0" w:color="000000"/>
              <w:right w:val="single" w:sz="4" w:space="0" w:color="000000"/>
            </w:tcBorders>
          </w:tcPr>
          <w:p>
            <w:pPr/>
          </w:p>
        </w:tc>
        <w:tc>
          <w:tcPr>
            <w:tcW w:w="794" w:type="dxa"/>
            <w:vMerge w:val="restart"/>
            <w:tcBorders>
              <w:top w:val="single" w:sz="4" w:space="0" w:color="000000"/>
              <w:left w:val="single" w:sz="4" w:space="0" w:color="000000"/>
              <w:right w:val="single" w:sz="4" w:space="0" w:color="000000"/>
            </w:tcBorders>
          </w:tcPr>
          <w:p>
            <w:pPr/>
          </w:p>
        </w:tc>
      </w:tr>
      <w:tr>
        <w:trPr>
          <w:trHeight w:val="392" w:hRule="exact"/>
        </w:trPr>
        <w:tc>
          <w:tcPr>
            <w:tcW w:w="221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其中：境内法人持股</w:t>
            </w:r>
          </w:p>
        </w:tc>
        <w:tc>
          <w:tcPr>
            <w:tcW w:w="823" w:type="dxa"/>
            <w:vMerge/>
            <w:tcBorders>
              <w:left w:val="single" w:sz="10" w:space="0" w:color="D2D2D2"/>
              <w:right w:val="single" w:sz="4" w:space="0" w:color="000000"/>
            </w:tcBorders>
          </w:tcPr>
          <w:p>
            <w:pPr/>
          </w:p>
        </w:tc>
        <w:tc>
          <w:tcPr>
            <w:tcW w:w="824"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794" w:type="dxa"/>
            <w:vMerge/>
            <w:tcBorders>
              <w:left w:val="single" w:sz="4" w:space="0" w:color="000000"/>
              <w:right w:val="single" w:sz="4" w:space="0" w:color="000000"/>
            </w:tcBorders>
          </w:tcPr>
          <w:p>
            <w:pPr/>
          </w:p>
        </w:tc>
        <w:tc>
          <w:tcPr>
            <w:tcW w:w="794" w:type="dxa"/>
            <w:vMerge/>
            <w:tcBorders>
              <w:left w:val="single" w:sz="4" w:space="0" w:color="000000"/>
              <w:right w:val="single" w:sz="4" w:space="0" w:color="000000"/>
            </w:tcBorders>
          </w:tcPr>
          <w:p>
            <w:pPr/>
          </w:p>
        </w:tc>
      </w:tr>
      <w:tr>
        <w:trPr>
          <w:trHeight w:val="161" w:hRule="exact"/>
        </w:trPr>
        <w:tc>
          <w:tcPr>
            <w:tcW w:w="2216" w:type="dxa"/>
            <w:tcBorders>
              <w:top w:val="nil" w:sz="6" w:space="0" w:color="auto"/>
              <w:left w:val="single" w:sz="4" w:space="0" w:color="000000"/>
              <w:bottom w:val="single" w:sz="4" w:space="0" w:color="000000"/>
              <w:right w:val="single" w:sz="4" w:space="0" w:color="000000"/>
            </w:tcBorders>
            <w:shd w:val="clear" w:color="auto" w:fill="D2D2D2"/>
          </w:tcPr>
          <w:p>
            <w:pPr/>
          </w:p>
        </w:tc>
        <w:tc>
          <w:tcPr>
            <w:tcW w:w="823" w:type="dxa"/>
            <w:vMerge/>
            <w:tcBorders>
              <w:left w:val="single" w:sz="10" w:space="0" w:color="D2D2D2"/>
              <w:bottom w:val="single" w:sz="4" w:space="0" w:color="000000"/>
              <w:right w:val="single" w:sz="4" w:space="0" w:color="000000"/>
            </w:tcBorders>
          </w:tcPr>
          <w:p>
            <w:pPr/>
          </w:p>
        </w:tc>
        <w:tc>
          <w:tcPr>
            <w:tcW w:w="824"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794" w:type="dxa"/>
            <w:vMerge/>
            <w:tcBorders>
              <w:left w:val="single" w:sz="4" w:space="0" w:color="000000"/>
              <w:bottom w:val="single" w:sz="4" w:space="0" w:color="000000"/>
              <w:right w:val="single" w:sz="4" w:space="0" w:color="000000"/>
            </w:tcBorders>
          </w:tcPr>
          <w:p>
            <w:pPr/>
          </w:p>
        </w:tc>
        <w:tc>
          <w:tcPr>
            <w:tcW w:w="794" w:type="dxa"/>
            <w:vMerge/>
            <w:tcBorders>
              <w:left w:val="single" w:sz="4" w:space="0" w:color="000000"/>
              <w:bottom w:val="single" w:sz="4" w:space="0" w:color="000000"/>
              <w:right w:val="single" w:sz="4" w:space="0" w:color="000000"/>
            </w:tcBorders>
          </w:tcPr>
          <w:p>
            <w:pPr/>
          </w:p>
        </w:tc>
      </w:tr>
      <w:tr>
        <w:trPr>
          <w:trHeight w:val="161" w:hRule="exact"/>
        </w:trPr>
        <w:tc>
          <w:tcPr>
            <w:tcW w:w="2216" w:type="dxa"/>
            <w:tcBorders>
              <w:top w:val="single" w:sz="4" w:space="0" w:color="000000"/>
              <w:left w:val="single" w:sz="4" w:space="0" w:color="000000"/>
              <w:bottom w:val="nil" w:sz="6" w:space="0" w:color="auto"/>
              <w:right w:val="single" w:sz="4" w:space="0" w:color="000000"/>
            </w:tcBorders>
            <w:shd w:val="clear" w:color="auto" w:fill="D2D2D2"/>
          </w:tcPr>
          <w:p>
            <w:pPr/>
          </w:p>
        </w:tc>
        <w:tc>
          <w:tcPr>
            <w:tcW w:w="823" w:type="dxa"/>
            <w:vMerge w:val="restart"/>
            <w:tcBorders>
              <w:top w:val="single" w:sz="4" w:space="0" w:color="000000"/>
              <w:left w:val="single" w:sz="10" w:space="0" w:color="D2D2D2"/>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116,380,9</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27</w:t>
            </w:r>
          </w:p>
        </w:tc>
        <w:tc>
          <w:tcPr>
            <w:tcW w:w="82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35" w:right="0"/>
              <w:jc w:val="left"/>
              <w:rPr>
                <w:rFonts w:ascii="Times New Roman" w:hAnsi="Times New Roman" w:cs="Times New Roman" w:eastAsia="Times New Roman" w:hint="default"/>
                <w:sz w:val="18"/>
                <w:szCs w:val="18"/>
              </w:rPr>
            </w:pPr>
            <w:r>
              <w:rPr>
                <w:rFonts w:ascii="Times New Roman"/>
                <w:sz w:val="18"/>
              </w:rPr>
              <w:t>35.87%</w:t>
            </w:r>
          </w:p>
        </w:tc>
        <w:tc>
          <w:tcPr>
            <w:tcW w:w="822" w:type="dxa"/>
            <w:vMerge w:val="restart"/>
            <w:tcBorders>
              <w:top w:val="single" w:sz="4" w:space="0" w:color="000000"/>
              <w:left w:val="single" w:sz="4" w:space="0" w:color="000000"/>
              <w:right w:val="single" w:sz="4" w:space="0" w:color="000000"/>
            </w:tcBorders>
          </w:tcPr>
          <w:p>
            <w:pPr/>
          </w:p>
        </w:tc>
        <w:tc>
          <w:tcPr>
            <w:tcW w:w="822" w:type="dxa"/>
            <w:vMerge w:val="restart"/>
            <w:tcBorders>
              <w:top w:val="single" w:sz="4" w:space="0" w:color="000000"/>
              <w:left w:val="single" w:sz="4" w:space="0" w:color="000000"/>
              <w:right w:val="single" w:sz="4" w:space="0" w:color="000000"/>
            </w:tcBorders>
          </w:tcPr>
          <w:p>
            <w:pPr/>
          </w:p>
        </w:tc>
        <w:tc>
          <w:tcPr>
            <w:tcW w:w="822"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56,359,18</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4</w:t>
            </w:r>
          </w:p>
        </w:tc>
        <w:tc>
          <w:tcPr>
            <w:tcW w:w="822"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-8,282,92</w:t>
            </w:r>
            <w:r>
              <w:rPr>
                <w:rFonts w:ascii="Times New Roman"/>
                <w:sz w:val="18"/>
              </w:rPr>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0</w:t>
            </w:r>
          </w:p>
        </w:tc>
        <w:tc>
          <w:tcPr>
            <w:tcW w:w="822"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48,076,26</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4</w:t>
            </w:r>
          </w:p>
        </w:tc>
        <w:tc>
          <w:tcPr>
            <w:tcW w:w="794"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164,457,1</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91</w:t>
            </w:r>
          </w:p>
        </w:tc>
        <w:tc>
          <w:tcPr>
            <w:tcW w:w="79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06" w:right="0"/>
              <w:jc w:val="left"/>
              <w:rPr>
                <w:rFonts w:ascii="Times New Roman" w:hAnsi="Times New Roman" w:cs="Times New Roman" w:eastAsia="Times New Roman" w:hint="default"/>
                <w:sz w:val="18"/>
                <w:szCs w:val="18"/>
              </w:rPr>
            </w:pPr>
            <w:r>
              <w:rPr>
                <w:rFonts w:ascii="Times New Roman"/>
                <w:sz w:val="18"/>
              </w:rPr>
              <w:t>34.18%</w:t>
            </w:r>
          </w:p>
        </w:tc>
      </w:tr>
      <w:tr>
        <w:trPr>
          <w:trHeight w:val="392" w:hRule="exact"/>
        </w:trPr>
        <w:tc>
          <w:tcPr>
            <w:tcW w:w="221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551" w:right="0"/>
              <w:jc w:val="left"/>
              <w:rPr>
                <w:rFonts w:ascii="宋体" w:hAnsi="宋体" w:cs="宋体" w:eastAsia="宋体" w:hint="default"/>
                <w:sz w:val="18"/>
                <w:szCs w:val="18"/>
              </w:rPr>
            </w:pPr>
            <w:r>
              <w:rPr>
                <w:rFonts w:ascii="宋体" w:hAnsi="宋体" w:cs="宋体" w:eastAsia="宋体" w:hint="default"/>
                <w:sz w:val="18"/>
                <w:szCs w:val="18"/>
              </w:rPr>
              <w:t>境内自然人持股</w:t>
            </w:r>
          </w:p>
        </w:tc>
        <w:tc>
          <w:tcPr>
            <w:tcW w:w="823" w:type="dxa"/>
            <w:vMerge/>
            <w:tcBorders>
              <w:left w:val="single" w:sz="10" w:space="0" w:color="D2D2D2"/>
              <w:right w:val="single" w:sz="4" w:space="0" w:color="000000"/>
            </w:tcBorders>
          </w:tcPr>
          <w:p>
            <w:pPr/>
          </w:p>
        </w:tc>
        <w:tc>
          <w:tcPr>
            <w:tcW w:w="824"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794" w:type="dxa"/>
            <w:vMerge/>
            <w:tcBorders>
              <w:left w:val="single" w:sz="4" w:space="0" w:color="000000"/>
              <w:right w:val="single" w:sz="4" w:space="0" w:color="000000"/>
            </w:tcBorders>
          </w:tcPr>
          <w:p>
            <w:pPr/>
          </w:p>
        </w:tc>
        <w:tc>
          <w:tcPr>
            <w:tcW w:w="794" w:type="dxa"/>
            <w:vMerge/>
            <w:tcBorders>
              <w:left w:val="single" w:sz="4" w:space="0" w:color="000000"/>
              <w:right w:val="single" w:sz="4" w:space="0" w:color="000000"/>
            </w:tcBorders>
          </w:tcPr>
          <w:p>
            <w:pPr/>
          </w:p>
        </w:tc>
      </w:tr>
      <w:tr>
        <w:trPr>
          <w:trHeight w:val="161" w:hRule="exact"/>
        </w:trPr>
        <w:tc>
          <w:tcPr>
            <w:tcW w:w="2216" w:type="dxa"/>
            <w:tcBorders>
              <w:top w:val="nil" w:sz="6" w:space="0" w:color="auto"/>
              <w:left w:val="single" w:sz="4" w:space="0" w:color="000000"/>
              <w:bottom w:val="single" w:sz="4" w:space="0" w:color="000000"/>
              <w:right w:val="single" w:sz="4" w:space="0" w:color="000000"/>
            </w:tcBorders>
            <w:shd w:val="clear" w:color="auto" w:fill="D2D2D2"/>
          </w:tcPr>
          <w:p>
            <w:pPr/>
          </w:p>
        </w:tc>
        <w:tc>
          <w:tcPr>
            <w:tcW w:w="823" w:type="dxa"/>
            <w:vMerge/>
            <w:tcBorders>
              <w:left w:val="single" w:sz="10" w:space="0" w:color="D2D2D2"/>
              <w:bottom w:val="single" w:sz="4" w:space="0" w:color="000000"/>
              <w:right w:val="single" w:sz="4" w:space="0" w:color="000000"/>
            </w:tcBorders>
          </w:tcPr>
          <w:p>
            <w:pPr/>
          </w:p>
        </w:tc>
        <w:tc>
          <w:tcPr>
            <w:tcW w:w="824"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794" w:type="dxa"/>
            <w:vMerge/>
            <w:tcBorders>
              <w:left w:val="single" w:sz="4" w:space="0" w:color="000000"/>
              <w:bottom w:val="single" w:sz="4" w:space="0" w:color="000000"/>
              <w:right w:val="single" w:sz="4" w:space="0" w:color="000000"/>
            </w:tcBorders>
          </w:tcPr>
          <w:p>
            <w:pPr/>
          </w:p>
        </w:tc>
        <w:tc>
          <w:tcPr>
            <w:tcW w:w="794" w:type="dxa"/>
            <w:vMerge/>
            <w:tcBorders>
              <w:left w:val="single" w:sz="4" w:space="0" w:color="000000"/>
              <w:bottom w:val="single" w:sz="4" w:space="0" w:color="000000"/>
              <w:right w:val="single" w:sz="4" w:space="0" w:color="000000"/>
            </w:tcBorders>
          </w:tcPr>
          <w:p>
            <w:pPr/>
          </w:p>
        </w:tc>
      </w:tr>
      <w:tr>
        <w:trPr>
          <w:trHeight w:val="161" w:hRule="exact"/>
        </w:trPr>
        <w:tc>
          <w:tcPr>
            <w:tcW w:w="2216" w:type="dxa"/>
            <w:tcBorders>
              <w:top w:val="single" w:sz="4" w:space="0" w:color="000000"/>
              <w:left w:val="single" w:sz="4" w:space="0" w:color="000000"/>
              <w:bottom w:val="nil" w:sz="6" w:space="0" w:color="auto"/>
              <w:right w:val="single" w:sz="4" w:space="0" w:color="000000"/>
            </w:tcBorders>
            <w:shd w:val="clear" w:color="auto" w:fill="D2D2D2"/>
          </w:tcPr>
          <w:p>
            <w:pPr/>
          </w:p>
        </w:tc>
        <w:tc>
          <w:tcPr>
            <w:tcW w:w="823" w:type="dxa"/>
            <w:vMerge w:val="restart"/>
            <w:tcBorders>
              <w:top w:val="single" w:sz="4" w:space="0" w:color="000000"/>
              <w:left w:val="single" w:sz="10" w:space="0" w:color="D2D2D2"/>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204,318,9</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92</w:t>
            </w:r>
          </w:p>
        </w:tc>
        <w:tc>
          <w:tcPr>
            <w:tcW w:w="82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35" w:right="0"/>
              <w:jc w:val="left"/>
              <w:rPr>
                <w:rFonts w:ascii="Times New Roman" w:hAnsi="Times New Roman" w:cs="Times New Roman" w:eastAsia="Times New Roman" w:hint="default"/>
                <w:sz w:val="18"/>
                <w:szCs w:val="18"/>
              </w:rPr>
            </w:pPr>
            <w:r>
              <w:rPr>
                <w:rFonts w:ascii="Times New Roman"/>
                <w:sz w:val="18"/>
              </w:rPr>
              <w:t>62.97%</w:t>
            </w:r>
          </w:p>
        </w:tc>
        <w:tc>
          <w:tcPr>
            <w:tcW w:w="822" w:type="dxa"/>
            <w:vMerge w:val="restart"/>
            <w:tcBorders>
              <w:top w:val="single" w:sz="4" w:space="0" w:color="000000"/>
              <w:left w:val="single" w:sz="4" w:space="0" w:color="000000"/>
              <w:right w:val="single" w:sz="4" w:space="0" w:color="000000"/>
            </w:tcBorders>
          </w:tcPr>
          <w:p>
            <w:pPr/>
          </w:p>
        </w:tc>
        <w:tc>
          <w:tcPr>
            <w:tcW w:w="822" w:type="dxa"/>
            <w:vMerge w:val="restart"/>
            <w:tcBorders>
              <w:top w:val="single" w:sz="4" w:space="0" w:color="000000"/>
              <w:left w:val="single" w:sz="4" w:space="0" w:color="000000"/>
              <w:right w:val="single" w:sz="4" w:space="0" w:color="000000"/>
            </w:tcBorders>
          </w:tcPr>
          <w:p>
            <w:pPr/>
          </w:p>
        </w:tc>
        <w:tc>
          <w:tcPr>
            <w:tcW w:w="822"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103,957,4</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81</w:t>
            </w:r>
          </w:p>
        </w:tc>
        <w:tc>
          <w:tcPr>
            <w:tcW w:w="82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9" w:right="0"/>
              <w:jc w:val="left"/>
              <w:rPr>
                <w:rFonts w:ascii="Times New Roman" w:hAnsi="Times New Roman" w:cs="Times New Roman" w:eastAsia="Times New Roman" w:hint="default"/>
                <w:sz w:val="18"/>
                <w:szCs w:val="18"/>
              </w:rPr>
            </w:pPr>
            <w:r>
              <w:rPr>
                <w:rFonts w:ascii="Times New Roman"/>
                <w:sz w:val="18"/>
              </w:rPr>
              <w:t>8,358,831</w:t>
            </w:r>
          </w:p>
        </w:tc>
        <w:tc>
          <w:tcPr>
            <w:tcW w:w="822"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112,316,3</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12</w:t>
            </w:r>
          </w:p>
        </w:tc>
        <w:tc>
          <w:tcPr>
            <w:tcW w:w="794"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316,635,3</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04</w:t>
            </w:r>
          </w:p>
        </w:tc>
        <w:tc>
          <w:tcPr>
            <w:tcW w:w="79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06" w:right="0"/>
              <w:jc w:val="left"/>
              <w:rPr>
                <w:rFonts w:ascii="Times New Roman" w:hAnsi="Times New Roman" w:cs="Times New Roman" w:eastAsia="Times New Roman" w:hint="default"/>
                <w:sz w:val="18"/>
                <w:szCs w:val="18"/>
              </w:rPr>
            </w:pPr>
            <w:r>
              <w:rPr>
                <w:rFonts w:ascii="Times New Roman"/>
                <w:sz w:val="18"/>
              </w:rPr>
              <w:t>65.82%</w:t>
            </w:r>
          </w:p>
        </w:tc>
      </w:tr>
      <w:tr>
        <w:trPr>
          <w:trHeight w:val="392" w:hRule="exact"/>
        </w:trPr>
        <w:tc>
          <w:tcPr>
            <w:tcW w:w="221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二、无限售条件股份</w:t>
            </w:r>
          </w:p>
        </w:tc>
        <w:tc>
          <w:tcPr>
            <w:tcW w:w="823" w:type="dxa"/>
            <w:vMerge/>
            <w:tcBorders>
              <w:left w:val="single" w:sz="10" w:space="0" w:color="D2D2D2"/>
              <w:right w:val="single" w:sz="4" w:space="0" w:color="000000"/>
            </w:tcBorders>
          </w:tcPr>
          <w:p>
            <w:pPr/>
          </w:p>
        </w:tc>
        <w:tc>
          <w:tcPr>
            <w:tcW w:w="824"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794" w:type="dxa"/>
            <w:vMerge/>
            <w:tcBorders>
              <w:left w:val="single" w:sz="4" w:space="0" w:color="000000"/>
              <w:right w:val="single" w:sz="4" w:space="0" w:color="000000"/>
            </w:tcBorders>
          </w:tcPr>
          <w:p>
            <w:pPr/>
          </w:p>
        </w:tc>
        <w:tc>
          <w:tcPr>
            <w:tcW w:w="794" w:type="dxa"/>
            <w:vMerge/>
            <w:tcBorders>
              <w:left w:val="single" w:sz="4" w:space="0" w:color="000000"/>
              <w:right w:val="single" w:sz="4" w:space="0" w:color="000000"/>
            </w:tcBorders>
          </w:tcPr>
          <w:p>
            <w:pPr/>
          </w:p>
        </w:tc>
      </w:tr>
      <w:tr>
        <w:trPr>
          <w:trHeight w:val="161" w:hRule="exact"/>
        </w:trPr>
        <w:tc>
          <w:tcPr>
            <w:tcW w:w="2216" w:type="dxa"/>
            <w:tcBorders>
              <w:top w:val="nil" w:sz="6" w:space="0" w:color="auto"/>
              <w:left w:val="single" w:sz="4" w:space="0" w:color="000000"/>
              <w:bottom w:val="single" w:sz="4" w:space="0" w:color="000000"/>
              <w:right w:val="single" w:sz="4" w:space="0" w:color="000000"/>
            </w:tcBorders>
            <w:shd w:val="clear" w:color="auto" w:fill="D2D2D2"/>
          </w:tcPr>
          <w:p>
            <w:pPr/>
          </w:p>
        </w:tc>
        <w:tc>
          <w:tcPr>
            <w:tcW w:w="823" w:type="dxa"/>
            <w:vMerge/>
            <w:tcBorders>
              <w:left w:val="single" w:sz="10" w:space="0" w:color="D2D2D2"/>
              <w:bottom w:val="single" w:sz="4" w:space="0" w:color="000000"/>
              <w:right w:val="single" w:sz="4" w:space="0" w:color="000000"/>
            </w:tcBorders>
          </w:tcPr>
          <w:p>
            <w:pPr/>
          </w:p>
        </w:tc>
        <w:tc>
          <w:tcPr>
            <w:tcW w:w="824"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794" w:type="dxa"/>
            <w:vMerge/>
            <w:tcBorders>
              <w:left w:val="single" w:sz="4" w:space="0" w:color="000000"/>
              <w:bottom w:val="single" w:sz="4" w:space="0" w:color="000000"/>
              <w:right w:val="single" w:sz="4" w:space="0" w:color="000000"/>
            </w:tcBorders>
          </w:tcPr>
          <w:p>
            <w:pPr/>
          </w:p>
        </w:tc>
        <w:tc>
          <w:tcPr>
            <w:tcW w:w="794" w:type="dxa"/>
            <w:vMerge/>
            <w:tcBorders>
              <w:left w:val="single" w:sz="4" w:space="0" w:color="000000"/>
              <w:bottom w:val="single" w:sz="4" w:space="0" w:color="000000"/>
              <w:right w:val="single" w:sz="4" w:space="0" w:color="000000"/>
            </w:tcBorders>
          </w:tcPr>
          <w:p>
            <w:pPr/>
          </w:p>
        </w:tc>
      </w:tr>
      <w:tr>
        <w:trPr>
          <w:trHeight w:val="161" w:hRule="exact"/>
        </w:trPr>
        <w:tc>
          <w:tcPr>
            <w:tcW w:w="2216" w:type="dxa"/>
            <w:tcBorders>
              <w:top w:val="single" w:sz="4" w:space="0" w:color="000000"/>
              <w:left w:val="single" w:sz="4" w:space="0" w:color="000000"/>
              <w:bottom w:val="nil" w:sz="6" w:space="0" w:color="auto"/>
              <w:right w:val="single" w:sz="4" w:space="0" w:color="000000"/>
            </w:tcBorders>
            <w:shd w:val="clear" w:color="auto" w:fill="D2D2D2"/>
          </w:tcPr>
          <w:p>
            <w:pPr/>
          </w:p>
        </w:tc>
        <w:tc>
          <w:tcPr>
            <w:tcW w:w="823" w:type="dxa"/>
            <w:vMerge w:val="restart"/>
            <w:tcBorders>
              <w:top w:val="single" w:sz="4" w:space="0" w:color="000000"/>
              <w:left w:val="single" w:sz="10" w:space="0" w:color="D2D2D2"/>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204,318,9</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92</w:t>
            </w:r>
          </w:p>
        </w:tc>
        <w:tc>
          <w:tcPr>
            <w:tcW w:w="82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35" w:right="0"/>
              <w:jc w:val="left"/>
              <w:rPr>
                <w:rFonts w:ascii="Times New Roman" w:hAnsi="Times New Roman" w:cs="Times New Roman" w:eastAsia="Times New Roman" w:hint="default"/>
                <w:sz w:val="18"/>
                <w:szCs w:val="18"/>
              </w:rPr>
            </w:pPr>
            <w:r>
              <w:rPr>
                <w:rFonts w:ascii="Times New Roman"/>
                <w:sz w:val="18"/>
              </w:rPr>
              <w:t>62.97%</w:t>
            </w:r>
          </w:p>
        </w:tc>
        <w:tc>
          <w:tcPr>
            <w:tcW w:w="822" w:type="dxa"/>
            <w:vMerge w:val="restart"/>
            <w:tcBorders>
              <w:top w:val="single" w:sz="4" w:space="0" w:color="000000"/>
              <w:left w:val="single" w:sz="4" w:space="0" w:color="000000"/>
              <w:right w:val="single" w:sz="4" w:space="0" w:color="000000"/>
            </w:tcBorders>
          </w:tcPr>
          <w:p>
            <w:pPr/>
          </w:p>
        </w:tc>
        <w:tc>
          <w:tcPr>
            <w:tcW w:w="822" w:type="dxa"/>
            <w:vMerge w:val="restart"/>
            <w:tcBorders>
              <w:top w:val="single" w:sz="4" w:space="0" w:color="000000"/>
              <w:left w:val="single" w:sz="4" w:space="0" w:color="000000"/>
              <w:right w:val="single" w:sz="4" w:space="0" w:color="000000"/>
            </w:tcBorders>
          </w:tcPr>
          <w:p>
            <w:pPr/>
          </w:p>
        </w:tc>
        <w:tc>
          <w:tcPr>
            <w:tcW w:w="822"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103,957,4</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81</w:t>
            </w:r>
          </w:p>
        </w:tc>
        <w:tc>
          <w:tcPr>
            <w:tcW w:w="82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9" w:right="0"/>
              <w:jc w:val="left"/>
              <w:rPr>
                <w:rFonts w:ascii="Times New Roman" w:hAnsi="Times New Roman" w:cs="Times New Roman" w:eastAsia="Times New Roman" w:hint="default"/>
                <w:sz w:val="18"/>
                <w:szCs w:val="18"/>
              </w:rPr>
            </w:pPr>
            <w:r>
              <w:rPr>
                <w:rFonts w:ascii="Times New Roman"/>
                <w:sz w:val="18"/>
              </w:rPr>
              <w:t>8,358,831</w:t>
            </w:r>
          </w:p>
        </w:tc>
        <w:tc>
          <w:tcPr>
            <w:tcW w:w="822"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112,316,3</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12</w:t>
            </w:r>
          </w:p>
        </w:tc>
        <w:tc>
          <w:tcPr>
            <w:tcW w:w="794"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316,635,3</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04</w:t>
            </w:r>
          </w:p>
        </w:tc>
        <w:tc>
          <w:tcPr>
            <w:tcW w:w="79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06" w:right="0"/>
              <w:jc w:val="left"/>
              <w:rPr>
                <w:rFonts w:ascii="Times New Roman" w:hAnsi="Times New Roman" w:cs="Times New Roman" w:eastAsia="Times New Roman" w:hint="default"/>
                <w:sz w:val="18"/>
                <w:szCs w:val="18"/>
              </w:rPr>
            </w:pPr>
            <w:r>
              <w:rPr>
                <w:rFonts w:ascii="Times New Roman"/>
                <w:sz w:val="18"/>
              </w:rPr>
              <w:t>65.82%</w:t>
            </w:r>
          </w:p>
        </w:tc>
      </w:tr>
      <w:tr>
        <w:trPr>
          <w:trHeight w:val="392" w:hRule="exact"/>
        </w:trPr>
        <w:tc>
          <w:tcPr>
            <w:tcW w:w="221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、人民币普通股</w:t>
            </w:r>
          </w:p>
        </w:tc>
        <w:tc>
          <w:tcPr>
            <w:tcW w:w="823" w:type="dxa"/>
            <w:vMerge/>
            <w:tcBorders>
              <w:left w:val="single" w:sz="10" w:space="0" w:color="D2D2D2"/>
              <w:right w:val="single" w:sz="4" w:space="0" w:color="000000"/>
            </w:tcBorders>
          </w:tcPr>
          <w:p>
            <w:pPr/>
          </w:p>
        </w:tc>
        <w:tc>
          <w:tcPr>
            <w:tcW w:w="824"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794" w:type="dxa"/>
            <w:vMerge/>
            <w:tcBorders>
              <w:left w:val="single" w:sz="4" w:space="0" w:color="000000"/>
              <w:right w:val="single" w:sz="4" w:space="0" w:color="000000"/>
            </w:tcBorders>
          </w:tcPr>
          <w:p>
            <w:pPr/>
          </w:p>
        </w:tc>
        <w:tc>
          <w:tcPr>
            <w:tcW w:w="794" w:type="dxa"/>
            <w:vMerge/>
            <w:tcBorders>
              <w:left w:val="single" w:sz="4" w:space="0" w:color="000000"/>
              <w:right w:val="single" w:sz="4" w:space="0" w:color="000000"/>
            </w:tcBorders>
          </w:tcPr>
          <w:p>
            <w:pPr/>
          </w:p>
        </w:tc>
      </w:tr>
      <w:tr>
        <w:trPr>
          <w:trHeight w:val="161" w:hRule="exact"/>
        </w:trPr>
        <w:tc>
          <w:tcPr>
            <w:tcW w:w="2216" w:type="dxa"/>
            <w:tcBorders>
              <w:top w:val="nil" w:sz="6" w:space="0" w:color="auto"/>
              <w:left w:val="single" w:sz="4" w:space="0" w:color="000000"/>
              <w:bottom w:val="single" w:sz="4" w:space="0" w:color="000000"/>
              <w:right w:val="single" w:sz="4" w:space="0" w:color="000000"/>
            </w:tcBorders>
            <w:shd w:val="clear" w:color="auto" w:fill="D2D2D2"/>
          </w:tcPr>
          <w:p>
            <w:pPr/>
          </w:p>
        </w:tc>
        <w:tc>
          <w:tcPr>
            <w:tcW w:w="823" w:type="dxa"/>
            <w:vMerge/>
            <w:tcBorders>
              <w:left w:val="single" w:sz="10" w:space="0" w:color="D2D2D2"/>
              <w:bottom w:val="single" w:sz="4" w:space="0" w:color="000000"/>
              <w:right w:val="single" w:sz="4" w:space="0" w:color="000000"/>
            </w:tcBorders>
          </w:tcPr>
          <w:p>
            <w:pPr/>
          </w:p>
        </w:tc>
        <w:tc>
          <w:tcPr>
            <w:tcW w:w="824"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794" w:type="dxa"/>
            <w:vMerge/>
            <w:tcBorders>
              <w:left w:val="single" w:sz="4" w:space="0" w:color="000000"/>
              <w:bottom w:val="single" w:sz="4" w:space="0" w:color="000000"/>
              <w:right w:val="single" w:sz="4" w:space="0" w:color="000000"/>
            </w:tcBorders>
          </w:tcPr>
          <w:p>
            <w:pPr/>
          </w:p>
        </w:tc>
        <w:tc>
          <w:tcPr>
            <w:tcW w:w="794" w:type="dxa"/>
            <w:vMerge/>
            <w:tcBorders>
              <w:left w:val="single" w:sz="4" w:space="0" w:color="000000"/>
              <w:bottom w:val="single" w:sz="4" w:space="0" w:color="000000"/>
              <w:right w:val="single" w:sz="4" w:space="0" w:color="000000"/>
            </w:tcBorders>
          </w:tcPr>
          <w:p>
            <w:pPr/>
          </w:p>
        </w:tc>
      </w:tr>
      <w:tr>
        <w:trPr>
          <w:trHeight w:val="161" w:hRule="exact"/>
        </w:trPr>
        <w:tc>
          <w:tcPr>
            <w:tcW w:w="2216" w:type="dxa"/>
            <w:tcBorders>
              <w:top w:val="single" w:sz="4" w:space="0" w:color="000000"/>
              <w:left w:val="single" w:sz="4" w:space="0" w:color="000000"/>
              <w:bottom w:val="nil" w:sz="6" w:space="0" w:color="auto"/>
              <w:right w:val="single" w:sz="4" w:space="0" w:color="000000"/>
            </w:tcBorders>
            <w:shd w:val="clear" w:color="auto" w:fill="D2D2D2"/>
          </w:tcPr>
          <w:p>
            <w:pPr/>
          </w:p>
        </w:tc>
        <w:tc>
          <w:tcPr>
            <w:tcW w:w="823" w:type="dxa"/>
            <w:vMerge w:val="restart"/>
            <w:tcBorders>
              <w:top w:val="single" w:sz="4" w:space="0" w:color="000000"/>
              <w:left w:val="single" w:sz="10" w:space="0" w:color="D2D2D2"/>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324,475,5</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01</w:t>
            </w:r>
          </w:p>
        </w:tc>
        <w:tc>
          <w:tcPr>
            <w:tcW w:w="82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45" w:right="0"/>
              <w:jc w:val="left"/>
              <w:rPr>
                <w:rFonts w:ascii="Times New Roman" w:hAnsi="Times New Roman" w:cs="Times New Roman" w:eastAsia="Times New Roman" w:hint="default"/>
                <w:sz w:val="18"/>
                <w:szCs w:val="18"/>
              </w:rPr>
            </w:pPr>
            <w:r>
              <w:rPr>
                <w:rFonts w:ascii="Times New Roman"/>
                <w:sz w:val="18"/>
              </w:rPr>
              <w:t>100.00%</w:t>
            </w:r>
          </w:p>
        </w:tc>
        <w:tc>
          <w:tcPr>
            <w:tcW w:w="822" w:type="dxa"/>
            <w:vMerge w:val="restart"/>
            <w:tcBorders>
              <w:top w:val="single" w:sz="4" w:space="0" w:color="000000"/>
              <w:left w:val="single" w:sz="4" w:space="0" w:color="000000"/>
              <w:right w:val="single" w:sz="4" w:space="0" w:color="000000"/>
            </w:tcBorders>
          </w:tcPr>
          <w:p>
            <w:pPr/>
          </w:p>
        </w:tc>
        <w:tc>
          <w:tcPr>
            <w:tcW w:w="822" w:type="dxa"/>
            <w:vMerge w:val="restart"/>
            <w:tcBorders>
              <w:top w:val="single" w:sz="4" w:space="0" w:color="000000"/>
              <w:left w:val="single" w:sz="4" w:space="0" w:color="000000"/>
              <w:right w:val="single" w:sz="4" w:space="0" w:color="000000"/>
            </w:tcBorders>
          </w:tcPr>
          <w:p>
            <w:pPr/>
          </w:p>
        </w:tc>
        <w:tc>
          <w:tcPr>
            <w:tcW w:w="822"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162,237,7</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34</w:t>
            </w:r>
          </w:p>
        </w:tc>
        <w:tc>
          <w:tcPr>
            <w:tcW w:w="822"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-5,620,74</w:t>
            </w:r>
            <w:r>
              <w:rPr>
                <w:rFonts w:ascii="Times New Roman"/>
                <w:sz w:val="18"/>
              </w:rPr>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0</w:t>
            </w:r>
          </w:p>
        </w:tc>
        <w:tc>
          <w:tcPr>
            <w:tcW w:w="822"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156,616,9</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94</w:t>
            </w:r>
          </w:p>
        </w:tc>
        <w:tc>
          <w:tcPr>
            <w:tcW w:w="794"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481,092,4</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95</w:t>
            </w:r>
          </w:p>
        </w:tc>
        <w:tc>
          <w:tcPr>
            <w:tcW w:w="79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16" w:right="0"/>
              <w:jc w:val="left"/>
              <w:rPr>
                <w:rFonts w:ascii="Times New Roman" w:hAnsi="Times New Roman" w:cs="Times New Roman" w:eastAsia="Times New Roman" w:hint="default"/>
                <w:sz w:val="18"/>
                <w:szCs w:val="18"/>
              </w:rPr>
            </w:pPr>
            <w:r>
              <w:rPr>
                <w:rFonts w:ascii="Times New Roman"/>
                <w:sz w:val="18"/>
              </w:rPr>
              <w:t>100.00%</w:t>
            </w:r>
          </w:p>
        </w:tc>
      </w:tr>
      <w:tr>
        <w:trPr>
          <w:trHeight w:val="392" w:hRule="exact"/>
        </w:trPr>
        <w:tc>
          <w:tcPr>
            <w:tcW w:w="221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三、股份总数</w:t>
            </w:r>
          </w:p>
        </w:tc>
        <w:tc>
          <w:tcPr>
            <w:tcW w:w="823" w:type="dxa"/>
            <w:vMerge/>
            <w:tcBorders>
              <w:left w:val="single" w:sz="10" w:space="0" w:color="D2D2D2"/>
              <w:right w:val="single" w:sz="4" w:space="0" w:color="000000"/>
            </w:tcBorders>
          </w:tcPr>
          <w:p>
            <w:pPr/>
          </w:p>
        </w:tc>
        <w:tc>
          <w:tcPr>
            <w:tcW w:w="824"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822" w:type="dxa"/>
            <w:vMerge/>
            <w:tcBorders>
              <w:left w:val="single" w:sz="4" w:space="0" w:color="000000"/>
              <w:right w:val="single" w:sz="4" w:space="0" w:color="000000"/>
            </w:tcBorders>
          </w:tcPr>
          <w:p>
            <w:pPr/>
          </w:p>
        </w:tc>
        <w:tc>
          <w:tcPr>
            <w:tcW w:w="794" w:type="dxa"/>
            <w:vMerge/>
            <w:tcBorders>
              <w:left w:val="single" w:sz="4" w:space="0" w:color="000000"/>
              <w:right w:val="single" w:sz="4" w:space="0" w:color="000000"/>
            </w:tcBorders>
          </w:tcPr>
          <w:p>
            <w:pPr/>
          </w:p>
        </w:tc>
        <w:tc>
          <w:tcPr>
            <w:tcW w:w="794" w:type="dxa"/>
            <w:vMerge/>
            <w:tcBorders>
              <w:left w:val="single" w:sz="4" w:space="0" w:color="000000"/>
              <w:right w:val="single" w:sz="4" w:space="0" w:color="000000"/>
            </w:tcBorders>
          </w:tcPr>
          <w:p>
            <w:pPr/>
          </w:p>
        </w:tc>
      </w:tr>
      <w:tr>
        <w:trPr>
          <w:trHeight w:val="161" w:hRule="exact"/>
        </w:trPr>
        <w:tc>
          <w:tcPr>
            <w:tcW w:w="2216" w:type="dxa"/>
            <w:tcBorders>
              <w:top w:val="nil" w:sz="6" w:space="0" w:color="auto"/>
              <w:left w:val="single" w:sz="4" w:space="0" w:color="000000"/>
              <w:bottom w:val="single" w:sz="4" w:space="0" w:color="000000"/>
              <w:right w:val="single" w:sz="4" w:space="0" w:color="000000"/>
            </w:tcBorders>
            <w:shd w:val="clear" w:color="auto" w:fill="D2D2D2"/>
          </w:tcPr>
          <w:p>
            <w:pPr/>
          </w:p>
        </w:tc>
        <w:tc>
          <w:tcPr>
            <w:tcW w:w="823" w:type="dxa"/>
            <w:vMerge/>
            <w:tcBorders>
              <w:left w:val="single" w:sz="10" w:space="0" w:color="D2D2D2"/>
              <w:bottom w:val="single" w:sz="4" w:space="0" w:color="000000"/>
              <w:right w:val="single" w:sz="4" w:space="0" w:color="000000"/>
            </w:tcBorders>
          </w:tcPr>
          <w:p>
            <w:pPr/>
          </w:p>
        </w:tc>
        <w:tc>
          <w:tcPr>
            <w:tcW w:w="824"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822" w:type="dxa"/>
            <w:vMerge/>
            <w:tcBorders>
              <w:left w:val="single" w:sz="4" w:space="0" w:color="000000"/>
              <w:bottom w:val="single" w:sz="4" w:space="0" w:color="000000"/>
              <w:right w:val="single" w:sz="4" w:space="0" w:color="000000"/>
            </w:tcBorders>
          </w:tcPr>
          <w:p>
            <w:pPr/>
          </w:p>
        </w:tc>
        <w:tc>
          <w:tcPr>
            <w:tcW w:w="794" w:type="dxa"/>
            <w:vMerge/>
            <w:tcBorders>
              <w:left w:val="single" w:sz="4" w:space="0" w:color="000000"/>
              <w:bottom w:val="single" w:sz="4" w:space="0" w:color="000000"/>
              <w:right w:val="single" w:sz="4" w:space="0" w:color="000000"/>
            </w:tcBorders>
          </w:tcPr>
          <w:p>
            <w:pPr/>
          </w:p>
        </w:tc>
        <w:tc>
          <w:tcPr>
            <w:tcW w:w="794" w:type="dxa"/>
            <w:vMerge/>
            <w:tcBorders>
              <w:left w:val="single" w:sz="4" w:space="0" w:color="000000"/>
              <w:bottom w:val="single" w:sz="4" w:space="0" w:color="000000"/>
              <w:right w:val="single" w:sz="4" w:space="0" w:color="000000"/>
            </w:tcBorders>
          </w:tcPr>
          <w:p>
            <w:pPr/>
          </w:p>
        </w:tc>
      </w:tr>
    </w:tbl>
    <w:p>
      <w:pPr>
        <w:spacing w:before="51"/>
        <w:ind w:left="154" w:right="1117" w:firstLine="0"/>
        <w:jc w:val="left"/>
        <w:rPr>
          <w:rFonts w:ascii="宋体" w:hAnsi="宋体" w:cs="宋体" w:eastAsia="宋体" w:hint="default"/>
          <w:sz w:val="18"/>
          <w:szCs w:val="18"/>
        </w:rPr>
      </w:pPr>
      <w:r>
        <w:rPr>
          <w:rFonts w:ascii="宋体" w:hAnsi="宋体" w:cs="宋体" w:eastAsia="宋体" w:hint="default"/>
          <w:sz w:val="18"/>
          <w:szCs w:val="18"/>
        </w:rPr>
        <w:t>股份变动的原因</w:t>
      </w:r>
    </w:p>
    <w:p>
      <w:pPr>
        <w:spacing w:before="117"/>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pStyle w:val="BodyText"/>
        <w:spacing w:line="386" w:lineRule="auto" w:before="153"/>
        <w:ind w:right="1162" w:firstLine="423"/>
        <w:jc w:val="both"/>
      </w:pPr>
      <w:r>
        <w:rPr>
          <w:rFonts w:ascii="Times New Roman" w:hAnsi="Times New Roman" w:cs="Times New Roman" w:eastAsia="Times New Roman" w:hint="default"/>
        </w:rPr>
        <w:t>2018</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10</w:t>
      </w:r>
      <w:r>
        <w:rPr/>
        <w:t>日召开的</w:t>
      </w:r>
      <w:r>
        <w:rPr>
          <w:rFonts w:ascii="Times New Roman" w:hAnsi="Times New Roman" w:cs="Times New Roman" w:eastAsia="Times New Roman" w:hint="default"/>
        </w:rPr>
        <w:t>2017</w:t>
      </w:r>
      <w:r>
        <w:rPr/>
        <w:t>年年度股东大会审议通过了</w:t>
      </w:r>
      <w:r>
        <w:rPr>
          <w:rFonts w:ascii="Times New Roman" w:hAnsi="Times New Roman" w:cs="Times New Roman" w:eastAsia="Times New Roman" w:hint="default"/>
        </w:rPr>
        <w:t>2017</w:t>
      </w:r>
      <w:r>
        <w:rPr/>
        <w:t>年年度权益分派方案，公司</w:t>
      </w:r>
      <w:r>
        <w:rPr>
          <w:rFonts w:ascii="Times New Roman" w:hAnsi="Times New Roman" w:cs="Times New Roman" w:eastAsia="Times New Roman" w:hint="default"/>
        </w:rPr>
        <w:t>2017</w:t>
      </w:r>
      <w:r>
        <w:rPr/>
        <w:t>年年度权 益分派方案为：以截止</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日公司总股本</w:t>
      </w:r>
      <w:r>
        <w:rPr>
          <w:rFonts w:ascii="Times New Roman" w:hAnsi="Times New Roman" w:cs="Times New Roman" w:eastAsia="Times New Roman" w:hint="default"/>
        </w:rPr>
        <w:t>324,475,501</w:t>
      </w:r>
      <w:r>
        <w:rPr/>
        <w:t>股为基数，向全体股东每</w:t>
      </w:r>
      <w:r>
        <w:rPr>
          <w:rFonts w:ascii="Times New Roman" w:hAnsi="Times New Roman" w:cs="Times New Roman" w:eastAsia="Times New Roman" w:hint="default"/>
        </w:rPr>
        <w:t>10</w:t>
      </w:r>
      <w:r>
        <w:rPr/>
        <w:t>股派发现金</w:t>
      </w:r>
      <w:r>
        <w:rPr>
          <w:rFonts w:ascii="Times New Roman" w:hAnsi="Times New Roman" w:cs="Times New Roman" w:eastAsia="Times New Roman" w:hint="default"/>
        </w:rPr>
        <w:t>0.6 </w:t>
      </w:r>
      <w:r>
        <w:rPr/>
        <w:t>元人民币（含税），合计派发现金股利为人民币</w:t>
      </w:r>
      <w:r>
        <w:rPr>
          <w:rFonts w:ascii="Times New Roman" w:hAnsi="Times New Roman" w:cs="Times New Roman" w:eastAsia="Times New Roman" w:hint="default"/>
        </w:rPr>
        <w:t>19,468,530.06</w:t>
      </w:r>
      <w:r>
        <w:rPr/>
        <w:t>元（含税）。同时，以资本公积金向全体股 东每</w:t>
      </w:r>
      <w:r>
        <w:rPr>
          <w:rFonts w:ascii="Times New Roman" w:hAnsi="Times New Roman" w:cs="Times New Roman" w:eastAsia="Times New Roman" w:hint="default"/>
        </w:rPr>
        <w:t>10</w:t>
      </w:r>
      <w:r>
        <w:rPr/>
        <w:t>股转增</w:t>
      </w:r>
      <w:r>
        <w:rPr>
          <w:rFonts w:ascii="Times New Roman" w:hAnsi="Times New Roman" w:cs="Times New Roman" w:eastAsia="Times New Roman" w:hint="default"/>
        </w:rPr>
        <w:t>5</w:t>
      </w:r>
      <w:r>
        <w:rPr/>
        <w:t>股，共计转增</w:t>
      </w:r>
      <w:r>
        <w:rPr>
          <w:rFonts w:ascii="Times New Roman" w:hAnsi="Times New Roman" w:cs="Times New Roman" w:eastAsia="Times New Roman" w:hint="default"/>
        </w:rPr>
        <w:t>162,237,751</w:t>
      </w:r>
      <w:r>
        <w:rPr/>
        <w:t>股，转增后公司总股本增加至</w:t>
      </w:r>
      <w:r>
        <w:rPr>
          <w:rFonts w:ascii="Times New Roman" w:hAnsi="Times New Roman" w:cs="Times New Roman" w:eastAsia="Times New Roman" w:hint="default"/>
        </w:rPr>
        <w:t>486,713,252</w:t>
      </w:r>
      <w:r>
        <w:rPr/>
        <w:t>股。</w:t>
      </w:r>
    </w:p>
    <w:p>
      <w:pPr>
        <w:pStyle w:val="BodyText"/>
        <w:spacing w:line="386" w:lineRule="auto" w:before="35"/>
        <w:ind w:right="1130" w:firstLine="423"/>
        <w:jc w:val="both"/>
      </w:pPr>
      <w:r>
        <w:rPr>
          <w:rFonts w:ascii="Times New Roman" w:hAnsi="Times New Roman" w:cs="Times New Roman" w:eastAsia="Times New Roman" w:hint="default"/>
          <w:spacing w:val="-1"/>
        </w:rPr>
        <w:t>2018</w:t>
      </w:r>
      <w:r>
        <w:rPr>
          <w:spacing w:val="-1"/>
        </w:rPr>
        <w:t>年</w:t>
      </w:r>
      <w:r>
        <w:rPr>
          <w:rFonts w:ascii="Times New Roman" w:hAnsi="Times New Roman" w:cs="Times New Roman" w:eastAsia="Times New Roman" w:hint="default"/>
          <w:spacing w:val="-1"/>
        </w:rPr>
        <w:t>3</w:t>
      </w:r>
      <w:r>
        <w:rPr>
          <w:spacing w:val="-1"/>
        </w:rPr>
        <w:t>月</w:t>
      </w:r>
      <w:r>
        <w:rPr>
          <w:rFonts w:ascii="Times New Roman" w:hAnsi="Times New Roman" w:cs="Times New Roman" w:eastAsia="Times New Roman" w:hint="default"/>
          <w:spacing w:val="-1"/>
        </w:rPr>
        <w:t>1</w:t>
      </w:r>
      <w:r>
        <w:rPr>
          <w:spacing w:val="-1"/>
        </w:rPr>
        <w:t>日公司召开了</w:t>
      </w:r>
      <w:r>
        <w:rPr>
          <w:rFonts w:ascii="Times New Roman" w:hAnsi="Times New Roman" w:cs="Times New Roman" w:eastAsia="Times New Roman" w:hint="default"/>
          <w:spacing w:val="-1"/>
        </w:rPr>
        <w:t>2018</w:t>
      </w:r>
      <w:r>
        <w:rPr>
          <w:spacing w:val="-1"/>
        </w:rPr>
        <w:t>年第一次临时股东大会，审议通过了《关于回购注销不符合激励条件的</w:t>
      </w:r>
      <w:r>
        <w:rPr/>
        <w:t> </w:t>
      </w:r>
      <w:r>
        <w:rPr>
          <w:spacing w:val="-1"/>
        </w:rPr>
        <w:t>激励对象所持已获授但尚未解锁的限制性股票的议案》、《关于终止实施</w:t>
      </w:r>
      <w:r>
        <w:rPr>
          <w:rFonts w:ascii="Times New Roman" w:hAnsi="Times New Roman" w:cs="Times New Roman" w:eastAsia="Times New Roman" w:hint="default"/>
          <w:spacing w:val="-1"/>
        </w:rPr>
        <w:t>2016</w:t>
      </w:r>
      <w:r>
        <w:rPr>
          <w:spacing w:val="-1"/>
        </w:rPr>
        <w:t>年限制性股票激励计划暨回</w:t>
      </w:r>
      <w:r>
        <w:rPr>
          <w:spacing w:val="-81"/>
        </w:rPr>
        <w:t> </w:t>
      </w:r>
      <w:r>
        <w:rPr>
          <w:spacing w:val="-81"/>
        </w:rPr>
      </w:r>
      <w:r>
        <w:rPr/>
        <w:t>购注销已获授但尚未解锁的限制性股票的议案》、《关于终止执行</w:t>
      </w:r>
      <w:r>
        <w:rPr>
          <w:rFonts w:ascii="Times New Roman" w:hAnsi="Times New Roman" w:cs="Times New Roman" w:eastAsia="Times New Roman" w:hint="default"/>
        </w:rPr>
        <w:t>&lt;</w:t>
      </w:r>
      <w:r>
        <w:rPr/>
        <w:t>新开普电子股份有限公司限制性股票 激励计划实施考核管理办法</w:t>
      </w:r>
      <w:r>
        <w:rPr>
          <w:rFonts w:ascii="Times New Roman" w:hAnsi="Times New Roman" w:cs="Times New Roman" w:eastAsia="Times New Roman" w:hint="default"/>
        </w:rPr>
        <w:t>&gt;</w:t>
      </w:r>
      <w:r>
        <w:rPr/>
        <w:t>的议案》等议案，同意回购注销原激励对象李莘、王鹏飞等</w:t>
      </w:r>
      <w:r>
        <w:rPr>
          <w:rFonts w:ascii="Times New Roman" w:hAnsi="Times New Roman" w:cs="Times New Roman" w:eastAsia="Times New Roman" w:hint="default"/>
        </w:rPr>
        <w:t>10</w:t>
      </w:r>
      <w:r>
        <w:rPr/>
        <w:t>名离职人员已</w:t>
      </w:r>
    </w:p>
    <w:p>
      <w:pPr>
        <w:spacing w:after="0" w:line="386" w:lineRule="auto"/>
        <w:jc w:val="both"/>
        <w:sectPr>
          <w:pgSz w:w="11910" w:h="16840"/>
          <w:pgMar w:header="877" w:footer="979" w:top="1100" w:bottom="1160" w:left="980" w:right="0"/>
        </w:sectPr>
      </w:pPr>
    </w:p>
    <w:p>
      <w:pPr>
        <w:spacing w:line="240" w:lineRule="auto" w:before="8"/>
        <w:rPr>
          <w:rFonts w:ascii="宋体" w:hAnsi="宋体" w:cs="宋体" w:eastAsia="宋体" w:hint="default"/>
          <w:sz w:val="26"/>
          <w:szCs w:val="26"/>
        </w:rPr>
      </w:pPr>
    </w:p>
    <w:p>
      <w:pPr>
        <w:pStyle w:val="BodyText"/>
        <w:spacing w:line="386" w:lineRule="auto" w:before="35"/>
        <w:ind w:right="1120"/>
        <w:jc w:val="left"/>
      </w:pPr>
      <w:r>
        <w:rPr>
          <w:spacing w:val="-2"/>
        </w:rPr>
        <w:t>获授但尚未解锁的</w:t>
      </w:r>
      <w:r>
        <w:rPr>
          <w:rFonts w:ascii="Times New Roman" w:hAnsi="Times New Roman" w:cs="Times New Roman" w:eastAsia="Times New Roman" w:hint="default"/>
          <w:spacing w:val="-2"/>
        </w:rPr>
        <w:t>45,600</w:t>
      </w:r>
      <w:r>
        <w:rPr>
          <w:spacing w:val="-2"/>
        </w:rPr>
        <w:t>股限制性股票，同意公司终止实施激励计划并回购注销剩余</w:t>
      </w:r>
      <w:r>
        <w:rPr>
          <w:rFonts w:ascii="Times New Roman" w:hAnsi="Times New Roman" w:cs="Times New Roman" w:eastAsia="Times New Roman" w:hint="default"/>
          <w:spacing w:val="-2"/>
        </w:rPr>
        <w:t>435</w:t>
      </w:r>
      <w:r>
        <w:rPr>
          <w:spacing w:val="-2"/>
        </w:rPr>
        <w:t>名激励对象已获授</w:t>
      </w:r>
      <w:r>
        <w:rPr>
          <w:spacing w:val="-81"/>
        </w:rPr>
        <w:t> </w:t>
      </w:r>
      <w:r>
        <w:rPr>
          <w:spacing w:val="-81"/>
        </w:rPr>
      </w:r>
      <w:r>
        <w:rPr/>
        <w:t>但尚未解锁的</w:t>
      </w:r>
      <w:r>
        <w:rPr>
          <w:rFonts w:ascii="Times New Roman" w:hAnsi="Times New Roman" w:cs="Times New Roman" w:eastAsia="Times New Roman" w:hint="default"/>
        </w:rPr>
        <w:t>5,575,140</w:t>
      </w:r>
      <w:r>
        <w:rPr/>
        <w:t>股限制性股票。立信会计师事务所（特殊普通合伙）于</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20</w:t>
      </w:r>
      <w:r>
        <w:rPr/>
        <w:t>日对本次回购 注销事项出具了《验资报告》（信会师报字</w:t>
      </w:r>
      <w:r>
        <w:rPr>
          <w:rFonts w:ascii="Times New Roman" w:hAnsi="Times New Roman" w:cs="Times New Roman" w:eastAsia="Times New Roman" w:hint="default"/>
        </w:rPr>
        <w:t>[2018]</w:t>
      </w:r>
      <w:r>
        <w:rPr/>
        <w:t>第</w:t>
      </w:r>
      <w:r>
        <w:rPr>
          <w:rFonts w:ascii="Times New Roman" w:hAnsi="Times New Roman" w:cs="Times New Roman" w:eastAsia="Times New Roman" w:hint="default"/>
        </w:rPr>
        <w:t>ZG11028</w:t>
      </w:r>
      <w:r>
        <w:rPr/>
        <w:t>号）。经中国证券登记结算有限责任公司深 </w:t>
      </w:r>
      <w:r>
        <w:rPr>
          <w:spacing w:val="-2"/>
        </w:rPr>
        <w:t>圳分公司审核确认，截至</w:t>
      </w:r>
      <w:r>
        <w:rPr>
          <w:rFonts w:ascii="Times New Roman" w:hAnsi="Times New Roman" w:cs="Times New Roman" w:eastAsia="Times New Roman" w:hint="default"/>
          <w:spacing w:val="-2"/>
        </w:rPr>
        <w:t>2018</w:t>
      </w:r>
      <w:r>
        <w:rPr>
          <w:spacing w:val="-2"/>
        </w:rPr>
        <w:t>年</w:t>
      </w:r>
      <w:r>
        <w:rPr>
          <w:rFonts w:ascii="Times New Roman" w:hAnsi="Times New Roman" w:cs="Times New Roman" w:eastAsia="Times New Roman" w:hint="default"/>
          <w:spacing w:val="-2"/>
        </w:rPr>
        <w:t>5</w:t>
      </w:r>
      <w:r>
        <w:rPr>
          <w:spacing w:val="-2"/>
        </w:rPr>
        <w:t>月</w:t>
      </w:r>
      <w:r>
        <w:rPr>
          <w:rFonts w:ascii="Times New Roman" w:hAnsi="Times New Roman" w:cs="Times New Roman" w:eastAsia="Times New Roman" w:hint="default"/>
          <w:spacing w:val="-2"/>
        </w:rPr>
        <w:t>7</w:t>
      </w:r>
      <w:r>
        <w:rPr>
          <w:spacing w:val="-2"/>
        </w:rPr>
        <w:t>日，公司上述限制性股票回购注销事宜已办理完成。因此，</w:t>
      </w:r>
      <w:r>
        <w:rPr>
          <w:spacing w:val="-43"/>
        </w:rPr>
        <w:t> </w:t>
      </w:r>
      <w:r>
        <w:rPr/>
        <w:t>截至</w:t>
      </w:r>
      <w:r>
        <w:rPr>
          <w:rFonts w:ascii="Times New Roman" w:hAnsi="Times New Roman" w:cs="Times New Roman" w:eastAsia="Times New Roman" w:hint="default"/>
        </w:rPr>
        <w:t>2018 </w:t>
      </w:r>
      <w:r>
        <w:rPr/>
        <w:t>年</w:t>
      </w:r>
      <w:r>
        <w:rPr>
          <w:rFonts w:ascii="Times New Roman" w:hAnsi="Times New Roman" w:cs="Times New Roman" w:eastAsia="Times New Roman" w:hint="default"/>
        </w:rPr>
        <w:t>5</w:t>
      </w:r>
      <w:r>
        <w:rPr/>
        <w:t>月</w:t>
      </w:r>
      <w:r>
        <w:rPr>
          <w:rFonts w:ascii="Times New Roman" w:hAnsi="Times New Roman" w:cs="Times New Roman" w:eastAsia="Times New Roman" w:hint="default"/>
        </w:rPr>
        <w:t>7</w:t>
      </w:r>
      <w:r>
        <w:rPr/>
        <w:t>日，公司总股本由</w:t>
      </w:r>
      <w:r>
        <w:rPr>
          <w:rFonts w:ascii="Times New Roman" w:hAnsi="Times New Roman" w:cs="Times New Roman" w:eastAsia="Times New Roman" w:hint="default"/>
        </w:rPr>
        <w:t>324,475,501</w:t>
      </w:r>
      <w:r>
        <w:rPr/>
        <w:t>股减少至</w:t>
      </w:r>
      <w:r>
        <w:rPr>
          <w:rFonts w:ascii="Times New Roman" w:hAnsi="Times New Roman" w:cs="Times New Roman" w:eastAsia="Times New Roman" w:hint="default"/>
        </w:rPr>
        <w:t>318,854,761</w:t>
      </w:r>
      <w:r>
        <w:rPr/>
        <w:t>股。</w:t>
      </w:r>
    </w:p>
    <w:p>
      <w:pPr>
        <w:pStyle w:val="BodyText"/>
        <w:spacing w:line="388" w:lineRule="auto" w:before="35"/>
        <w:ind w:right="1117" w:firstLine="423"/>
        <w:jc w:val="left"/>
      </w:pPr>
      <w:r>
        <w:rPr>
          <w:spacing w:val="-1"/>
        </w:rPr>
        <w:t>根据《深圳证券交易所创业板上市公司规范运作指引》的相关规定，分配方案公布后至实施前，公司</w:t>
      </w:r>
      <w:r>
        <w:rPr/>
        <w:t> 总股本由于增发新股、股权激励行权、可转债转股等原因发生变动的，应当按照</w:t>
      </w:r>
      <w:r>
        <w:rPr>
          <w:rFonts w:ascii="Times New Roman" w:hAnsi="Times New Roman" w:cs="Times New Roman" w:eastAsia="Times New Roman" w:hint="default"/>
        </w:rPr>
        <w:t>“</w:t>
      </w:r>
      <w:r>
        <w:rPr/>
        <w:t>现金分红总额、送红股 总额、转增股本总额固定不变</w:t>
      </w:r>
      <w:r>
        <w:rPr>
          <w:rFonts w:ascii="Times New Roman" w:hAnsi="Times New Roman" w:cs="Times New Roman" w:eastAsia="Times New Roman" w:hint="default"/>
        </w:rPr>
        <w:t>”</w:t>
      </w:r>
      <w:r>
        <w:rPr/>
        <w:t>的原则，在权益分派实施公告中披露按公司最新总股本计算的分配比例。 </w:t>
      </w:r>
      <w:r>
        <w:rPr>
          <w:spacing w:val="-1"/>
        </w:rPr>
        <w:t>因此，公司按最新股本计算的</w:t>
      </w:r>
      <w:r>
        <w:rPr>
          <w:rFonts w:ascii="Times New Roman" w:hAnsi="Times New Roman" w:cs="Times New Roman" w:eastAsia="Times New Roman" w:hint="default"/>
          <w:spacing w:val="-1"/>
        </w:rPr>
        <w:t>2017</w:t>
      </w:r>
      <w:r>
        <w:rPr>
          <w:spacing w:val="-1"/>
        </w:rPr>
        <w:t>年年度权益分派方案为：以公司现有总股本</w:t>
      </w:r>
      <w:r>
        <w:rPr>
          <w:rFonts w:ascii="Times New Roman" w:hAnsi="Times New Roman" w:cs="Times New Roman" w:eastAsia="Times New Roman" w:hint="default"/>
          <w:spacing w:val="-1"/>
        </w:rPr>
        <w:t>318,854,761</w:t>
      </w:r>
      <w:r>
        <w:rPr>
          <w:spacing w:val="-1"/>
        </w:rPr>
        <w:t>股为基数，向全</w:t>
      </w:r>
      <w:r>
        <w:rPr>
          <w:spacing w:val="-76"/>
        </w:rPr>
        <w:t> </w:t>
      </w:r>
      <w:r>
        <w:rPr>
          <w:spacing w:val="-76"/>
        </w:rPr>
      </w:r>
      <w:r>
        <w:rPr/>
        <w:t>体股东每</w:t>
      </w:r>
      <w:r>
        <w:rPr>
          <w:rFonts w:ascii="Times New Roman" w:hAnsi="Times New Roman" w:cs="Times New Roman" w:eastAsia="Times New Roman" w:hint="default"/>
        </w:rPr>
        <w:t>10</w:t>
      </w:r>
      <w:r>
        <w:rPr/>
        <w:t>股派</w:t>
      </w:r>
      <w:r>
        <w:rPr>
          <w:rFonts w:ascii="Times New Roman" w:hAnsi="Times New Roman" w:cs="Times New Roman" w:eastAsia="Times New Roman" w:hint="default"/>
        </w:rPr>
        <w:t>0.610576</w:t>
      </w:r>
      <w:r>
        <w:rPr/>
        <w:t>元人民币现金（含税）同时，以资本公积金向全体股东每</w:t>
      </w:r>
      <w:r>
        <w:rPr>
          <w:rFonts w:ascii="Times New Roman" w:hAnsi="Times New Roman" w:cs="Times New Roman" w:eastAsia="Times New Roman" w:hint="default"/>
        </w:rPr>
        <w:t>10</w:t>
      </w:r>
      <w:r>
        <w:rPr/>
        <w:t>股转增</w:t>
      </w:r>
      <w:r>
        <w:rPr>
          <w:rFonts w:ascii="Times New Roman" w:hAnsi="Times New Roman" w:cs="Times New Roman" w:eastAsia="Times New Roman" w:hint="default"/>
        </w:rPr>
        <w:t>5.088139</w:t>
      </w:r>
      <w:r>
        <w:rPr/>
        <w:t>股。 </w:t>
      </w:r>
      <w:r>
        <w:rPr>
          <w:spacing w:val="-3"/>
        </w:rPr>
        <w:t>转增后公司总股本增加至</w:t>
      </w:r>
      <w:r>
        <w:rPr>
          <w:rFonts w:ascii="Times New Roman" w:hAnsi="Times New Roman" w:cs="Times New Roman" w:eastAsia="Times New Roman" w:hint="default"/>
          <w:spacing w:val="-3"/>
        </w:rPr>
        <w:t>481,092,495</w:t>
      </w:r>
      <w:r>
        <w:rPr>
          <w:spacing w:val="-3"/>
        </w:rPr>
        <w:t>股。截至</w:t>
      </w:r>
      <w:r>
        <w:rPr>
          <w:rFonts w:ascii="Times New Roman" w:hAnsi="Times New Roman" w:cs="Times New Roman" w:eastAsia="Times New Roman" w:hint="default"/>
          <w:spacing w:val="-3"/>
        </w:rPr>
        <w:t>2018</w:t>
      </w:r>
      <w:r>
        <w:rPr>
          <w:spacing w:val="-3"/>
        </w:rPr>
        <w:t>年</w:t>
      </w:r>
      <w:r>
        <w:rPr>
          <w:rFonts w:ascii="Times New Roman" w:hAnsi="Times New Roman" w:cs="Times New Roman" w:eastAsia="Times New Roman" w:hint="default"/>
          <w:spacing w:val="-3"/>
        </w:rPr>
        <w:t>5</w:t>
      </w:r>
      <w:r>
        <w:rPr>
          <w:spacing w:val="-3"/>
        </w:rPr>
        <w:t>月</w:t>
      </w:r>
      <w:r>
        <w:rPr>
          <w:rFonts w:ascii="Times New Roman" w:hAnsi="Times New Roman" w:cs="Times New Roman" w:eastAsia="Times New Roman" w:hint="default"/>
          <w:spacing w:val="-3"/>
        </w:rPr>
        <w:t>22</w:t>
      </w:r>
      <w:r>
        <w:rPr>
          <w:spacing w:val="-3"/>
        </w:rPr>
        <w:t>日，公司</w:t>
      </w:r>
      <w:r>
        <w:rPr>
          <w:rFonts w:ascii="Times New Roman" w:hAnsi="Times New Roman" w:cs="Times New Roman" w:eastAsia="Times New Roman" w:hint="default"/>
          <w:spacing w:val="-3"/>
        </w:rPr>
        <w:t>2017</w:t>
      </w:r>
      <w:r>
        <w:rPr>
          <w:spacing w:val="-3"/>
        </w:rPr>
        <w:t>年年度权益分派已实施完毕。</w:t>
      </w:r>
      <w:r>
        <w:rPr>
          <w:rFonts w:ascii="Times New Roman" w:hAnsi="Times New Roman" w:cs="Times New Roman" w:eastAsia="Times New Roman" w:hint="default"/>
          <w:spacing w:val="-3"/>
        </w:rPr>
        <w:t>2018</w:t>
      </w:r>
      <w:r>
        <w:rPr>
          <w:rFonts w:ascii="Times New Roman" w:hAnsi="Times New Roman" w:cs="Times New Roman" w:eastAsia="Times New Roman" w:hint="default"/>
          <w:spacing w:val="-5"/>
        </w:rPr>
        <w:t> </w:t>
      </w:r>
      <w:r>
        <w:rPr>
          <w:spacing w:val="-9"/>
        </w:rPr>
        <w:t>年</w:t>
      </w:r>
      <w:r>
        <w:rPr>
          <w:rFonts w:ascii="Times New Roman" w:hAnsi="Times New Roman" w:cs="Times New Roman" w:eastAsia="Times New Roman" w:hint="default"/>
          <w:spacing w:val="-9"/>
        </w:rPr>
        <w:t>7</w:t>
      </w:r>
      <w:r>
        <w:rPr>
          <w:spacing w:val="-9"/>
        </w:rPr>
        <w:t>月</w:t>
      </w:r>
      <w:r>
        <w:rPr>
          <w:rFonts w:ascii="Times New Roman" w:hAnsi="Times New Roman" w:cs="Times New Roman" w:eastAsia="Times New Roman" w:hint="default"/>
          <w:spacing w:val="-9"/>
        </w:rPr>
        <w:t>15</w:t>
      </w:r>
      <w:r>
        <w:rPr>
          <w:spacing w:val="-9"/>
        </w:rPr>
        <w:t>日，立信会计师事务所（特殊普通合伙）出具了</w:t>
      </w:r>
      <w:r>
        <w:rPr>
          <w:rFonts w:ascii="Times New Roman" w:hAnsi="Times New Roman" w:cs="Times New Roman" w:eastAsia="Times New Roman" w:hint="default"/>
          <w:spacing w:val="-9"/>
        </w:rPr>
        <w:t>“</w:t>
      </w:r>
      <w:r>
        <w:rPr>
          <w:spacing w:val="-9"/>
        </w:rPr>
        <w:t>信会师报字【</w:t>
      </w:r>
      <w:r>
        <w:rPr>
          <w:rFonts w:ascii="Times New Roman" w:hAnsi="Times New Roman" w:cs="Times New Roman" w:eastAsia="Times New Roman" w:hint="default"/>
          <w:spacing w:val="-9"/>
        </w:rPr>
        <w:t>2018</w:t>
      </w:r>
      <w:r>
        <w:rPr>
          <w:spacing w:val="-9"/>
        </w:rPr>
        <w:t>】第</w:t>
      </w:r>
      <w:r>
        <w:rPr>
          <w:rFonts w:ascii="Times New Roman" w:hAnsi="Times New Roman" w:cs="Times New Roman" w:eastAsia="Times New Roman" w:hint="default"/>
          <w:spacing w:val="-9"/>
        </w:rPr>
        <w:t>ZG11664</w:t>
      </w:r>
      <w:r>
        <w:rPr>
          <w:spacing w:val="-9"/>
        </w:rPr>
        <w:t>号</w:t>
      </w:r>
      <w:r>
        <w:rPr>
          <w:rFonts w:ascii="Times New Roman" w:hAnsi="Times New Roman" w:cs="Times New Roman" w:eastAsia="Times New Roman" w:hint="default"/>
          <w:spacing w:val="-9"/>
        </w:rPr>
        <w:t>”</w:t>
      </w:r>
      <w:r>
        <w:rPr>
          <w:spacing w:val="-9"/>
        </w:rPr>
        <w:t>的《验资报告》，</w:t>
      </w:r>
      <w:r>
        <w:rPr>
          <w:spacing w:val="-95"/>
        </w:rPr>
        <w:t> </w:t>
      </w:r>
      <w:r>
        <w:rPr>
          <w:spacing w:val="-95"/>
        </w:rPr>
      </w:r>
      <w:r>
        <w:rPr/>
        <w:t>验证截至</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5</w:t>
      </w:r>
      <w:r>
        <w:rPr/>
        <w:t>月</w:t>
      </w:r>
      <w:r>
        <w:rPr>
          <w:rFonts w:ascii="Times New Roman" w:hAnsi="Times New Roman" w:cs="Times New Roman" w:eastAsia="Times New Roman" w:hint="default"/>
        </w:rPr>
        <w:t>21</w:t>
      </w:r>
      <w:r>
        <w:rPr/>
        <w:t>日，变更后累计注册资本为</w:t>
      </w:r>
      <w:r>
        <w:rPr>
          <w:rFonts w:ascii="Times New Roman" w:hAnsi="Times New Roman" w:cs="Times New Roman" w:eastAsia="Times New Roman" w:hint="default"/>
        </w:rPr>
        <w:t>481,092,495</w:t>
      </w:r>
      <w:r>
        <w:rPr/>
        <w:t>元。</w:t>
      </w:r>
    </w:p>
    <w:p>
      <w:pPr>
        <w:spacing w:line="240" w:lineRule="auto" w:before="6"/>
        <w:rPr>
          <w:rFonts w:ascii="宋体" w:hAnsi="宋体" w:cs="宋体" w:eastAsia="宋体" w:hint="default"/>
          <w:sz w:val="25"/>
          <w:szCs w:val="25"/>
        </w:rPr>
      </w:pPr>
    </w:p>
    <w:p>
      <w:pPr>
        <w:spacing w:before="0"/>
        <w:ind w:left="154" w:right="1117" w:firstLine="0"/>
        <w:jc w:val="left"/>
        <w:rPr>
          <w:rFonts w:ascii="宋体" w:hAnsi="宋体" w:cs="宋体" w:eastAsia="宋体" w:hint="default"/>
          <w:sz w:val="18"/>
          <w:szCs w:val="18"/>
        </w:rPr>
      </w:pPr>
      <w:r>
        <w:rPr>
          <w:rFonts w:ascii="宋体" w:hAnsi="宋体" w:cs="宋体" w:eastAsia="宋体" w:hint="default"/>
          <w:sz w:val="18"/>
          <w:szCs w:val="18"/>
        </w:rPr>
        <w:t>股份变动的批准情况</w:t>
      </w:r>
    </w:p>
    <w:p>
      <w:pPr>
        <w:spacing w:before="117"/>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pStyle w:val="BodyText"/>
        <w:spacing w:line="386" w:lineRule="auto" w:before="153"/>
        <w:ind w:right="1117" w:firstLine="423"/>
        <w:jc w:val="left"/>
      </w:pPr>
      <w:r>
        <w:rPr>
          <w:spacing w:val="-1"/>
        </w:rPr>
        <w:t>根据</w:t>
      </w:r>
      <w:r>
        <w:rPr>
          <w:rFonts w:ascii="Times New Roman" w:hAnsi="Times New Roman" w:cs="Times New Roman" w:eastAsia="Times New Roman" w:hint="default"/>
          <w:spacing w:val="-1"/>
        </w:rPr>
        <w:t>2018</w:t>
      </w:r>
      <w:r>
        <w:rPr>
          <w:spacing w:val="-1"/>
        </w:rPr>
        <w:t>年</w:t>
      </w:r>
      <w:r>
        <w:rPr>
          <w:rFonts w:ascii="Times New Roman" w:hAnsi="Times New Roman" w:cs="Times New Roman" w:eastAsia="Times New Roman" w:hint="default"/>
          <w:spacing w:val="-1"/>
        </w:rPr>
        <w:t>3</w:t>
      </w:r>
      <w:r>
        <w:rPr>
          <w:spacing w:val="-1"/>
        </w:rPr>
        <w:t>月</w:t>
      </w:r>
      <w:r>
        <w:rPr>
          <w:rFonts w:ascii="Times New Roman" w:hAnsi="Times New Roman" w:cs="Times New Roman" w:eastAsia="Times New Roman" w:hint="default"/>
          <w:spacing w:val="-1"/>
        </w:rPr>
        <w:t>1</w:t>
      </w:r>
      <w:r>
        <w:rPr>
          <w:spacing w:val="-1"/>
        </w:rPr>
        <w:t>日公司召开的</w:t>
      </w:r>
      <w:r>
        <w:rPr>
          <w:rFonts w:ascii="Times New Roman" w:hAnsi="Times New Roman" w:cs="Times New Roman" w:eastAsia="Times New Roman" w:hint="default"/>
          <w:spacing w:val="-1"/>
        </w:rPr>
        <w:t>2018</w:t>
      </w:r>
      <w:r>
        <w:rPr>
          <w:spacing w:val="-1"/>
        </w:rPr>
        <w:t>年第一次临时股东大会决议，公司回购注销原激励对象李莘、王鹏</w:t>
      </w:r>
      <w:r>
        <w:rPr/>
        <w:t> 飞等</w:t>
      </w:r>
      <w:r>
        <w:rPr>
          <w:rFonts w:ascii="Times New Roman" w:hAnsi="Times New Roman" w:cs="Times New Roman" w:eastAsia="Times New Roman" w:hint="default"/>
        </w:rPr>
        <w:t>10</w:t>
      </w:r>
      <w:r>
        <w:rPr/>
        <w:t>名离职人员已获授但尚未解锁的</w:t>
      </w:r>
      <w:r>
        <w:rPr>
          <w:rFonts w:ascii="Times New Roman" w:hAnsi="Times New Roman" w:cs="Times New Roman" w:eastAsia="Times New Roman" w:hint="default"/>
        </w:rPr>
        <w:t>45,600</w:t>
      </w:r>
      <w:r>
        <w:rPr/>
        <w:t>股限制性股票，公司终止实施激励计划并回购注销剩余</w:t>
      </w:r>
      <w:r>
        <w:rPr>
          <w:rFonts w:ascii="Times New Roman" w:hAnsi="Times New Roman" w:cs="Times New Roman" w:eastAsia="Times New Roman" w:hint="default"/>
        </w:rPr>
        <w:t>435 </w:t>
      </w:r>
      <w:r>
        <w:rPr>
          <w:spacing w:val="-1"/>
        </w:rPr>
        <w:t>名激励对象已获授但尚未解锁的</w:t>
      </w:r>
      <w:r>
        <w:rPr>
          <w:rFonts w:ascii="Times New Roman" w:hAnsi="Times New Roman" w:cs="Times New Roman" w:eastAsia="Times New Roman" w:hint="default"/>
          <w:spacing w:val="-1"/>
        </w:rPr>
        <w:t>5,575,140</w:t>
      </w:r>
      <w:r>
        <w:rPr>
          <w:spacing w:val="-1"/>
        </w:rPr>
        <w:t>股限制性股票，共计回购注销限制性股票</w:t>
      </w:r>
      <w:r>
        <w:rPr>
          <w:rFonts w:ascii="Times New Roman" w:hAnsi="Times New Roman" w:cs="Times New Roman" w:eastAsia="Times New Roman" w:hint="default"/>
          <w:spacing w:val="-1"/>
        </w:rPr>
        <w:t>5,620,740</w:t>
      </w:r>
      <w:r>
        <w:rPr>
          <w:spacing w:val="-1"/>
        </w:rPr>
        <w:t>股。公司董事</w:t>
      </w:r>
      <w:r>
        <w:rPr>
          <w:spacing w:val="-74"/>
        </w:rPr>
        <w:t> </w:t>
      </w:r>
      <w:r>
        <w:rPr>
          <w:spacing w:val="-74"/>
        </w:rPr>
      </w:r>
      <w:r>
        <w:rPr>
          <w:spacing w:val="-1"/>
        </w:rPr>
        <w:t>会依法办理了限制性股票的回购注销手续并履行信息披露义务，上述限制性股票已于</w:t>
      </w:r>
      <w:r>
        <w:rPr>
          <w:rFonts w:ascii="Times New Roman" w:hAnsi="Times New Roman" w:cs="Times New Roman" w:eastAsia="Times New Roman" w:hint="default"/>
          <w:spacing w:val="-1"/>
        </w:rPr>
        <w:t>2018</w:t>
      </w:r>
      <w:r>
        <w:rPr>
          <w:spacing w:val="-1"/>
        </w:rPr>
        <w:t>年</w:t>
      </w:r>
      <w:r>
        <w:rPr>
          <w:rFonts w:ascii="Times New Roman" w:hAnsi="Times New Roman" w:cs="Times New Roman" w:eastAsia="Times New Roman" w:hint="default"/>
          <w:spacing w:val="-1"/>
        </w:rPr>
        <w:t>5</w:t>
      </w:r>
      <w:r>
        <w:rPr>
          <w:spacing w:val="-1"/>
        </w:rPr>
        <w:t>月</w:t>
      </w:r>
      <w:r>
        <w:rPr>
          <w:rFonts w:ascii="Times New Roman" w:hAnsi="Times New Roman" w:cs="Times New Roman" w:eastAsia="Times New Roman" w:hint="default"/>
          <w:spacing w:val="-1"/>
        </w:rPr>
        <w:t>7</w:t>
      </w:r>
      <w:r>
        <w:rPr>
          <w:spacing w:val="-1"/>
        </w:rPr>
        <w:t>日在中国</w:t>
      </w:r>
      <w:r>
        <w:rPr>
          <w:spacing w:val="-79"/>
        </w:rPr>
        <w:t> </w:t>
      </w:r>
      <w:r>
        <w:rPr/>
        <w:t>证券登记结算有限责任公司深圳分公司完成回购注销手续。</w:t>
      </w:r>
    </w:p>
    <w:p>
      <w:pPr>
        <w:pStyle w:val="BodyText"/>
        <w:spacing w:line="388" w:lineRule="auto" w:before="65"/>
        <w:ind w:right="1116" w:firstLine="423"/>
        <w:jc w:val="left"/>
        <w:rPr>
          <w:rFonts w:ascii="Times New Roman" w:hAnsi="Times New Roman" w:cs="Times New Roman" w:eastAsia="Times New Roman" w:hint="default"/>
        </w:rPr>
      </w:pPr>
      <w:r>
        <w:rPr/>
        <w:t>根据</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10</w:t>
      </w:r>
      <w:r>
        <w:rPr/>
        <w:t>日公司召开的</w:t>
      </w:r>
      <w:r>
        <w:rPr>
          <w:rFonts w:ascii="Times New Roman" w:hAnsi="Times New Roman" w:cs="Times New Roman" w:eastAsia="Times New Roman" w:hint="default"/>
        </w:rPr>
        <w:t>2017</w:t>
      </w:r>
      <w:r>
        <w:rPr/>
        <w:t>年年度股东大会决议，公司</w:t>
      </w:r>
      <w:r>
        <w:rPr>
          <w:rFonts w:ascii="Times New Roman" w:hAnsi="Times New Roman" w:cs="Times New Roman" w:eastAsia="Times New Roman" w:hint="default"/>
        </w:rPr>
        <w:t>2017</w:t>
      </w:r>
      <w:r>
        <w:rPr/>
        <w:t>年年度权益分派方案为：以截止 </w:t>
      </w:r>
      <w:r>
        <w:rPr>
          <w:rFonts w:ascii="Times New Roman" w:hAnsi="Times New Roman" w:cs="Times New Roman" w:eastAsia="Times New Roman" w:hint="default"/>
          <w:spacing w:val="-2"/>
        </w:rPr>
        <w:t>2017</w:t>
      </w:r>
      <w:r>
        <w:rPr>
          <w:spacing w:val="-2"/>
        </w:rPr>
        <w:t>年</w:t>
      </w:r>
      <w:r>
        <w:rPr>
          <w:rFonts w:ascii="Times New Roman" w:hAnsi="Times New Roman" w:cs="Times New Roman" w:eastAsia="Times New Roman" w:hint="default"/>
          <w:spacing w:val="-2"/>
        </w:rPr>
        <w:t>12</w:t>
      </w:r>
      <w:r>
        <w:rPr>
          <w:spacing w:val="-2"/>
        </w:rPr>
        <w:t>月</w:t>
      </w:r>
      <w:r>
        <w:rPr>
          <w:rFonts w:ascii="Times New Roman" w:hAnsi="Times New Roman" w:cs="Times New Roman" w:eastAsia="Times New Roman" w:hint="default"/>
          <w:spacing w:val="-2"/>
        </w:rPr>
        <w:t>31</w:t>
      </w:r>
      <w:r>
        <w:rPr>
          <w:spacing w:val="-2"/>
        </w:rPr>
        <w:t>日公司总股本</w:t>
      </w:r>
      <w:r>
        <w:rPr>
          <w:rFonts w:ascii="Times New Roman" w:hAnsi="Times New Roman" w:cs="Times New Roman" w:eastAsia="Times New Roman" w:hint="default"/>
          <w:spacing w:val="-2"/>
        </w:rPr>
        <w:t>324,475,501</w:t>
      </w:r>
      <w:r>
        <w:rPr>
          <w:spacing w:val="-2"/>
        </w:rPr>
        <w:t>股为基数，向全体股东每</w:t>
      </w:r>
      <w:r>
        <w:rPr>
          <w:rFonts w:ascii="Times New Roman" w:hAnsi="Times New Roman" w:cs="Times New Roman" w:eastAsia="Times New Roman" w:hint="default"/>
          <w:spacing w:val="-2"/>
        </w:rPr>
        <w:t>10</w:t>
      </w:r>
      <w:r>
        <w:rPr>
          <w:spacing w:val="-2"/>
        </w:rPr>
        <w:t>股派发现金</w:t>
      </w:r>
      <w:r>
        <w:rPr>
          <w:rFonts w:ascii="Times New Roman" w:hAnsi="Times New Roman" w:cs="Times New Roman" w:eastAsia="Times New Roman" w:hint="default"/>
          <w:spacing w:val="-2"/>
        </w:rPr>
        <w:t>0.6</w:t>
      </w:r>
      <w:r>
        <w:rPr>
          <w:spacing w:val="-2"/>
        </w:rPr>
        <w:t>元人民币（含税），合计</w:t>
      </w:r>
      <w:r>
        <w:rPr>
          <w:spacing w:val="-77"/>
        </w:rPr>
        <w:t> </w:t>
      </w:r>
      <w:r>
        <w:rPr>
          <w:spacing w:val="-77"/>
        </w:rPr>
      </w:r>
      <w:r>
        <w:rPr>
          <w:spacing w:val="-2"/>
        </w:rPr>
        <w:t>派发现金股利为人民币</w:t>
      </w:r>
      <w:r>
        <w:rPr>
          <w:rFonts w:ascii="Times New Roman" w:hAnsi="Times New Roman" w:cs="Times New Roman" w:eastAsia="Times New Roman" w:hint="default"/>
          <w:spacing w:val="-2"/>
        </w:rPr>
        <w:t>19,468,530.06</w:t>
      </w:r>
      <w:r>
        <w:rPr>
          <w:spacing w:val="-2"/>
        </w:rPr>
        <w:t>元（含税）。同时，以资本公积金向全体股东每</w:t>
      </w:r>
      <w:r>
        <w:rPr>
          <w:rFonts w:ascii="Times New Roman" w:hAnsi="Times New Roman" w:cs="Times New Roman" w:eastAsia="Times New Roman" w:hint="default"/>
          <w:spacing w:val="-2"/>
        </w:rPr>
        <w:t>10</w:t>
      </w:r>
      <w:r>
        <w:rPr>
          <w:spacing w:val="-2"/>
        </w:rPr>
        <w:t>股转增</w:t>
      </w:r>
      <w:r>
        <w:rPr>
          <w:rFonts w:ascii="Times New Roman" w:hAnsi="Times New Roman" w:cs="Times New Roman" w:eastAsia="Times New Roman" w:hint="default"/>
          <w:spacing w:val="-2"/>
        </w:rPr>
        <w:t>5</w:t>
      </w:r>
      <w:r>
        <w:rPr>
          <w:spacing w:val="-2"/>
        </w:rPr>
        <w:t>股，共计转</w:t>
      </w:r>
      <w:r>
        <w:rPr>
          <w:spacing w:val="-74"/>
        </w:rPr>
        <w:t> </w:t>
      </w:r>
      <w:r>
        <w:rPr>
          <w:spacing w:val="-74"/>
        </w:rPr>
      </w:r>
      <w:r>
        <w:rPr>
          <w:spacing w:val="-1"/>
        </w:rPr>
        <w:t>增</w:t>
      </w:r>
      <w:r>
        <w:rPr>
          <w:rFonts w:ascii="Times New Roman" w:hAnsi="Times New Roman" w:cs="Times New Roman" w:eastAsia="Times New Roman" w:hint="default"/>
          <w:spacing w:val="-1"/>
        </w:rPr>
        <w:t>162,237,751</w:t>
      </w:r>
      <w:r>
        <w:rPr>
          <w:spacing w:val="-1"/>
        </w:rPr>
        <w:t>股，转增后公司总股本增加至</w:t>
      </w:r>
      <w:r>
        <w:rPr>
          <w:rFonts w:ascii="Times New Roman" w:hAnsi="Times New Roman" w:cs="Times New Roman" w:eastAsia="Times New Roman" w:hint="default"/>
          <w:spacing w:val="-1"/>
        </w:rPr>
        <w:t>486,713,252</w:t>
      </w:r>
      <w:r>
        <w:rPr>
          <w:spacing w:val="-1"/>
        </w:rPr>
        <w:t>股。根据《深圳证券交易所创业板上市公司规范运</w:t>
      </w:r>
      <w:r>
        <w:rPr>
          <w:spacing w:val="-77"/>
        </w:rPr>
        <w:t> </w:t>
      </w:r>
      <w:r>
        <w:rPr>
          <w:spacing w:val="-77"/>
        </w:rPr>
      </w:r>
      <w:r>
        <w:rPr>
          <w:spacing w:val="-1"/>
        </w:rPr>
        <w:t>作指引》的相关规定，分配方案公布后至实施前，公司总股本由于增发新股、股权激励行权、可转债转股</w:t>
      </w:r>
      <w:r>
        <w:rPr>
          <w:spacing w:val="-83"/>
        </w:rPr>
        <w:t> </w:t>
      </w:r>
      <w:r>
        <w:rPr>
          <w:spacing w:val="-83"/>
        </w:rPr>
      </w:r>
      <w:r>
        <w:rPr/>
        <w:t>等原因发生变动的，应当按照</w:t>
      </w:r>
      <w:r>
        <w:rPr>
          <w:rFonts w:ascii="Times New Roman" w:hAnsi="Times New Roman" w:cs="Times New Roman" w:eastAsia="Times New Roman" w:hint="default"/>
        </w:rPr>
        <w:t>“</w:t>
      </w:r>
      <w:r>
        <w:rPr/>
        <w:t>现金分红总额、送红股总额、转增股本总额固定不变</w:t>
      </w:r>
      <w:r>
        <w:rPr>
          <w:rFonts w:ascii="Times New Roman" w:hAnsi="Times New Roman" w:cs="Times New Roman" w:eastAsia="Times New Roman" w:hint="default"/>
        </w:rPr>
        <w:t>”</w:t>
      </w:r>
      <w:r>
        <w:rPr/>
        <w:t>的原则，在权益分派 </w:t>
      </w:r>
      <w:r>
        <w:rPr>
          <w:spacing w:val="-1"/>
        </w:rPr>
        <w:t>实施公告中披露按公司最新总股本计算的分配比例。因此，公司按最新股本计算的</w:t>
      </w:r>
      <w:r>
        <w:rPr>
          <w:rFonts w:ascii="Times New Roman" w:hAnsi="Times New Roman" w:cs="Times New Roman" w:eastAsia="Times New Roman" w:hint="default"/>
          <w:spacing w:val="-1"/>
        </w:rPr>
        <w:t>2017</w:t>
      </w:r>
      <w:r>
        <w:rPr>
          <w:spacing w:val="-1"/>
        </w:rPr>
        <w:t>年年度权益分派方</w:t>
      </w:r>
      <w:r>
        <w:rPr>
          <w:spacing w:val="-80"/>
        </w:rPr>
        <w:t> </w:t>
      </w:r>
      <w:r>
        <w:rPr>
          <w:spacing w:val="-80"/>
        </w:rPr>
      </w:r>
      <w:r>
        <w:rPr>
          <w:spacing w:val="-4"/>
        </w:rPr>
        <w:t>案为：以公司现有总股本</w:t>
      </w:r>
      <w:r>
        <w:rPr>
          <w:rFonts w:ascii="Times New Roman" w:hAnsi="Times New Roman" w:cs="Times New Roman" w:eastAsia="Times New Roman" w:hint="default"/>
          <w:spacing w:val="-4"/>
        </w:rPr>
        <w:t>318,854,761</w:t>
      </w:r>
      <w:r>
        <w:rPr>
          <w:spacing w:val="-4"/>
        </w:rPr>
        <w:t>股为基数，向全体股东每</w:t>
      </w:r>
      <w:r>
        <w:rPr>
          <w:rFonts w:ascii="Times New Roman" w:hAnsi="Times New Roman" w:cs="Times New Roman" w:eastAsia="Times New Roman" w:hint="default"/>
          <w:spacing w:val="-4"/>
        </w:rPr>
        <w:t>10</w:t>
      </w:r>
      <w:r>
        <w:rPr>
          <w:spacing w:val="-4"/>
        </w:rPr>
        <w:t>股派</w:t>
      </w:r>
      <w:r>
        <w:rPr>
          <w:rFonts w:ascii="Times New Roman" w:hAnsi="Times New Roman" w:cs="Times New Roman" w:eastAsia="Times New Roman" w:hint="default"/>
          <w:spacing w:val="-4"/>
        </w:rPr>
        <w:t>0.610576</w:t>
      </w:r>
      <w:r>
        <w:rPr>
          <w:spacing w:val="-4"/>
        </w:rPr>
        <w:t>元人民币现金（含税）同时，</w:t>
      </w:r>
      <w:r>
        <w:rPr>
          <w:spacing w:val="-59"/>
        </w:rPr>
        <w:t> </w:t>
      </w:r>
      <w:r>
        <w:rPr>
          <w:spacing w:val="-59"/>
        </w:rPr>
      </w:r>
      <w:r>
        <w:rPr/>
        <w:t>以资本公积金向全体股东每</w:t>
      </w:r>
      <w:r>
        <w:rPr>
          <w:rFonts w:ascii="Times New Roman" w:hAnsi="Times New Roman" w:cs="Times New Roman" w:eastAsia="Times New Roman" w:hint="default"/>
        </w:rPr>
        <w:t>10</w:t>
      </w:r>
      <w:r>
        <w:rPr/>
        <w:t>股转增</w:t>
      </w:r>
      <w:r>
        <w:rPr>
          <w:rFonts w:ascii="Times New Roman" w:hAnsi="Times New Roman" w:cs="Times New Roman" w:eastAsia="Times New Roman" w:hint="default"/>
        </w:rPr>
        <w:t>5.088139</w:t>
      </w:r>
      <w:r>
        <w:rPr/>
        <w:t>股。转增后公司总股本增加至</w:t>
      </w:r>
      <w:r>
        <w:rPr>
          <w:rFonts w:ascii="Times New Roman" w:hAnsi="Times New Roman" w:cs="Times New Roman" w:eastAsia="Times New Roman" w:hint="default"/>
        </w:rPr>
        <w:t>481,092,495</w:t>
      </w:r>
      <w:r>
        <w:rPr/>
        <w:t>股。截至</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5</w:t>
      </w:r>
    </w:p>
    <w:p>
      <w:pPr>
        <w:spacing w:after="0" w:line="388" w:lineRule="auto"/>
        <w:jc w:val="left"/>
        <w:rPr>
          <w:rFonts w:ascii="Times New Roman" w:hAnsi="Times New Roman" w:cs="Times New Roman" w:eastAsia="Times New Roman" w:hint="default"/>
        </w:rPr>
        <w:sectPr>
          <w:pgSz w:w="11910" w:h="16840"/>
          <w:pgMar w:header="877" w:footer="979" w:top="1100" w:bottom="1160" w:left="980" w:right="0"/>
        </w:sectPr>
      </w:pPr>
    </w:p>
    <w:p>
      <w:pPr>
        <w:spacing w:line="240" w:lineRule="auto" w:before="0"/>
        <w:rPr>
          <w:rFonts w:ascii="Times New Roman" w:hAnsi="Times New Roman" w:cs="Times New Roman" w:eastAsia="Times New Roman" w:hint="default"/>
          <w:sz w:val="20"/>
          <w:szCs w:val="20"/>
        </w:rPr>
      </w:pPr>
    </w:p>
    <w:p>
      <w:pPr>
        <w:pStyle w:val="BodyText"/>
        <w:spacing w:line="386" w:lineRule="auto" w:before="153"/>
        <w:ind w:right="1117"/>
        <w:jc w:val="left"/>
      </w:pPr>
      <w:r>
        <w:rPr/>
        <w:t>月</w:t>
      </w:r>
      <w:r>
        <w:rPr>
          <w:rFonts w:ascii="Times New Roman" w:hAnsi="Times New Roman" w:cs="Times New Roman" w:eastAsia="Times New Roman" w:hint="default"/>
        </w:rPr>
        <w:t>22</w:t>
      </w:r>
      <w:r>
        <w:rPr/>
        <w:t>日，公司</w:t>
      </w:r>
      <w:r>
        <w:rPr>
          <w:rFonts w:ascii="Times New Roman" w:hAnsi="Times New Roman" w:cs="Times New Roman" w:eastAsia="Times New Roman" w:hint="default"/>
        </w:rPr>
        <w:t>2017</w:t>
      </w:r>
      <w:r>
        <w:rPr/>
        <w:t>年年度权益分派已实施完毕。</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7</w:t>
      </w:r>
      <w:r>
        <w:rPr/>
        <w:t>月</w:t>
      </w:r>
      <w:r>
        <w:rPr>
          <w:rFonts w:ascii="Times New Roman" w:hAnsi="Times New Roman" w:cs="Times New Roman" w:eastAsia="Times New Roman" w:hint="default"/>
        </w:rPr>
        <w:t>15</w:t>
      </w:r>
      <w:r>
        <w:rPr/>
        <w:t>日，立信会计师事务所（特殊普通合伙）出 </w:t>
      </w:r>
      <w:r>
        <w:rPr>
          <w:spacing w:val="-2"/>
        </w:rPr>
        <w:t>具了</w:t>
      </w:r>
      <w:r>
        <w:rPr>
          <w:rFonts w:ascii="Times New Roman" w:hAnsi="Times New Roman" w:cs="Times New Roman" w:eastAsia="Times New Roman" w:hint="default"/>
          <w:spacing w:val="-2"/>
        </w:rPr>
        <w:t>“</w:t>
      </w:r>
      <w:r>
        <w:rPr>
          <w:spacing w:val="-2"/>
        </w:rPr>
        <w:t>信会师报字【</w:t>
      </w:r>
      <w:r>
        <w:rPr>
          <w:rFonts w:ascii="Times New Roman" w:hAnsi="Times New Roman" w:cs="Times New Roman" w:eastAsia="Times New Roman" w:hint="default"/>
          <w:spacing w:val="-2"/>
        </w:rPr>
        <w:t>2018</w:t>
      </w:r>
      <w:r>
        <w:rPr>
          <w:spacing w:val="-2"/>
        </w:rPr>
        <w:t>】第</w:t>
      </w:r>
      <w:r>
        <w:rPr>
          <w:rFonts w:ascii="Times New Roman" w:hAnsi="Times New Roman" w:cs="Times New Roman" w:eastAsia="Times New Roman" w:hint="default"/>
          <w:spacing w:val="-2"/>
        </w:rPr>
        <w:t>ZG11664</w:t>
      </w:r>
      <w:r>
        <w:rPr>
          <w:spacing w:val="-2"/>
        </w:rPr>
        <w:t>号</w:t>
      </w:r>
      <w:r>
        <w:rPr>
          <w:rFonts w:ascii="Times New Roman" w:hAnsi="Times New Roman" w:cs="Times New Roman" w:eastAsia="Times New Roman" w:hint="default"/>
          <w:spacing w:val="-2"/>
        </w:rPr>
        <w:t>”</w:t>
      </w:r>
      <w:r>
        <w:rPr>
          <w:spacing w:val="-2"/>
        </w:rPr>
        <w:t>的《验资报告》，验证截至</w:t>
      </w:r>
      <w:r>
        <w:rPr>
          <w:rFonts w:ascii="Times New Roman" w:hAnsi="Times New Roman" w:cs="Times New Roman" w:eastAsia="Times New Roman" w:hint="default"/>
          <w:spacing w:val="-2"/>
        </w:rPr>
        <w:t>2018</w:t>
      </w:r>
      <w:r>
        <w:rPr>
          <w:spacing w:val="-2"/>
        </w:rPr>
        <w:t>年</w:t>
      </w:r>
      <w:r>
        <w:rPr>
          <w:rFonts w:ascii="Times New Roman" w:hAnsi="Times New Roman" w:cs="Times New Roman" w:eastAsia="Times New Roman" w:hint="default"/>
          <w:spacing w:val="-2"/>
        </w:rPr>
        <w:t>5</w:t>
      </w:r>
      <w:r>
        <w:rPr>
          <w:spacing w:val="-2"/>
        </w:rPr>
        <w:t>月</w:t>
      </w:r>
      <w:r>
        <w:rPr>
          <w:rFonts w:ascii="Times New Roman" w:hAnsi="Times New Roman" w:cs="Times New Roman" w:eastAsia="Times New Roman" w:hint="default"/>
          <w:spacing w:val="-2"/>
        </w:rPr>
        <w:t>21</w:t>
      </w:r>
      <w:r>
        <w:rPr>
          <w:spacing w:val="-2"/>
        </w:rPr>
        <w:t>日，变更后累计注册资本</w:t>
      </w:r>
      <w:r>
        <w:rPr>
          <w:spacing w:val="-68"/>
        </w:rPr>
        <w:t> </w:t>
      </w:r>
      <w:r>
        <w:rPr>
          <w:spacing w:val="-68"/>
        </w:rPr>
      </w:r>
      <w:r>
        <w:rPr/>
        <w:t>为</w:t>
      </w:r>
      <w:r>
        <w:rPr>
          <w:rFonts w:ascii="Times New Roman" w:hAnsi="Times New Roman" w:cs="Times New Roman" w:eastAsia="Times New Roman" w:hint="default"/>
        </w:rPr>
        <w:t>481,092,495</w:t>
      </w:r>
      <w:r>
        <w:rPr/>
        <w:t>元。</w:t>
      </w:r>
    </w:p>
    <w:p>
      <w:pPr>
        <w:spacing w:before="24"/>
        <w:ind w:left="154" w:right="1117" w:firstLine="0"/>
        <w:jc w:val="left"/>
        <w:rPr>
          <w:rFonts w:ascii="宋体" w:hAnsi="宋体" w:cs="宋体" w:eastAsia="宋体" w:hint="default"/>
          <w:sz w:val="18"/>
          <w:szCs w:val="18"/>
        </w:rPr>
      </w:pPr>
      <w:r>
        <w:rPr>
          <w:rFonts w:ascii="宋体" w:hAnsi="宋体" w:cs="宋体" w:eastAsia="宋体" w:hint="default"/>
          <w:sz w:val="18"/>
          <w:szCs w:val="18"/>
        </w:rPr>
        <w:t>股份变动的过户情况</w:t>
      </w:r>
    </w:p>
    <w:p>
      <w:pPr>
        <w:spacing w:before="117"/>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适用</w:t>
      </w:r>
      <w:r>
        <w:rPr>
          <w:rFonts w:ascii="Times New Roman" w:hAnsi="Times New Roman" w:cs="Times New Roman" w:eastAsia="Times New Roman" w:hint="default"/>
          <w:sz w:val="18"/>
          <w:szCs w:val="18"/>
        </w:rPr>
        <w:t>□</w:t>
      </w:r>
      <w:r>
        <w:rPr>
          <w:rFonts w:ascii="宋体" w:hAnsi="宋体" w:cs="宋体" w:eastAsia="宋体" w:hint="default"/>
          <w:sz w:val="18"/>
          <w:szCs w:val="18"/>
        </w:rPr>
        <w:t>不适用</w:t>
      </w:r>
    </w:p>
    <w:p>
      <w:pPr>
        <w:pStyle w:val="BodyText"/>
        <w:spacing w:line="386" w:lineRule="auto" w:before="153"/>
        <w:ind w:right="1117" w:firstLine="423"/>
        <w:jc w:val="left"/>
      </w:pPr>
      <w:r>
        <w:rPr/>
        <w:t>本次回购注销不符合激励条件的激励对象所持已获授但尚未解锁的限制性股票和终止实施</w:t>
      </w:r>
      <w:r>
        <w:rPr>
          <w:rFonts w:ascii="Times New Roman" w:hAnsi="Times New Roman" w:cs="Times New Roman" w:eastAsia="Times New Roman" w:hint="default"/>
        </w:rPr>
        <w:t>2016</w:t>
      </w:r>
      <w:r>
        <w:rPr/>
        <w:t>年限 </w:t>
      </w:r>
      <w:r>
        <w:rPr>
          <w:spacing w:val="-1"/>
        </w:rPr>
        <w:t>制性股票激励计划暨回购注销已获授但尚未解锁的限制性股票共计</w:t>
      </w:r>
      <w:r>
        <w:rPr>
          <w:rFonts w:ascii="Times New Roman" w:hAnsi="Times New Roman" w:cs="Times New Roman" w:eastAsia="Times New Roman" w:hint="default"/>
          <w:spacing w:val="-1"/>
        </w:rPr>
        <w:t>5,620,740</w:t>
      </w:r>
      <w:r>
        <w:rPr>
          <w:spacing w:val="-1"/>
        </w:rPr>
        <w:t>股，并已于</w:t>
      </w:r>
      <w:r>
        <w:rPr>
          <w:rFonts w:ascii="Times New Roman" w:hAnsi="Times New Roman" w:cs="Times New Roman" w:eastAsia="Times New Roman" w:hint="default"/>
          <w:spacing w:val="-1"/>
        </w:rPr>
        <w:t>2018</w:t>
      </w:r>
      <w:r>
        <w:rPr>
          <w:spacing w:val="-1"/>
        </w:rPr>
        <w:t>年</w:t>
      </w:r>
      <w:r>
        <w:rPr>
          <w:rFonts w:ascii="Times New Roman" w:hAnsi="Times New Roman" w:cs="Times New Roman" w:eastAsia="Times New Roman" w:hint="default"/>
          <w:spacing w:val="-1"/>
        </w:rPr>
        <w:t>5</w:t>
      </w:r>
      <w:r>
        <w:rPr>
          <w:spacing w:val="-1"/>
        </w:rPr>
        <w:t>月</w:t>
      </w:r>
      <w:r>
        <w:rPr>
          <w:rFonts w:ascii="Times New Roman" w:hAnsi="Times New Roman" w:cs="Times New Roman" w:eastAsia="Times New Roman" w:hint="default"/>
          <w:spacing w:val="-1"/>
        </w:rPr>
        <w:t>7</w:t>
      </w:r>
      <w:r>
        <w:rPr>
          <w:spacing w:val="-1"/>
        </w:rPr>
        <w:t>日在中</w:t>
      </w:r>
      <w:r>
        <w:rPr>
          <w:spacing w:val="-79"/>
        </w:rPr>
        <w:t> </w:t>
      </w:r>
      <w:r>
        <w:rPr>
          <w:spacing w:val="-79"/>
        </w:rPr>
      </w:r>
      <w:r>
        <w:rPr/>
        <w:t>国证券登记结算有限责任公司深圳分公司完成回购注销手续。</w:t>
      </w:r>
    </w:p>
    <w:p>
      <w:pPr>
        <w:pStyle w:val="BodyText"/>
        <w:spacing w:line="386" w:lineRule="auto" w:before="65"/>
        <w:ind w:right="1117" w:firstLine="423"/>
        <w:jc w:val="left"/>
      </w:pPr>
      <w:r>
        <w:rPr/>
        <w:t>本次</w:t>
      </w:r>
      <w:r>
        <w:rPr>
          <w:rFonts w:ascii="Times New Roman" w:hAnsi="Times New Roman" w:cs="Times New Roman" w:eastAsia="Times New Roman" w:hint="default"/>
        </w:rPr>
        <w:t>2017</w:t>
      </w:r>
      <w:r>
        <w:rPr/>
        <w:t>年度权益分派方案经调整后：以公司总股本</w:t>
      </w:r>
      <w:r>
        <w:rPr>
          <w:rFonts w:ascii="Times New Roman" w:hAnsi="Times New Roman" w:cs="Times New Roman" w:eastAsia="Times New Roman" w:hint="default"/>
        </w:rPr>
        <w:t>318,854,761</w:t>
      </w:r>
      <w:r>
        <w:rPr/>
        <w:t>股为基数，向全体股东每</w:t>
      </w:r>
      <w:r>
        <w:rPr>
          <w:rFonts w:ascii="Times New Roman" w:hAnsi="Times New Roman" w:cs="Times New Roman" w:eastAsia="Times New Roman" w:hint="default"/>
        </w:rPr>
        <w:t>10</w:t>
      </w:r>
      <w:r>
        <w:rPr/>
        <w:t>股派</w:t>
      </w:r>
      <w:r>
        <w:rPr>
          <w:spacing w:val="-2"/>
        </w:rPr>
        <w:t> </w:t>
      </w:r>
      <w:r>
        <w:rPr>
          <w:rFonts w:ascii="Times New Roman" w:hAnsi="Times New Roman" w:cs="Times New Roman" w:eastAsia="Times New Roman" w:hint="default"/>
        </w:rPr>
        <w:t>0.610576</w:t>
      </w:r>
      <w:r>
        <w:rPr/>
        <w:t>元人民币现金（含税）同时，以资本公积金向全体股东每</w:t>
      </w:r>
      <w:r>
        <w:rPr>
          <w:rFonts w:ascii="Times New Roman" w:hAnsi="Times New Roman" w:cs="Times New Roman" w:eastAsia="Times New Roman" w:hint="default"/>
        </w:rPr>
        <w:t>10</w:t>
      </w:r>
      <w:r>
        <w:rPr/>
        <w:t>股转增</w:t>
      </w:r>
      <w:r>
        <w:rPr>
          <w:rFonts w:ascii="Times New Roman" w:hAnsi="Times New Roman" w:cs="Times New Roman" w:eastAsia="Times New Roman" w:hint="default"/>
        </w:rPr>
        <w:t>5.088139</w:t>
      </w:r>
      <w:r>
        <w:rPr/>
        <w:t>股。转增后公司总股 </w:t>
      </w:r>
      <w:r>
        <w:rPr>
          <w:spacing w:val="-1"/>
        </w:rPr>
        <w:t>本增加至</w:t>
      </w:r>
      <w:r>
        <w:rPr>
          <w:rFonts w:ascii="Times New Roman" w:hAnsi="Times New Roman" w:cs="Times New Roman" w:eastAsia="Times New Roman" w:hint="default"/>
          <w:spacing w:val="-1"/>
        </w:rPr>
        <w:t>481,092,495</w:t>
      </w:r>
      <w:r>
        <w:rPr>
          <w:spacing w:val="-1"/>
        </w:rPr>
        <w:t>股。截至</w:t>
      </w:r>
      <w:r>
        <w:rPr>
          <w:rFonts w:ascii="Times New Roman" w:hAnsi="Times New Roman" w:cs="Times New Roman" w:eastAsia="Times New Roman" w:hint="default"/>
          <w:spacing w:val="-1"/>
        </w:rPr>
        <w:t>2018</w:t>
      </w:r>
      <w:r>
        <w:rPr>
          <w:spacing w:val="-1"/>
        </w:rPr>
        <w:t>年</w:t>
      </w:r>
      <w:r>
        <w:rPr>
          <w:rFonts w:ascii="Times New Roman" w:hAnsi="Times New Roman" w:cs="Times New Roman" w:eastAsia="Times New Roman" w:hint="default"/>
          <w:spacing w:val="-1"/>
        </w:rPr>
        <w:t>5</w:t>
      </w:r>
      <w:r>
        <w:rPr>
          <w:spacing w:val="-1"/>
        </w:rPr>
        <w:t>月</w:t>
      </w:r>
      <w:r>
        <w:rPr>
          <w:rFonts w:ascii="Times New Roman" w:hAnsi="Times New Roman" w:cs="Times New Roman" w:eastAsia="Times New Roman" w:hint="default"/>
          <w:spacing w:val="-1"/>
        </w:rPr>
        <w:t>22</w:t>
      </w:r>
      <w:r>
        <w:rPr>
          <w:spacing w:val="-1"/>
        </w:rPr>
        <w:t>日，公司</w:t>
      </w:r>
      <w:r>
        <w:rPr>
          <w:rFonts w:ascii="Times New Roman" w:hAnsi="Times New Roman" w:cs="Times New Roman" w:eastAsia="Times New Roman" w:hint="default"/>
          <w:spacing w:val="-1"/>
        </w:rPr>
        <w:t>2017</w:t>
      </w:r>
      <w:r>
        <w:rPr>
          <w:spacing w:val="-1"/>
        </w:rPr>
        <w:t>年年度权益分派已实施完毕。</w:t>
      </w:r>
      <w:r>
        <w:rPr>
          <w:rFonts w:ascii="Times New Roman" w:hAnsi="Times New Roman" w:cs="Times New Roman" w:eastAsia="Times New Roman" w:hint="default"/>
          <w:spacing w:val="-1"/>
        </w:rPr>
        <w:t>2018</w:t>
      </w:r>
      <w:r>
        <w:rPr>
          <w:spacing w:val="-1"/>
        </w:rPr>
        <w:t>年</w:t>
      </w:r>
      <w:r>
        <w:rPr>
          <w:rFonts w:ascii="Times New Roman" w:hAnsi="Times New Roman" w:cs="Times New Roman" w:eastAsia="Times New Roman" w:hint="default"/>
          <w:spacing w:val="-1"/>
        </w:rPr>
        <w:t>7</w:t>
      </w:r>
      <w:r>
        <w:rPr>
          <w:spacing w:val="-1"/>
        </w:rPr>
        <w:t>月</w:t>
      </w:r>
      <w:r>
        <w:rPr>
          <w:rFonts w:ascii="Times New Roman" w:hAnsi="Times New Roman" w:cs="Times New Roman" w:eastAsia="Times New Roman" w:hint="default"/>
          <w:spacing w:val="-1"/>
        </w:rPr>
        <w:t>15</w:t>
      </w:r>
      <w:r>
        <w:rPr>
          <w:spacing w:val="-1"/>
        </w:rPr>
        <w:t>日，立</w:t>
      </w:r>
      <w:r>
        <w:rPr>
          <w:spacing w:val="-75"/>
        </w:rPr>
        <w:t> </w:t>
      </w:r>
      <w:r>
        <w:rPr>
          <w:spacing w:val="-75"/>
        </w:rPr>
      </w:r>
      <w:r>
        <w:rPr/>
        <w:t>信会计师事务所（特殊普通合伙）出具了</w:t>
      </w:r>
      <w:r>
        <w:rPr>
          <w:rFonts w:ascii="Times New Roman" w:hAnsi="Times New Roman" w:cs="Times New Roman" w:eastAsia="Times New Roman" w:hint="default"/>
        </w:rPr>
        <w:t>“</w:t>
      </w:r>
      <w:r>
        <w:rPr/>
        <w:t>信会师报字【</w:t>
      </w:r>
      <w:r>
        <w:rPr>
          <w:rFonts w:ascii="Times New Roman" w:hAnsi="Times New Roman" w:cs="Times New Roman" w:eastAsia="Times New Roman" w:hint="default"/>
        </w:rPr>
        <w:t>2018</w:t>
      </w:r>
      <w:r>
        <w:rPr/>
        <w:t>】第</w:t>
      </w:r>
      <w:r>
        <w:rPr>
          <w:rFonts w:ascii="Times New Roman" w:hAnsi="Times New Roman" w:cs="Times New Roman" w:eastAsia="Times New Roman" w:hint="default"/>
        </w:rPr>
        <w:t>ZG11664</w:t>
      </w:r>
      <w:r>
        <w:rPr/>
        <w:t>号</w:t>
      </w:r>
      <w:r>
        <w:rPr>
          <w:rFonts w:ascii="Times New Roman" w:hAnsi="Times New Roman" w:cs="Times New Roman" w:eastAsia="Times New Roman" w:hint="default"/>
        </w:rPr>
        <w:t>”</w:t>
      </w:r>
      <w:r>
        <w:rPr/>
        <w:t>的《验资报告》，验证截至 </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5</w:t>
      </w:r>
      <w:r>
        <w:rPr/>
        <w:t>月</w:t>
      </w:r>
      <w:r>
        <w:rPr>
          <w:rFonts w:ascii="Times New Roman" w:hAnsi="Times New Roman" w:cs="Times New Roman" w:eastAsia="Times New Roman" w:hint="default"/>
        </w:rPr>
        <w:t>21</w:t>
      </w:r>
      <w:r>
        <w:rPr/>
        <w:t>日，变更后累计注册资本为</w:t>
      </w:r>
      <w:r>
        <w:rPr>
          <w:rFonts w:ascii="Times New Roman" w:hAnsi="Times New Roman" w:cs="Times New Roman" w:eastAsia="Times New Roman" w:hint="default"/>
        </w:rPr>
        <w:t>481,092,495</w:t>
      </w:r>
      <w:r>
        <w:rPr/>
        <w:t>元。</w:t>
      </w:r>
    </w:p>
    <w:p>
      <w:pPr>
        <w:spacing w:line="240" w:lineRule="auto" w:before="9"/>
        <w:rPr>
          <w:rFonts w:ascii="宋体" w:hAnsi="宋体" w:cs="宋体" w:eastAsia="宋体" w:hint="default"/>
          <w:sz w:val="25"/>
          <w:szCs w:val="25"/>
        </w:rPr>
      </w:pPr>
    </w:p>
    <w:p>
      <w:pPr>
        <w:spacing w:before="0"/>
        <w:ind w:left="154" w:right="1117" w:firstLine="0"/>
        <w:jc w:val="left"/>
        <w:rPr>
          <w:rFonts w:ascii="宋体" w:hAnsi="宋体" w:cs="宋体" w:eastAsia="宋体" w:hint="default"/>
          <w:sz w:val="18"/>
          <w:szCs w:val="18"/>
        </w:rPr>
      </w:pPr>
      <w:r>
        <w:rPr>
          <w:rFonts w:ascii="宋体" w:hAnsi="宋体" w:cs="宋体" w:eastAsia="宋体" w:hint="default"/>
          <w:sz w:val="18"/>
          <w:szCs w:val="18"/>
        </w:rPr>
        <w:t>股份回购的实施进展情况</w:t>
      </w:r>
    </w:p>
    <w:p>
      <w:pPr>
        <w:spacing w:line="338" w:lineRule="auto" w:before="117"/>
        <w:ind w:left="154" w:right="697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适用</w:t>
      </w:r>
      <w:r>
        <w:rPr>
          <w:rFonts w:ascii="Times New Roman" w:hAnsi="Times New Roman" w:cs="Times New Roman" w:eastAsia="Times New Roman" w:hint="default"/>
          <w:sz w:val="18"/>
          <w:szCs w:val="18"/>
        </w:rPr>
        <w:t>√</w:t>
      </w:r>
      <w:r>
        <w:rPr>
          <w:rFonts w:ascii="宋体" w:hAnsi="宋体" w:cs="宋体" w:eastAsia="宋体" w:hint="default"/>
          <w:sz w:val="18"/>
          <w:szCs w:val="18"/>
        </w:rPr>
        <w:t>不适用 采用集中竞价方式减持回购股份的实施进展情况</w:t>
      </w:r>
    </w:p>
    <w:p>
      <w:pPr>
        <w:spacing w:line="340" w:lineRule="auto" w:before="42"/>
        <w:ind w:left="154" w:right="139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适用</w:t>
      </w:r>
      <w:r>
        <w:rPr>
          <w:rFonts w:ascii="Times New Roman" w:hAnsi="Times New Roman" w:cs="Times New Roman" w:eastAsia="Times New Roman" w:hint="default"/>
          <w:sz w:val="18"/>
          <w:szCs w:val="18"/>
        </w:rPr>
        <w:t>√</w:t>
      </w:r>
      <w:r>
        <w:rPr>
          <w:rFonts w:ascii="宋体" w:hAnsi="宋体" w:cs="宋体" w:eastAsia="宋体" w:hint="default"/>
          <w:sz w:val="18"/>
          <w:szCs w:val="18"/>
        </w:rPr>
        <w:t>不适用 股份变动对最近一年和最近一期基本每股收益和稀释每股收益、归属于公司普通股股东的每股净资产等财务指标的影响</w:t>
      </w:r>
    </w:p>
    <w:p>
      <w:pPr>
        <w:spacing w:before="40"/>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适用</w:t>
      </w:r>
      <w:r>
        <w:rPr>
          <w:rFonts w:ascii="Times New Roman" w:hAnsi="Times New Roman" w:cs="Times New Roman" w:eastAsia="Times New Roman" w:hint="default"/>
          <w:sz w:val="18"/>
          <w:szCs w:val="18"/>
        </w:rPr>
        <w:t>□</w:t>
      </w:r>
      <w:r>
        <w:rPr>
          <w:rFonts w:ascii="宋体" w:hAnsi="宋体" w:cs="宋体" w:eastAsia="宋体" w:hint="default"/>
          <w:sz w:val="18"/>
          <w:szCs w:val="18"/>
        </w:rPr>
        <w:t>不适用</w:t>
      </w:r>
    </w:p>
    <w:p>
      <w:pPr>
        <w:pStyle w:val="BodyText"/>
        <w:spacing w:line="381" w:lineRule="auto" w:before="153"/>
        <w:ind w:right="1117" w:firstLine="423"/>
        <w:jc w:val="left"/>
        <w:rPr>
          <w:sz w:val="18"/>
          <w:szCs w:val="18"/>
        </w:rPr>
      </w:pPr>
      <w:r>
        <w:rPr>
          <w:spacing w:val="-1"/>
        </w:rPr>
        <w:t>报告期内，公司股份由上年期末</w:t>
      </w:r>
      <w:r>
        <w:rPr>
          <w:rFonts w:ascii="Times New Roman" w:hAnsi="Times New Roman" w:cs="Times New Roman" w:eastAsia="Times New Roman" w:hint="default"/>
          <w:spacing w:val="-1"/>
        </w:rPr>
        <w:t>324,475,501</w:t>
      </w:r>
      <w:r>
        <w:rPr>
          <w:spacing w:val="-1"/>
        </w:rPr>
        <w:t>股增加至</w:t>
      </w:r>
      <w:r>
        <w:rPr>
          <w:rFonts w:ascii="Times New Roman" w:hAnsi="Times New Roman" w:cs="Times New Roman" w:eastAsia="Times New Roman" w:hint="default"/>
          <w:spacing w:val="-1"/>
        </w:rPr>
        <w:t>481,092,495</w:t>
      </w:r>
      <w:r>
        <w:rPr>
          <w:spacing w:val="-1"/>
        </w:rPr>
        <w:t>股，从而摊薄了报告期末的基本每股</w:t>
      </w:r>
      <w:r>
        <w:rPr/>
        <w:t> 收益。本报告期调整后的每股收益为</w:t>
      </w:r>
      <w:r>
        <w:rPr>
          <w:rFonts w:ascii="Times New Roman" w:hAnsi="Times New Roman" w:cs="Times New Roman" w:eastAsia="Times New Roman" w:hint="default"/>
        </w:rPr>
        <w:t>0.20</w:t>
      </w:r>
      <w:r>
        <w:rPr/>
        <w:t>元，上年同期调整后的每股收益为</w:t>
      </w:r>
      <w:r>
        <w:rPr>
          <w:rFonts w:ascii="Times New Roman" w:hAnsi="Times New Roman" w:cs="Times New Roman" w:eastAsia="Times New Roman" w:hint="default"/>
        </w:rPr>
        <w:t>0.24</w:t>
      </w:r>
      <w:r>
        <w:rPr/>
        <w:t>元。 </w:t>
      </w:r>
      <w:r>
        <w:rPr>
          <w:sz w:val="18"/>
          <w:szCs w:val="18"/>
        </w:rPr>
        <w:t>公司认为必要或证券监管机构要求披露的其他内容</w:t>
      </w:r>
    </w:p>
    <w:p>
      <w:pPr>
        <w:spacing w:before="11"/>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适用</w:t>
      </w:r>
      <w:r>
        <w:rPr>
          <w:rFonts w:ascii="Times New Roman" w:hAnsi="Times New Roman" w:cs="Times New Roman" w:eastAsia="Times New Roman" w:hint="default"/>
          <w:sz w:val="18"/>
          <w:szCs w:val="18"/>
        </w:rPr>
        <w:t>√</w:t>
      </w:r>
      <w:r>
        <w:rPr>
          <w:rFonts w:ascii="宋体" w:hAnsi="宋体" w:cs="宋体" w:eastAsia="宋体" w:hint="default"/>
          <w:sz w:val="18"/>
          <w:szCs w:val="18"/>
        </w:rPr>
        <w:t>不适用</w:t>
      </w:r>
    </w:p>
    <w:p>
      <w:pPr>
        <w:spacing w:line="240" w:lineRule="auto" w:before="9"/>
        <w:rPr>
          <w:rFonts w:ascii="宋体" w:hAnsi="宋体" w:cs="宋体" w:eastAsia="宋体" w:hint="default"/>
          <w:sz w:val="25"/>
          <w:szCs w:val="25"/>
        </w:rPr>
      </w:pPr>
    </w:p>
    <w:p>
      <w:pPr>
        <w:pStyle w:val="Heading4"/>
        <w:spacing w:line="240" w:lineRule="auto"/>
        <w:ind w:right="1117"/>
        <w:jc w:val="left"/>
        <w:rPr>
          <w:b w:val="0"/>
          <w:bCs w:val="0"/>
        </w:rPr>
      </w:pPr>
      <w:bookmarkStart w:name="2、限售股份变动情况" w:id="110"/>
      <w:bookmarkEnd w:id="110"/>
      <w:r>
        <w:rPr>
          <w:b w:val="0"/>
          <w:bCs w:val="0"/>
        </w:rPr>
      </w:r>
      <w:r>
        <w:rPr>
          <w:rFonts w:ascii="Times New Roman" w:hAnsi="Times New Roman" w:cs="Times New Roman" w:eastAsia="Times New Roman" w:hint="default"/>
        </w:rPr>
        <w:t>2</w:t>
      </w:r>
      <w:r>
        <w:rPr/>
        <w:t>、限售股份变动情况</w:t>
      </w:r>
      <w:r>
        <w:rPr>
          <w:b w:val="0"/>
          <w:bCs w:val="0"/>
        </w:rPr>
      </w:r>
    </w:p>
    <w:p>
      <w:pPr>
        <w:spacing w:line="240" w:lineRule="auto" w:before="4"/>
        <w:rPr>
          <w:rFonts w:ascii="宋体" w:hAnsi="宋体" w:cs="宋体" w:eastAsia="宋体" w:hint="default"/>
          <w:b/>
          <w:bCs/>
          <w:sz w:val="23"/>
          <w:szCs w:val="23"/>
        </w:rPr>
      </w:pPr>
    </w:p>
    <w:p>
      <w:pPr>
        <w:spacing w:before="44"/>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适用</w:t>
      </w:r>
      <w:r>
        <w:rPr>
          <w:rFonts w:ascii="Times New Roman" w:hAnsi="Times New Roman" w:cs="Times New Roman" w:eastAsia="Times New Roman" w:hint="default"/>
          <w:sz w:val="18"/>
          <w:szCs w:val="18"/>
        </w:rPr>
        <w:t>□</w:t>
      </w:r>
      <w:r>
        <w:rPr>
          <w:rFonts w:ascii="宋体" w:hAnsi="宋体" w:cs="宋体" w:eastAsia="宋体" w:hint="default"/>
          <w:sz w:val="18"/>
          <w:szCs w:val="18"/>
        </w:rPr>
        <w:t>不适用</w:t>
      </w:r>
    </w:p>
    <w:p>
      <w:pPr>
        <w:spacing w:before="102"/>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单位：股</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362"/>
        <w:gridCol w:w="1369"/>
        <w:gridCol w:w="1370"/>
        <w:gridCol w:w="1369"/>
        <w:gridCol w:w="1368"/>
        <w:gridCol w:w="1370"/>
        <w:gridCol w:w="1362"/>
      </w:tblGrid>
      <w:tr>
        <w:trPr>
          <w:trHeight w:val="714" w:hRule="exact"/>
        </w:trPr>
        <w:tc>
          <w:tcPr>
            <w:tcW w:w="13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15" w:right="0"/>
              <w:jc w:val="left"/>
              <w:rPr>
                <w:rFonts w:ascii="宋体" w:hAnsi="宋体" w:cs="宋体" w:eastAsia="宋体" w:hint="default"/>
                <w:sz w:val="18"/>
                <w:szCs w:val="18"/>
              </w:rPr>
            </w:pPr>
            <w:r>
              <w:rPr>
                <w:rFonts w:ascii="宋体" w:hAnsi="宋体" w:cs="宋体" w:eastAsia="宋体" w:hint="default"/>
                <w:sz w:val="18"/>
                <w:szCs w:val="18"/>
              </w:rPr>
              <w:t>股东名称</w:t>
            </w:r>
          </w:p>
        </w:tc>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39" w:right="0"/>
              <w:jc w:val="left"/>
              <w:rPr>
                <w:rFonts w:ascii="宋体" w:hAnsi="宋体" w:cs="宋体" w:eastAsia="宋体" w:hint="default"/>
                <w:sz w:val="18"/>
                <w:szCs w:val="18"/>
              </w:rPr>
            </w:pPr>
            <w:r>
              <w:rPr>
                <w:rFonts w:ascii="宋体" w:hAnsi="宋体" w:cs="宋体" w:eastAsia="宋体" w:hint="default"/>
                <w:sz w:val="18"/>
                <w:szCs w:val="18"/>
              </w:rPr>
              <w:t>期初限售股数</w:t>
            </w:r>
          </w:p>
        </w:tc>
        <w:tc>
          <w:tcPr>
            <w:tcW w:w="13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589" w:right="48" w:hanging="540"/>
              <w:jc w:val="left"/>
              <w:rPr>
                <w:rFonts w:ascii="宋体" w:hAnsi="宋体" w:cs="宋体" w:eastAsia="宋体" w:hint="default"/>
                <w:sz w:val="18"/>
                <w:szCs w:val="18"/>
              </w:rPr>
            </w:pPr>
            <w:r>
              <w:rPr>
                <w:rFonts w:ascii="宋体" w:hAnsi="宋体" w:cs="宋体" w:eastAsia="宋体" w:hint="default"/>
                <w:sz w:val="18"/>
                <w:szCs w:val="18"/>
              </w:rPr>
              <w:t>本期解除限售股 数</w:t>
            </w:r>
          </w:p>
        </w:tc>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589" w:right="48" w:hanging="540"/>
              <w:jc w:val="left"/>
              <w:rPr>
                <w:rFonts w:ascii="宋体" w:hAnsi="宋体" w:cs="宋体" w:eastAsia="宋体" w:hint="default"/>
                <w:sz w:val="18"/>
                <w:szCs w:val="18"/>
              </w:rPr>
            </w:pPr>
            <w:r>
              <w:rPr>
                <w:rFonts w:ascii="宋体" w:hAnsi="宋体" w:cs="宋体" w:eastAsia="宋体" w:hint="default"/>
                <w:sz w:val="18"/>
                <w:szCs w:val="18"/>
              </w:rPr>
              <w:t>本期增加限售股 数</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39" w:right="0"/>
              <w:jc w:val="left"/>
              <w:rPr>
                <w:rFonts w:ascii="宋体" w:hAnsi="宋体" w:cs="宋体" w:eastAsia="宋体" w:hint="default"/>
                <w:sz w:val="18"/>
                <w:szCs w:val="18"/>
              </w:rPr>
            </w:pPr>
            <w:r>
              <w:rPr>
                <w:rFonts w:ascii="宋体" w:hAnsi="宋体" w:cs="宋体" w:eastAsia="宋体" w:hint="default"/>
                <w:sz w:val="18"/>
                <w:szCs w:val="18"/>
              </w:rPr>
              <w:t>期末限售股数</w:t>
            </w:r>
          </w:p>
        </w:tc>
        <w:tc>
          <w:tcPr>
            <w:tcW w:w="13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20" w:right="0"/>
              <w:jc w:val="left"/>
              <w:rPr>
                <w:rFonts w:ascii="宋体" w:hAnsi="宋体" w:cs="宋体" w:eastAsia="宋体" w:hint="default"/>
                <w:sz w:val="18"/>
                <w:szCs w:val="18"/>
              </w:rPr>
            </w:pPr>
            <w:r>
              <w:rPr>
                <w:rFonts w:ascii="宋体" w:hAnsi="宋体" w:cs="宋体" w:eastAsia="宋体" w:hint="default"/>
                <w:sz w:val="18"/>
                <w:szCs w:val="18"/>
              </w:rPr>
              <w:t>限售原因</w:t>
            </w:r>
          </w:p>
        </w:tc>
        <w:tc>
          <w:tcPr>
            <w:tcW w:w="13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5" w:right="0"/>
              <w:jc w:val="left"/>
              <w:rPr>
                <w:rFonts w:ascii="宋体" w:hAnsi="宋体" w:cs="宋体" w:eastAsia="宋体" w:hint="default"/>
                <w:sz w:val="18"/>
                <w:szCs w:val="18"/>
              </w:rPr>
            </w:pPr>
            <w:r>
              <w:rPr>
                <w:rFonts w:ascii="宋体" w:hAnsi="宋体" w:cs="宋体" w:eastAsia="宋体" w:hint="default"/>
                <w:sz w:val="18"/>
                <w:szCs w:val="18"/>
              </w:rPr>
              <w:t>拟解除限售日期</w:t>
            </w:r>
          </w:p>
        </w:tc>
      </w:tr>
      <w:tr>
        <w:trPr>
          <w:trHeight w:val="1338" w:hRule="exact"/>
        </w:trPr>
        <w:tc>
          <w:tcPr>
            <w:tcW w:w="13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杨维国</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525" w:right="0"/>
              <w:jc w:val="left"/>
              <w:rPr>
                <w:rFonts w:ascii="Times New Roman" w:hAnsi="Times New Roman" w:cs="Times New Roman" w:eastAsia="Times New Roman" w:hint="default"/>
                <w:sz w:val="18"/>
                <w:szCs w:val="18"/>
              </w:rPr>
            </w:pPr>
            <w:r>
              <w:rPr>
                <w:rFonts w:ascii="Times New Roman"/>
                <w:sz w:val="18"/>
              </w:rPr>
              <w:t>49,380,000</w:t>
            </w:r>
          </w:p>
        </w:tc>
        <w:tc>
          <w:tcPr>
            <w:tcW w:w="1370"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525" w:right="0"/>
              <w:jc w:val="left"/>
              <w:rPr>
                <w:rFonts w:ascii="Times New Roman" w:hAnsi="Times New Roman" w:cs="Times New Roman" w:eastAsia="Times New Roman" w:hint="default"/>
                <w:sz w:val="18"/>
                <w:szCs w:val="18"/>
              </w:rPr>
            </w:pPr>
            <w:r>
              <w:rPr>
                <w:rFonts w:ascii="Times New Roman"/>
                <w:sz w:val="18"/>
              </w:rPr>
              <w:t>25,125,231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525" w:right="0"/>
              <w:jc w:val="left"/>
              <w:rPr>
                <w:rFonts w:ascii="Times New Roman" w:hAnsi="Times New Roman" w:cs="Times New Roman" w:eastAsia="Times New Roman" w:hint="default"/>
                <w:sz w:val="18"/>
                <w:szCs w:val="18"/>
              </w:rPr>
            </w:pPr>
            <w:r>
              <w:rPr>
                <w:rFonts w:ascii="Times New Roman"/>
                <w:sz w:val="18"/>
              </w:rPr>
              <w:t>74,505,231</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高管锁定；</w:t>
            </w:r>
          </w:p>
        </w:tc>
        <w:tc>
          <w:tcPr>
            <w:tcW w:w="136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67"/>
              <w:jc w:val="both"/>
              <w:rPr>
                <w:rFonts w:ascii="Times New Roman" w:hAnsi="Times New Roman" w:cs="Times New Roman" w:eastAsia="Times New Roman" w:hint="default"/>
                <w:sz w:val="18"/>
                <w:szCs w:val="18"/>
              </w:rPr>
            </w:pPr>
            <w:r>
              <w:rPr>
                <w:rFonts w:ascii="宋体" w:hAnsi="宋体" w:cs="宋体" w:eastAsia="宋体" w:hint="default"/>
                <w:sz w:val="18"/>
                <w:szCs w:val="18"/>
              </w:rPr>
              <w:t>任职期间每年转 让的股份不超过 其所持有公司股 份总数的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p>
        </w:tc>
      </w:tr>
    </w:tbl>
    <w:p>
      <w:pPr>
        <w:spacing w:after="0" w:line="316" w:lineRule="auto"/>
        <w:jc w:val="both"/>
        <w:rPr>
          <w:rFonts w:ascii="Times New Roman" w:hAnsi="Times New Roman" w:cs="Times New Roman" w:eastAsia="Times New Roman" w:hint="default"/>
          <w:sz w:val="18"/>
          <w:szCs w:val="18"/>
        </w:rPr>
        <w:sectPr>
          <w:pgSz w:w="11910" w:h="16840"/>
          <w:pgMar w:header="877" w:footer="979" w:top="1100" w:bottom="1160" w:left="980" w:right="0"/>
        </w:sectPr>
      </w:pPr>
    </w:p>
    <w:p>
      <w:pPr>
        <w:spacing w:line="240" w:lineRule="auto" w:before="10"/>
        <w:rPr>
          <w:rFonts w:ascii="Times New Roman" w:hAnsi="Times New Roman" w:cs="Times New Roman" w:eastAsia="Times New Roman" w:hint="default"/>
          <w:sz w:val="27"/>
          <w:szCs w:val="27"/>
        </w:rPr>
      </w:pPr>
    </w:p>
    <w:tbl>
      <w:tblPr>
        <w:tblW w:w="0" w:type="auto"/>
        <w:jc w:val="left"/>
        <w:tblInd w:w="149" w:type="dxa"/>
        <w:tblLayout w:type="fixed"/>
        <w:tblCellMar>
          <w:top w:w="0" w:type="dxa"/>
          <w:left w:w="0" w:type="dxa"/>
          <w:bottom w:w="0" w:type="dxa"/>
          <w:right w:w="0" w:type="dxa"/>
        </w:tblCellMar>
        <w:tblLook w:val="01E0"/>
      </w:tblPr>
      <w:tblGrid>
        <w:gridCol w:w="1362"/>
        <w:gridCol w:w="1369"/>
        <w:gridCol w:w="1370"/>
        <w:gridCol w:w="1369"/>
        <w:gridCol w:w="1368"/>
        <w:gridCol w:w="1370"/>
        <w:gridCol w:w="1362"/>
      </w:tblGrid>
      <w:tr>
        <w:trPr>
          <w:trHeight w:val="1338" w:hRule="exact"/>
        </w:trPr>
        <w:tc>
          <w:tcPr>
            <w:tcW w:w="13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2" w:right="0"/>
              <w:jc w:val="left"/>
              <w:rPr>
                <w:rFonts w:ascii="宋体" w:hAnsi="宋体" w:cs="宋体" w:eastAsia="宋体" w:hint="default"/>
                <w:sz w:val="18"/>
                <w:szCs w:val="18"/>
              </w:rPr>
            </w:pPr>
            <w:r>
              <w:rPr>
                <w:rFonts w:ascii="宋体" w:hAnsi="宋体" w:cs="宋体" w:eastAsia="宋体" w:hint="default"/>
                <w:sz w:val="18"/>
                <w:szCs w:val="18"/>
              </w:rPr>
              <w:t>尚卫国</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1"/>
              <w:jc w:val="right"/>
              <w:rPr>
                <w:rFonts w:ascii="Times New Roman" w:hAnsi="Times New Roman" w:cs="Times New Roman" w:eastAsia="Times New Roman" w:hint="default"/>
                <w:sz w:val="18"/>
                <w:szCs w:val="18"/>
              </w:rPr>
            </w:pPr>
            <w:r>
              <w:rPr>
                <w:rFonts w:ascii="Times New Roman"/>
                <w:sz w:val="18"/>
              </w:rPr>
              <w:t>9,365,400</w:t>
            </w:r>
          </w:p>
        </w:tc>
        <w:tc>
          <w:tcPr>
            <w:tcW w:w="1370"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1"/>
              <w:jc w:val="right"/>
              <w:rPr>
                <w:rFonts w:ascii="Times New Roman" w:hAnsi="Times New Roman" w:cs="Times New Roman" w:eastAsia="Times New Roman" w:hint="default"/>
                <w:sz w:val="18"/>
                <w:szCs w:val="18"/>
              </w:rPr>
            </w:pPr>
            <w:r>
              <w:rPr>
                <w:rFonts w:ascii="Times New Roman"/>
                <w:sz w:val="18"/>
              </w:rPr>
              <w:t>4,765,245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0"/>
              <w:jc w:val="right"/>
              <w:rPr>
                <w:rFonts w:ascii="Times New Roman" w:hAnsi="Times New Roman" w:cs="Times New Roman" w:eastAsia="Times New Roman" w:hint="default"/>
                <w:sz w:val="18"/>
                <w:szCs w:val="18"/>
              </w:rPr>
            </w:pPr>
            <w:r>
              <w:rPr>
                <w:rFonts w:ascii="Times New Roman"/>
                <w:sz w:val="18"/>
              </w:rPr>
              <w:t>14,130,645</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4" w:right="0"/>
              <w:jc w:val="left"/>
              <w:rPr>
                <w:rFonts w:ascii="宋体" w:hAnsi="宋体" w:cs="宋体" w:eastAsia="宋体" w:hint="default"/>
                <w:sz w:val="18"/>
                <w:szCs w:val="18"/>
              </w:rPr>
            </w:pPr>
            <w:r>
              <w:rPr>
                <w:rFonts w:ascii="宋体" w:hAnsi="宋体" w:cs="宋体" w:eastAsia="宋体" w:hint="default"/>
                <w:sz w:val="18"/>
                <w:szCs w:val="18"/>
              </w:rPr>
              <w:t>高管锁定；</w:t>
            </w:r>
          </w:p>
        </w:tc>
        <w:tc>
          <w:tcPr>
            <w:tcW w:w="136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67"/>
              <w:jc w:val="both"/>
              <w:rPr>
                <w:rFonts w:ascii="Times New Roman" w:hAnsi="Times New Roman" w:cs="Times New Roman" w:eastAsia="Times New Roman" w:hint="default"/>
                <w:sz w:val="18"/>
                <w:szCs w:val="18"/>
              </w:rPr>
            </w:pPr>
            <w:r>
              <w:rPr>
                <w:rFonts w:ascii="宋体" w:hAnsi="宋体" w:cs="宋体" w:eastAsia="宋体" w:hint="default"/>
                <w:sz w:val="18"/>
                <w:szCs w:val="18"/>
              </w:rPr>
              <w:t>任职期间每年转 让的股份不超过 其所持有公司股 份总数的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p>
        </w:tc>
      </w:tr>
      <w:tr>
        <w:trPr>
          <w:trHeight w:val="1338" w:hRule="exact"/>
        </w:trPr>
        <w:tc>
          <w:tcPr>
            <w:tcW w:w="13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6"/>
              <w:ind w:left="22" w:right="0"/>
              <w:jc w:val="left"/>
              <w:rPr>
                <w:rFonts w:ascii="宋体" w:hAnsi="宋体" w:cs="宋体" w:eastAsia="宋体" w:hint="default"/>
                <w:sz w:val="18"/>
                <w:szCs w:val="18"/>
              </w:rPr>
            </w:pPr>
            <w:r>
              <w:rPr>
                <w:rFonts w:ascii="宋体" w:hAnsi="宋体" w:cs="宋体" w:eastAsia="宋体" w:hint="default"/>
                <w:sz w:val="18"/>
                <w:szCs w:val="18"/>
              </w:rPr>
              <w:t>付秋生</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1"/>
              <w:jc w:val="right"/>
              <w:rPr>
                <w:rFonts w:ascii="Times New Roman" w:hAnsi="Times New Roman" w:cs="Times New Roman" w:eastAsia="Times New Roman" w:hint="default"/>
                <w:sz w:val="18"/>
                <w:szCs w:val="18"/>
              </w:rPr>
            </w:pPr>
            <w:r>
              <w:rPr>
                <w:rFonts w:ascii="Times New Roman"/>
                <w:sz w:val="18"/>
              </w:rPr>
              <w:t>8,301,600</w:t>
            </w:r>
          </w:p>
        </w:tc>
        <w:tc>
          <w:tcPr>
            <w:tcW w:w="1370"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1"/>
              <w:jc w:val="right"/>
              <w:rPr>
                <w:rFonts w:ascii="Times New Roman" w:hAnsi="Times New Roman" w:cs="Times New Roman" w:eastAsia="Times New Roman" w:hint="default"/>
                <w:sz w:val="18"/>
                <w:szCs w:val="18"/>
              </w:rPr>
            </w:pPr>
            <w:r>
              <w:rPr>
                <w:rFonts w:ascii="Times New Roman"/>
                <w:sz w:val="18"/>
              </w:rPr>
              <w:t>4,223,969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0"/>
              <w:jc w:val="right"/>
              <w:rPr>
                <w:rFonts w:ascii="Times New Roman" w:hAnsi="Times New Roman" w:cs="Times New Roman" w:eastAsia="Times New Roman" w:hint="default"/>
                <w:sz w:val="18"/>
                <w:szCs w:val="18"/>
              </w:rPr>
            </w:pPr>
            <w:r>
              <w:rPr>
                <w:rFonts w:ascii="Times New Roman"/>
                <w:sz w:val="18"/>
              </w:rPr>
              <w:t>12,525,569</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6"/>
              <w:ind w:left="24" w:right="0"/>
              <w:jc w:val="left"/>
              <w:rPr>
                <w:rFonts w:ascii="宋体" w:hAnsi="宋体" w:cs="宋体" w:eastAsia="宋体" w:hint="default"/>
                <w:sz w:val="18"/>
                <w:szCs w:val="18"/>
              </w:rPr>
            </w:pPr>
            <w:r>
              <w:rPr>
                <w:rFonts w:ascii="宋体" w:hAnsi="宋体" w:cs="宋体" w:eastAsia="宋体" w:hint="default"/>
                <w:sz w:val="18"/>
                <w:szCs w:val="18"/>
              </w:rPr>
              <w:t>高管锁定；</w:t>
            </w:r>
          </w:p>
        </w:tc>
        <w:tc>
          <w:tcPr>
            <w:tcW w:w="136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67"/>
              <w:jc w:val="both"/>
              <w:rPr>
                <w:rFonts w:ascii="Times New Roman" w:hAnsi="Times New Roman" w:cs="Times New Roman" w:eastAsia="Times New Roman" w:hint="default"/>
                <w:sz w:val="18"/>
                <w:szCs w:val="18"/>
              </w:rPr>
            </w:pPr>
            <w:r>
              <w:rPr>
                <w:rFonts w:ascii="宋体" w:hAnsi="宋体" w:cs="宋体" w:eastAsia="宋体" w:hint="default"/>
                <w:sz w:val="18"/>
                <w:szCs w:val="18"/>
              </w:rPr>
              <w:t>任职期间每年转 让的股份不超过 其所持有公司股 份总数的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p>
        </w:tc>
      </w:tr>
      <w:tr>
        <w:trPr>
          <w:trHeight w:val="1338" w:hRule="exact"/>
        </w:trPr>
        <w:tc>
          <w:tcPr>
            <w:tcW w:w="13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2" w:right="0"/>
              <w:jc w:val="left"/>
              <w:rPr>
                <w:rFonts w:ascii="宋体" w:hAnsi="宋体" w:cs="宋体" w:eastAsia="宋体" w:hint="default"/>
                <w:sz w:val="18"/>
                <w:szCs w:val="18"/>
              </w:rPr>
            </w:pPr>
            <w:r>
              <w:rPr>
                <w:rFonts w:ascii="宋体" w:hAnsi="宋体" w:cs="宋体" w:eastAsia="宋体" w:hint="default"/>
                <w:sz w:val="18"/>
                <w:szCs w:val="18"/>
              </w:rPr>
              <w:t>华梦阳</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1"/>
              <w:jc w:val="right"/>
              <w:rPr>
                <w:rFonts w:ascii="Times New Roman" w:hAnsi="Times New Roman" w:cs="Times New Roman" w:eastAsia="Times New Roman" w:hint="default"/>
                <w:sz w:val="18"/>
                <w:szCs w:val="18"/>
              </w:rPr>
            </w:pPr>
            <w:r>
              <w:rPr>
                <w:rFonts w:ascii="Times New Roman"/>
                <w:spacing w:val="-1"/>
                <w:sz w:val="18"/>
              </w:rPr>
              <w:t>8,115,000</w:t>
            </w:r>
          </w:p>
        </w:tc>
        <w:tc>
          <w:tcPr>
            <w:tcW w:w="1370"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1"/>
              <w:jc w:val="right"/>
              <w:rPr>
                <w:rFonts w:ascii="Times New Roman" w:hAnsi="Times New Roman" w:cs="Times New Roman" w:eastAsia="Times New Roman" w:hint="default"/>
                <w:sz w:val="18"/>
                <w:szCs w:val="18"/>
              </w:rPr>
            </w:pPr>
            <w:r>
              <w:rPr>
                <w:rFonts w:ascii="Times New Roman"/>
                <w:sz w:val="18"/>
              </w:rPr>
              <w:t>4,129,025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0"/>
              <w:jc w:val="right"/>
              <w:rPr>
                <w:rFonts w:ascii="Times New Roman" w:hAnsi="Times New Roman" w:cs="Times New Roman" w:eastAsia="Times New Roman" w:hint="default"/>
                <w:sz w:val="18"/>
                <w:szCs w:val="18"/>
              </w:rPr>
            </w:pPr>
            <w:r>
              <w:rPr>
                <w:rFonts w:ascii="Times New Roman"/>
                <w:sz w:val="18"/>
              </w:rPr>
              <w:t>12,244,025</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4" w:right="0"/>
              <w:jc w:val="left"/>
              <w:rPr>
                <w:rFonts w:ascii="宋体" w:hAnsi="宋体" w:cs="宋体" w:eastAsia="宋体" w:hint="default"/>
                <w:sz w:val="18"/>
                <w:szCs w:val="18"/>
              </w:rPr>
            </w:pPr>
            <w:r>
              <w:rPr>
                <w:rFonts w:ascii="宋体" w:hAnsi="宋体" w:cs="宋体" w:eastAsia="宋体" w:hint="default"/>
                <w:sz w:val="18"/>
                <w:szCs w:val="18"/>
              </w:rPr>
              <w:t>高管锁定；</w:t>
            </w:r>
          </w:p>
        </w:tc>
        <w:tc>
          <w:tcPr>
            <w:tcW w:w="136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67"/>
              <w:jc w:val="both"/>
              <w:rPr>
                <w:rFonts w:ascii="Times New Roman" w:hAnsi="Times New Roman" w:cs="Times New Roman" w:eastAsia="Times New Roman" w:hint="default"/>
                <w:sz w:val="18"/>
                <w:szCs w:val="18"/>
              </w:rPr>
            </w:pPr>
            <w:r>
              <w:rPr>
                <w:rFonts w:ascii="宋体" w:hAnsi="宋体" w:cs="宋体" w:eastAsia="宋体" w:hint="default"/>
                <w:sz w:val="18"/>
                <w:szCs w:val="18"/>
              </w:rPr>
              <w:t>任职期间每年转 让的股份不超过 其所持有公司股 份总数的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p>
        </w:tc>
      </w:tr>
      <w:tr>
        <w:trPr>
          <w:trHeight w:val="1338" w:hRule="exact"/>
        </w:trPr>
        <w:tc>
          <w:tcPr>
            <w:tcW w:w="13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2" w:right="0"/>
              <w:jc w:val="left"/>
              <w:rPr>
                <w:rFonts w:ascii="宋体" w:hAnsi="宋体" w:cs="宋体" w:eastAsia="宋体" w:hint="default"/>
                <w:sz w:val="18"/>
                <w:szCs w:val="18"/>
              </w:rPr>
            </w:pPr>
            <w:r>
              <w:rPr>
                <w:rFonts w:ascii="宋体" w:hAnsi="宋体" w:cs="宋体" w:eastAsia="宋体" w:hint="default"/>
                <w:sz w:val="18"/>
                <w:szCs w:val="18"/>
              </w:rPr>
              <w:t>傅常顺</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1"/>
              <w:jc w:val="right"/>
              <w:rPr>
                <w:rFonts w:ascii="Times New Roman" w:hAnsi="Times New Roman" w:cs="Times New Roman" w:eastAsia="Times New Roman" w:hint="default"/>
                <w:sz w:val="18"/>
                <w:szCs w:val="18"/>
              </w:rPr>
            </w:pPr>
            <w:r>
              <w:rPr>
                <w:rFonts w:ascii="Times New Roman"/>
                <w:sz w:val="18"/>
              </w:rPr>
              <w:t>7,515,000</w:t>
            </w:r>
          </w:p>
        </w:tc>
        <w:tc>
          <w:tcPr>
            <w:tcW w:w="1370"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1"/>
              <w:jc w:val="right"/>
              <w:rPr>
                <w:rFonts w:ascii="Times New Roman" w:hAnsi="Times New Roman" w:cs="Times New Roman" w:eastAsia="Times New Roman" w:hint="default"/>
                <w:sz w:val="18"/>
                <w:szCs w:val="18"/>
              </w:rPr>
            </w:pPr>
            <w:r>
              <w:rPr>
                <w:rFonts w:ascii="Times New Roman"/>
                <w:sz w:val="18"/>
              </w:rPr>
              <w:t>3,823,736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0"/>
              <w:jc w:val="right"/>
              <w:rPr>
                <w:rFonts w:ascii="Times New Roman" w:hAnsi="Times New Roman" w:cs="Times New Roman" w:eastAsia="Times New Roman" w:hint="default"/>
                <w:sz w:val="18"/>
                <w:szCs w:val="18"/>
              </w:rPr>
            </w:pPr>
            <w:r>
              <w:rPr>
                <w:rFonts w:ascii="Times New Roman"/>
                <w:spacing w:val="-1"/>
                <w:sz w:val="18"/>
              </w:rPr>
              <w:t>11,338,736</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4" w:right="0"/>
              <w:jc w:val="left"/>
              <w:rPr>
                <w:rFonts w:ascii="宋体" w:hAnsi="宋体" w:cs="宋体" w:eastAsia="宋体" w:hint="default"/>
                <w:sz w:val="18"/>
                <w:szCs w:val="18"/>
              </w:rPr>
            </w:pPr>
            <w:r>
              <w:rPr>
                <w:rFonts w:ascii="宋体" w:hAnsi="宋体" w:cs="宋体" w:eastAsia="宋体" w:hint="default"/>
                <w:sz w:val="18"/>
                <w:szCs w:val="18"/>
              </w:rPr>
              <w:t>高管锁定；</w:t>
            </w:r>
          </w:p>
        </w:tc>
        <w:tc>
          <w:tcPr>
            <w:tcW w:w="136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67"/>
              <w:jc w:val="both"/>
              <w:rPr>
                <w:rFonts w:ascii="Times New Roman" w:hAnsi="Times New Roman" w:cs="Times New Roman" w:eastAsia="Times New Roman" w:hint="default"/>
                <w:sz w:val="18"/>
                <w:szCs w:val="18"/>
              </w:rPr>
            </w:pPr>
            <w:r>
              <w:rPr>
                <w:rFonts w:ascii="宋体" w:hAnsi="宋体" w:cs="宋体" w:eastAsia="宋体" w:hint="default"/>
                <w:sz w:val="18"/>
                <w:szCs w:val="18"/>
              </w:rPr>
              <w:t>任职期间每年转 让的股份不超过 其所持有公司股 份总数的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p>
        </w:tc>
      </w:tr>
      <w:tr>
        <w:trPr>
          <w:trHeight w:val="1338" w:hRule="exact"/>
        </w:trPr>
        <w:tc>
          <w:tcPr>
            <w:tcW w:w="13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2" w:right="0"/>
              <w:jc w:val="left"/>
              <w:rPr>
                <w:rFonts w:ascii="宋体" w:hAnsi="宋体" w:cs="宋体" w:eastAsia="宋体" w:hint="default"/>
                <w:sz w:val="18"/>
                <w:szCs w:val="18"/>
              </w:rPr>
            </w:pPr>
            <w:r>
              <w:rPr>
                <w:rFonts w:ascii="宋体" w:hAnsi="宋体" w:cs="宋体" w:eastAsia="宋体" w:hint="default"/>
                <w:sz w:val="18"/>
                <w:szCs w:val="18"/>
              </w:rPr>
              <w:t>赵利宾</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1"/>
              <w:jc w:val="right"/>
              <w:rPr>
                <w:rFonts w:ascii="Times New Roman" w:hAnsi="Times New Roman" w:cs="Times New Roman" w:eastAsia="Times New Roman" w:hint="default"/>
                <w:sz w:val="18"/>
                <w:szCs w:val="18"/>
              </w:rPr>
            </w:pPr>
            <w:r>
              <w:rPr>
                <w:rFonts w:ascii="Times New Roman"/>
                <w:sz w:val="18"/>
              </w:rPr>
              <w:t>7,515,000</w:t>
            </w:r>
          </w:p>
        </w:tc>
        <w:tc>
          <w:tcPr>
            <w:tcW w:w="1370"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1"/>
              <w:jc w:val="right"/>
              <w:rPr>
                <w:rFonts w:ascii="Times New Roman" w:hAnsi="Times New Roman" w:cs="Times New Roman" w:eastAsia="Times New Roman" w:hint="default"/>
                <w:sz w:val="18"/>
                <w:szCs w:val="18"/>
              </w:rPr>
            </w:pPr>
            <w:r>
              <w:rPr>
                <w:rFonts w:ascii="Times New Roman"/>
                <w:sz w:val="18"/>
              </w:rPr>
              <w:t>3,823,736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0"/>
              <w:jc w:val="right"/>
              <w:rPr>
                <w:rFonts w:ascii="Times New Roman" w:hAnsi="Times New Roman" w:cs="Times New Roman" w:eastAsia="Times New Roman" w:hint="default"/>
                <w:sz w:val="18"/>
                <w:szCs w:val="18"/>
              </w:rPr>
            </w:pPr>
            <w:r>
              <w:rPr>
                <w:rFonts w:ascii="Times New Roman"/>
                <w:spacing w:val="-1"/>
                <w:sz w:val="18"/>
              </w:rPr>
              <w:t>11,338,736</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4" w:right="0"/>
              <w:jc w:val="left"/>
              <w:rPr>
                <w:rFonts w:ascii="宋体" w:hAnsi="宋体" w:cs="宋体" w:eastAsia="宋体" w:hint="default"/>
                <w:sz w:val="18"/>
                <w:szCs w:val="18"/>
              </w:rPr>
            </w:pPr>
            <w:r>
              <w:rPr>
                <w:rFonts w:ascii="宋体" w:hAnsi="宋体" w:cs="宋体" w:eastAsia="宋体" w:hint="default"/>
                <w:sz w:val="18"/>
                <w:szCs w:val="18"/>
              </w:rPr>
              <w:t>高管锁定；</w:t>
            </w:r>
          </w:p>
        </w:tc>
        <w:tc>
          <w:tcPr>
            <w:tcW w:w="136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67"/>
              <w:jc w:val="both"/>
              <w:rPr>
                <w:rFonts w:ascii="Times New Roman" w:hAnsi="Times New Roman" w:cs="Times New Roman" w:eastAsia="Times New Roman" w:hint="default"/>
                <w:sz w:val="18"/>
                <w:szCs w:val="18"/>
              </w:rPr>
            </w:pPr>
            <w:r>
              <w:rPr>
                <w:rFonts w:ascii="宋体" w:hAnsi="宋体" w:cs="宋体" w:eastAsia="宋体" w:hint="default"/>
                <w:sz w:val="18"/>
                <w:szCs w:val="18"/>
              </w:rPr>
              <w:t>任职期间每年转 让的股份不超过 其所持有公司股 份总数的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p>
        </w:tc>
      </w:tr>
      <w:tr>
        <w:trPr>
          <w:trHeight w:val="1338" w:hRule="exact"/>
        </w:trPr>
        <w:tc>
          <w:tcPr>
            <w:tcW w:w="13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6"/>
              <w:ind w:left="22" w:right="0"/>
              <w:jc w:val="left"/>
              <w:rPr>
                <w:rFonts w:ascii="宋体" w:hAnsi="宋体" w:cs="宋体" w:eastAsia="宋体" w:hint="default"/>
                <w:sz w:val="18"/>
                <w:szCs w:val="18"/>
              </w:rPr>
            </w:pPr>
            <w:r>
              <w:rPr>
                <w:rFonts w:ascii="宋体" w:hAnsi="宋体" w:cs="宋体" w:eastAsia="宋体" w:hint="default"/>
                <w:sz w:val="18"/>
                <w:szCs w:val="18"/>
              </w:rPr>
              <w:t>杜建平</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1"/>
              <w:jc w:val="right"/>
              <w:rPr>
                <w:rFonts w:ascii="Times New Roman" w:hAnsi="Times New Roman" w:cs="Times New Roman" w:eastAsia="Times New Roman" w:hint="default"/>
                <w:sz w:val="18"/>
                <w:szCs w:val="18"/>
              </w:rPr>
            </w:pPr>
            <w:r>
              <w:rPr>
                <w:rFonts w:ascii="Times New Roman"/>
                <w:sz w:val="18"/>
              </w:rPr>
              <w:t>7,515,000</w:t>
            </w:r>
          </w:p>
        </w:tc>
        <w:tc>
          <w:tcPr>
            <w:tcW w:w="1370"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1"/>
              <w:jc w:val="right"/>
              <w:rPr>
                <w:rFonts w:ascii="Times New Roman" w:hAnsi="Times New Roman" w:cs="Times New Roman" w:eastAsia="Times New Roman" w:hint="default"/>
                <w:sz w:val="18"/>
                <w:szCs w:val="18"/>
              </w:rPr>
            </w:pPr>
            <w:r>
              <w:rPr>
                <w:rFonts w:ascii="Times New Roman"/>
                <w:sz w:val="18"/>
              </w:rPr>
              <w:t>3,823,737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0"/>
              <w:jc w:val="right"/>
              <w:rPr>
                <w:rFonts w:ascii="Times New Roman" w:hAnsi="Times New Roman" w:cs="Times New Roman" w:eastAsia="Times New Roman" w:hint="default"/>
                <w:sz w:val="18"/>
                <w:szCs w:val="18"/>
              </w:rPr>
            </w:pPr>
            <w:r>
              <w:rPr>
                <w:rFonts w:ascii="Times New Roman"/>
                <w:spacing w:val="-1"/>
                <w:sz w:val="18"/>
              </w:rPr>
              <w:t>11,338,737</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6"/>
              <w:ind w:left="24" w:right="0"/>
              <w:jc w:val="left"/>
              <w:rPr>
                <w:rFonts w:ascii="宋体" w:hAnsi="宋体" w:cs="宋体" w:eastAsia="宋体" w:hint="default"/>
                <w:sz w:val="18"/>
                <w:szCs w:val="18"/>
              </w:rPr>
            </w:pPr>
            <w:r>
              <w:rPr>
                <w:rFonts w:ascii="宋体" w:hAnsi="宋体" w:cs="宋体" w:eastAsia="宋体" w:hint="default"/>
                <w:sz w:val="18"/>
                <w:szCs w:val="18"/>
              </w:rPr>
              <w:t>高管锁定；</w:t>
            </w:r>
          </w:p>
        </w:tc>
        <w:tc>
          <w:tcPr>
            <w:tcW w:w="136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67"/>
              <w:jc w:val="both"/>
              <w:rPr>
                <w:rFonts w:ascii="Times New Roman" w:hAnsi="Times New Roman" w:cs="Times New Roman" w:eastAsia="Times New Roman" w:hint="default"/>
                <w:sz w:val="18"/>
                <w:szCs w:val="18"/>
              </w:rPr>
            </w:pPr>
            <w:r>
              <w:rPr>
                <w:rFonts w:ascii="宋体" w:hAnsi="宋体" w:cs="宋体" w:eastAsia="宋体" w:hint="default"/>
                <w:sz w:val="18"/>
                <w:szCs w:val="18"/>
              </w:rPr>
              <w:t>任职期间每年转 让的股份不超过 其所持有公司股 份总数的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p>
        </w:tc>
      </w:tr>
      <w:tr>
        <w:trPr>
          <w:trHeight w:val="1338" w:hRule="exact"/>
        </w:trPr>
        <w:tc>
          <w:tcPr>
            <w:tcW w:w="13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2" w:right="0"/>
              <w:jc w:val="left"/>
              <w:rPr>
                <w:rFonts w:ascii="宋体" w:hAnsi="宋体" w:cs="宋体" w:eastAsia="宋体" w:hint="default"/>
                <w:sz w:val="18"/>
                <w:szCs w:val="18"/>
              </w:rPr>
            </w:pPr>
            <w:r>
              <w:rPr>
                <w:rFonts w:ascii="宋体" w:hAnsi="宋体" w:cs="宋体" w:eastAsia="宋体" w:hint="default"/>
                <w:sz w:val="18"/>
                <w:szCs w:val="18"/>
              </w:rPr>
              <w:t>刘恩臣</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1"/>
              <w:jc w:val="right"/>
              <w:rPr>
                <w:rFonts w:ascii="Times New Roman" w:hAnsi="Times New Roman" w:cs="Times New Roman" w:eastAsia="Times New Roman" w:hint="default"/>
                <w:sz w:val="18"/>
                <w:szCs w:val="18"/>
              </w:rPr>
            </w:pPr>
            <w:r>
              <w:rPr>
                <w:rFonts w:ascii="Times New Roman"/>
                <w:sz w:val="18"/>
              </w:rPr>
              <w:t>7,140,000</w:t>
            </w:r>
          </w:p>
        </w:tc>
        <w:tc>
          <w:tcPr>
            <w:tcW w:w="1370"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1"/>
              <w:jc w:val="right"/>
              <w:rPr>
                <w:rFonts w:ascii="Times New Roman" w:hAnsi="Times New Roman" w:cs="Times New Roman" w:eastAsia="Times New Roman" w:hint="default"/>
                <w:sz w:val="18"/>
                <w:szCs w:val="18"/>
              </w:rPr>
            </w:pPr>
            <w:r>
              <w:rPr>
                <w:rFonts w:ascii="Times New Roman"/>
                <w:sz w:val="18"/>
              </w:rPr>
              <w:t>3,632,931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0"/>
              <w:jc w:val="right"/>
              <w:rPr>
                <w:rFonts w:ascii="Times New Roman" w:hAnsi="Times New Roman" w:cs="Times New Roman" w:eastAsia="Times New Roman" w:hint="default"/>
                <w:sz w:val="18"/>
                <w:szCs w:val="18"/>
              </w:rPr>
            </w:pPr>
            <w:r>
              <w:rPr>
                <w:rFonts w:ascii="Times New Roman"/>
                <w:sz w:val="18"/>
              </w:rPr>
              <w:t>10,772,931</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4" w:right="0"/>
              <w:jc w:val="left"/>
              <w:rPr>
                <w:rFonts w:ascii="宋体" w:hAnsi="宋体" w:cs="宋体" w:eastAsia="宋体" w:hint="default"/>
                <w:sz w:val="18"/>
                <w:szCs w:val="18"/>
              </w:rPr>
            </w:pPr>
            <w:r>
              <w:rPr>
                <w:rFonts w:ascii="宋体" w:hAnsi="宋体" w:cs="宋体" w:eastAsia="宋体" w:hint="default"/>
                <w:sz w:val="18"/>
                <w:szCs w:val="18"/>
              </w:rPr>
              <w:t>高管锁定；</w:t>
            </w:r>
          </w:p>
        </w:tc>
        <w:tc>
          <w:tcPr>
            <w:tcW w:w="136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67"/>
              <w:jc w:val="both"/>
              <w:rPr>
                <w:rFonts w:ascii="Times New Roman" w:hAnsi="Times New Roman" w:cs="Times New Roman" w:eastAsia="Times New Roman" w:hint="default"/>
                <w:sz w:val="18"/>
                <w:szCs w:val="18"/>
              </w:rPr>
            </w:pPr>
            <w:r>
              <w:rPr>
                <w:rFonts w:ascii="宋体" w:hAnsi="宋体" w:cs="宋体" w:eastAsia="宋体" w:hint="default"/>
                <w:sz w:val="18"/>
                <w:szCs w:val="18"/>
              </w:rPr>
              <w:t>任职期间每年转 让的股份不超过 其所持有公司股 份总数的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p>
        </w:tc>
      </w:tr>
      <w:tr>
        <w:trPr>
          <w:trHeight w:val="1338" w:hRule="exact"/>
        </w:trPr>
        <w:tc>
          <w:tcPr>
            <w:tcW w:w="13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2" w:right="0"/>
              <w:jc w:val="left"/>
              <w:rPr>
                <w:rFonts w:ascii="宋体" w:hAnsi="宋体" w:cs="宋体" w:eastAsia="宋体" w:hint="default"/>
                <w:sz w:val="18"/>
                <w:szCs w:val="18"/>
              </w:rPr>
            </w:pPr>
            <w:r>
              <w:rPr>
                <w:rFonts w:ascii="宋体" w:hAnsi="宋体" w:cs="宋体" w:eastAsia="宋体" w:hint="default"/>
                <w:sz w:val="18"/>
                <w:szCs w:val="18"/>
              </w:rPr>
              <w:t>刘永春</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1"/>
              <w:jc w:val="right"/>
              <w:rPr>
                <w:rFonts w:ascii="Times New Roman" w:hAnsi="Times New Roman" w:cs="Times New Roman" w:eastAsia="Times New Roman" w:hint="default"/>
                <w:sz w:val="18"/>
                <w:szCs w:val="18"/>
              </w:rPr>
            </w:pPr>
            <w:r>
              <w:rPr>
                <w:rFonts w:ascii="Times New Roman"/>
                <w:sz w:val="18"/>
              </w:rPr>
              <w:t>3,798,165</w:t>
            </w:r>
          </w:p>
        </w:tc>
        <w:tc>
          <w:tcPr>
            <w:tcW w:w="1370"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1"/>
              <w:jc w:val="right"/>
              <w:rPr>
                <w:rFonts w:ascii="Times New Roman" w:hAnsi="Times New Roman" w:cs="Times New Roman" w:eastAsia="Times New Roman" w:hint="default"/>
                <w:sz w:val="18"/>
                <w:szCs w:val="18"/>
              </w:rPr>
            </w:pPr>
            <w:r>
              <w:rPr>
                <w:rFonts w:ascii="Times New Roman"/>
                <w:sz w:val="18"/>
              </w:rPr>
              <w:t>1,932,560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0"/>
              <w:jc w:val="right"/>
              <w:rPr>
                <w:rFonts w:ascii="Times New Roman" w:hAnsi="Times New Roman" w:cs="Times New Roman" w:eastAsia="Times New Roman" w:hint="default"/>
                <w:sz w:val="18"/>
                <w:szCs w:val="18"/>
              </w:rPr>
            </w:pPr>
            <w:r>
              <w:rPr>
                <w:rFonts w:ascii="Times New Roman"/>
                <w:sz w:val="18"/>
              </w:rPr>
              <w:t>5,730,725</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4" w:right="0"/>
              <w:jc w:val="left"/>
              <w:rPr>
                <w:rFonts w:ascii="宋体" w:hAnsi="宋体" w:cs="宋体" w:eastAsia="宋体" w:hint="default"/>
                <w:sz w:val="18"/>
                <w:szCs w:val="18"/>
              </w:rPr>
            </w:pPr>
            <w:r>
              <w:rPr>
                <w:rFonts w:ascii="宋体" w:hAnsi="宋体" w:cs="宋体" w:eastAsia="宋体" w:hint="default"/>
                <w:sz w:val="18"/>
                <w:szCs w:val="18"/>
              </w:rPr>
              <w:t>高管锁定；</w:t>
            </w:r>
          </w:p>
        </w:tc>
        <w:tc>
          <w:tcPr>
            <w:tcW w:w="136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67"/>
              <w:jc w:val="both"/>
              <w:rPr>
                <w:rFonts w:ascii="Times New Roman" w:hAnsi="Times New Roman" w:cs="Times New Roman" w:eastAsia="Times New Roman" w:hint="default"/>
                <w:sz w:val="18"/>
                <w:szCs w:val="18"/>
              </w:rPr>
            </w:pPr>
            <w:r>
              <w:rPr>
                <w:rFonts w:ascii="宋体" w:hAnsi="宋体" w:cs="宋体" w:eastAsia="宋体" w:hint="default"/>
                <w:sz w:val="18"/>
                <w:szCs w:val="18"/>
              </w:rPr>
              <w:t>任职期间每年转 让的股份不超过 其所持有公司股 份总数的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p>
        </w:tc>
      </w:tr>
      <w:tr>
        <w:trPr>
          <w:trHeight w:val="1338" w:hRule="exact"/>
        </w:trPr>
        <w:tc>
          <w:tcPr>
            <w:tcW w:w="13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2" w:right="0"/>
              <w:jc w:val="left"/>
              <w:rPr>
                <w:rFonts w:ascii="宋体" w:hAnsi="宋体" w:cs="宋体" w:eastAsia="宋体" w:hint="default"/>
                <w:sz w:val="18"/>
                <w:szCs w:val="18"/>
              </w:rPr>
            </w:pPr>
            <w:r>
              <w:rPr>
                <w:rFonts w:ascii="宋体" w:hAnsi="宋体" w:cs="宋体" w:eastAsia="宋体" w:hint="default"/>
                <w:sz w:val="18"/>
                <w:szCs w:val="18"/>
              </w:rPr>
              <w:t>王葆玲</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1"/>
              <w:jc w:val="right"/>
              <w:rPr>
                <w:rFonts w:ascii="Times New Roman" w:hAnsi="Times New Roman" w:cs="Times New Roman" w:eastAsia="Times New Roman" w:hint="default"/>
                <w:sz w:val="18"/>
                <w:szCs w:val="18"/>
              </w:rPr>
            </w:pPr>
            <w:r>
              <w:rPr>
                <w:rFonts w:ascii="Times New Roman"/>
                <w:sz w:val="18"/>
              </w:rPr>
              <w:t>222,375</w:t>
            </w:r>
          </w:p>
        </w:tc>
        <w:tc>
          <w:tcPr>
            <w:tcW w:w="1370"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2"/>
              <w:jc w:val="right"/>
              <w:rPr>
                <w:rFonts w:ascii="Times New Roman" w:hAnsi="Times New Roman" w:cs="Times New Roman" w:eastAsia="Times New Roman" w:hint="default"/>
                <w:sz w:val="18"/>
                <w:szCs w:val="18"/>
              </w:rPr>
            </w:pPr>
            <w:r>
              <w:rPr>
                <w:rFonts w:ascii="Times New Roman"/>
                <w:spacing w:val="-2"/>
                <w:sz w:val="18"/>
              </w:rPr>
              <w:t>113,147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9"/>
              <w:jc w:val="right"/>
              <w:rPr>
                <w:rFonts w:ascii="Times New Roman" w:hAnsi="Times New Roman" w:cs="Times New Roman" w:eastAsia="Times New Roman" w:hint="default"/>
                <w:sz w:val="18"/>
                <w:szCs w:val="18"/>
              </w:rPr>
            </w:pPr>
            <w:r>
              <w:rPr>
                <w:rFonts w:ascii="Times New Roman"/>
                <w:sz w:val="18"/>
              </w:rPr>
              <w:t>335,522</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4" w:right="0"/>
              <w:jc w:val="left"/>
              <w:rPr>
                <w:rFonts w:ascii="宋体" w:hAnsi="宋体" w:cs="宋体" w:eastAsia="宋体" w:hint="default"/>
                <w:sz w:val="18"/>
                <w:szCs w:val="18"/>
              </w:rPr>
            </w:pPr>
            <w:r>
              <w:rPr>
                <w:rFonts w:ascii="宋体" w:hAnsi="宋体" w:cs="宋体" w:eastAsia="宋体" w:hint="default"/>
                <w:sz w:val="18"/>
                <w:szCs w:val="18"/>
              </w:rPr>
              <w:t>高管锁定；</w:t>
            </w:r>
          </w:p>
        </w:tc>
        <w:tc>
          <w:tcPr>
            <w:tcW w:w="136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67"/>
              <w:jc w:val="both"/>
              <w:rPr>
                <w:rFonts w:ascii="Times New Roman" w:hAnsi="Times New Roman" w:cs="Times New Roman" w:eastAsia="Times New Roman" w:hint="default"/>
                <w:sz w:val="18"/>
                <w:szCs w:val="18"/>
              </w:rPr>
            </w:pPr>
            <w:r>
              <w:rPr>
                <w:rFonts w:ascii="宋体" w:hAnsi="宋体" w:cs="宋体" w:eastAsia="宋体" w:hint="default"/>
                <w:sz w:val="18"/>
                <w:szCs w:val="18"/>
              </w:rPr>
              <w:t>任职期间每年转 让的股份不超过 其所持有公司股 份总数的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p>
        </w:tc>
      </w:tr>
      <w:tr>
        <w:trPr>
          <w:trHeight w:val="1338" w:hRule="exact"/>
        </w:trPr>
        <w:tc>
          <w:tcPr>
            <w:tcW w:w="13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6"/>
              <w:ind w:left="22" w:right="0"/>
              <w:jc w:val="left"/>
              <w:rPr>
                <w:rFonts w:ascii="宋体" w:hAnsi="宋体" w:cs="宋体" w:eastAsia="宋体" w:hint="default"/>
                <w:sz w:val="18"/>
                <w:szCs w:val="18"/>
              </w:rPr>
            </w:pPr>
            <w:r>
              <w:rPr>
                <w:rFonts w:ascii="宋体" w:hAnsi="宋体" w:cs="宋体" w:eastAsia="宋体" w:hint="default"/>
                <w:sz w:val="18"/>
                <w:szCs w:val="18"/>
              </w:rPr>
              <w:t>李玉玲</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1"/>
              <w:jc w:val="right"/>
              <w:rPr>
                <w:rFonts w:ascii="Times New Roman" w:hAnsi="Times New Roman" w:cs="Times New Roman" w:eastAsia="Times New Roman" w:hint="default"/>
                <w:sz w:val="18"/>
                <w:szCs w:val="18"/>
              </w:rPr>
            </w:pPr>
            <w:r>
              <w:rPr>
                <w:rFonts w:ascii="Times New Roman"/>
                <w:sz w:val="18"/>
              </w:rPr>
              <w:t>22,500</w:t>
            </w:r>
          </w:p>
        </w:tc>
        <w:tc>
          <w:tcPr>
            <w:tcW w:w="1370"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2"/>
              <w:jc w:val="right"/>
              <w:rPr>
                <w:rFonts w:ascii="Times New Roman" w:hAnsi="Times New Roman" w:cs="Times New Roman" w:eastAsia="Times New Roman" w:hint="default"/>
                <w:sz w:val="18"/>
                <w:szCs w:val="18"/>
              </w:rPr>
            </w:pPr>
            <w:r>
              <w:rPr>
                <w:rFonts w:ascii="Times New Roman"/>
                <w:spacing w:val="-2"/>
                <w:sz w:val="18"/>
              </w:rPr>
              <w:t>11,448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9"/>
              <w:jc w:val="right"/>
              <w:rPr>
                <w:rFonts w:ascii="Times New Roman" w:hAnsi="Times New Roman" w:cs="Times New Roman" w:eastAsia="Times New Roman" w:hint="default"/>
                <w:sz w:val="18"/>
                <w:szCs w:val="18"/>
              </w:rPr>
            </w:pPr>
            <w:r>
              <w:rPr>
                <w:rFonts w:ascii="Times New Roman"/>
                <w:sz w:val="18"/>
              </w:rPr>
              <w:t>33,948</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56"/>
              <w:ind w:left="24" w:right="75"/>
              <w:jc w:val="left"/>
              <w:rPr>
                <w:rFonts w:ascii="宋体" w:hAnsi="宋体" w:cs="宋体" w:eastAsia="宋体" w:hint="default"/>
                <w:sz w:val="18"/>
                <w:szCs w:val="18"/>
              </w:rPr>
            </w:pPr>
            <w:r>
              <w:rPr>
                <w:rFonts w:ascii="宋体" w:hAnsi="宋体" w:cs="宋体" w:eastAsia="宋体" w:hint="default"/>
                <w:sz w:val="18"/>
                <w:szCs w:val="18"/>
              </w:rPr>
              <w:t>股权激励；高管 锁定；</w:t>
            </w:r>
          </w:p>
        </w:tc>
        <w:tc>
          <w:tcPr>
            <w:tcW w:w="136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67"/>
              <w:jc w:val="both"/>
              <w:rPr>
                <w:rFonts w:ascii="Times New Roman" w:hAnsi="Times New Roman" w:cs="Times New Roman" w:eastAsia="Times New Roman" w:hint="default"/>
                <w:sz w:val="18"/>
                <w:szCs w:val="18"/>
              </w:rPr>
            </w:pPr>
            <w:r>
              <w:rPr>
                <w:rFonts w:ascii="宋体" w:hAnsi="宋体" w:cs="宋体" w:eastAsia="宋体" w:hint="default"/>
                <w:sz w:val="18"/>
                <w:szCs w:val="18"/>
              </w:rPr>
              <w:t>任职期间每年转 让的股份不超过 其所持有公司股 份总数的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p>
        </w:tc>
      </w:tr>
      <w:tr>
        <w:trPr>
          <w:trHeight w:val="402" w:hRule="exact"/>
        </w:trPr>
        <w:tc>
          <w:tcPr>
            <w:tcW w:w="13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杨长昆</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108,000</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41" w:right="0"/>
              <w:jc w:val="left"/>
              <w:rPr>
                <w:rFonts w:ascii="Times New Roman" w:hAnsi="Times New Roman" w:cs="Times New Roman" w:eastAsia="Times New Roman" w:hint="default"/>
                <w:sz w:val="18"/>
                <w:szCs w:val="18"/>
              </w:rPr>
            </w:pPr>
            <w:r>
              <w:rPr>
                <w:rFonts w:ascii="Times New Roman"/>
                <w:sz w:val="18"/>
              </w:rPr>
              <w:t>99,513</w:t>
            </w:r>
          </w:p>
        </w:tc>
        <w:tc>
          <w:tcPr>
            <w:tcW w:w="1369"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8,487</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24" w:right="0"/>
              <w:jc w:val="left"/>
              <w:rPr>
                <w:rFonts w:ascii="宋体" w:hAnsi="宋体" w:cs="宋体" w:eastAsia="宋体" w:hint="default"/>
                <w:sz w:val="18"/>
                <w:szCs w:val="18"/>
              </w:rPr>
            </w:pPr>
            <w:r>
              <w:rPr>
                <w:rFonts w:ascii="宋体" w:hAnsi="宋体" w:cs="宋体" w:eastAsia="宋体" w:hint="default"/>
                <w:sz w:val="18"/>
                <w:szCs w:val="18"/>
              </w:rPr>
              <w:t>股权激励；高管</w:t>
            </w:r>
          </w:p>
        </w:tc>
        <w:tc>
          <w:tcPr>
            <w:tcW w:w="13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22" w:right="0"/>
              <w:jc w:val="left"/>
              <w:rPr>
                <w:rFonts w:ascii="宋体" w:hAnsi="宋体" w:cs="宋体" w:eastAsia="宋体" w:hint="default"/>
                <w:sz w:val="18"/>
                <w:szCs w:val="18"/>
              </w:rPr>
            </w:pPr>
            <w:r>
              <w:rPr>
                <w:rFonts w:ascii="宋体" w:hAnsi="宋体" w:cs="宋体" w:eastAsia="宋体" w:hint="default"/>
                <w:sz w:val="18"/>
                <w:szCs w:val="18"/>
              </w:rPr>
              <w:t>任职期间每年转</w:t>
            </w:r>
          </w:p>
        </w:tc>
      </w:tr>
    </w:tbl>
    <w:p>
      <w:pPr>
        <w:spacing w:after="0" w:line="240" w:lineRule="auto"/>
        <w:jc w:val="left"/>
        <w:rPr>
          <w:rFonts w:ascii="宋体" w:hAnsi="宋体" w:cs="宋体" w:eastAsia="宋体" w:hint="default"/>
          <w:sz w:val="18"/>
          <w:szCs w:val="18"/>
        </w:rPr>
        <w:sectPr>
          <w:pgSz w:w="11910" w:h="16840"/>
          <w:pgMar w:header="877" w:footer="979" w:top="1100" w:bottom="1160" w:left="980" w:right="0"/>
        </w:sectPr>
      </w:pPr>
    </w:p>
    <w:p>
      <w:pPr>
        <w:spacing w:line="240" w:lineRule="auto" w:before="10"/>
        <w:rPr>
          <w:rFonts w:ascii="Times New Roman" w:hAnsi="Times New Roman" w:cs="Times New Roman" w:eastAsia="Times New Roman" w:hint="default"/>
          <w:sz w:val="27"/>
          <w:szCs w:val="27"/>
        </w:rPr>
      </w:pPr>
    </w:p>
    <w:tbl>
      <w:tblPr>
        <w:tblW w:w="0" w:type="auto"/>
        <w:jc w:val="left"/>
        <w:tblInd w:w="149" w:type="dxa"/>
        <w:tblLayout w:type="fixed"/>
        <w:tblCellMar>
          <w:top w:w="0" w:type="dxa"/>
          <w:left w:w="0" w:type="dxa"/>
          <w:bottom w:w="0" w:type="dxa"/>
          <w:right w:w="0" w:type="dxa"/>
        </w:tblCellMar>
        <w:tblLook w:val="01E0"/>
      </w:tblPr>
      <w:tblGrid>
        <w:gridCol w:w="1362"/>
        <w:gridCol w:w="1369"/>
        <w:gridCol w:w="1370"/>
        <w:gridCol w:w="1369"/>
        <w:gridCol w:w="1368"/>
        <w:gridCol w:w="1370"/>
        <w:gridCol w:w="1362"/>
      </w:tblGrid>
      <w:tr>
        <w:trPr>
          <w:trHeight w:val="986" w:hRule="exact"/>
        </w:trPr>
        <w:tc>
          <w:tcPr>
            <w:tcW w:w="1362"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4" w:right="0"/>
              <w:jc w:val="left"/>
              <w:rPr>
                <w:rFonts w:ascii="宋体" w:hAnsi="宋体" w:cs="宋体" w:eastAsia="宋体" w:hint="default"/>
                <w:sz w:val="18"/>
                <w:szCs w:val="18"/>
              </w:rPr>
            </w:pPr>
            <w:r>
              <w:rPr>
                <w:rFonts w:ascii="宋体" w:hAnsi="宋体" w:cs="宋体" w:eastAsia="宋体" w:hint="default"/>
                <w:sz w:val="18"/>
                <w:szCs w:val="18"/>
              </w:rPr>
              <w:t>锁定；</w:t>
            </w:r>
          </w:p>
        </w:tc>
        <w:tc>
          <w:tcPr>
            <w:tcW w:w="136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22" w:right="67"/>
              <w:jc w:val="both"/>
              <w:rPr>
                <w:rFonts w:ascii="Times New Roman" w:hAnsi="Times New Roman" w:cs="Times New Roman" w:eastAsia="Times New Roman" w:hint="default"/>
                <w:sz w:val="18"/>
                <w:szCs w:val="18"/>
              </w:rPr>
            </w:pPr>
            <w:r>
              <w:rPr>
                <w:rFonts w:ascii="宋体" w:hAnsi="宋体" w:cs="宋体" w:eastAsia="宋体" w:hint="default"/>
                <w:sz w:val="18"/>
                <w:szCs w:val="18"/>
              </w:rPr>
              <w:t>让的股份不超过 其所持有公司股 份总数的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p>
        </w:tc>
      </w:tr>
      <w:tr>
        <w:trPr>
          <w:trHeight w:val="1338" w:hRule="exact"/>
        </w:trPr>
        <w:tc>
          <w:tcPr>
            <w:tcW w:w="13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6"/>
              <w:ind w:left="22" w:right="0"/>
              <w:jc w:val="left"/>
              <w:rPr>
                <w:rFonts w:ascii="宋体" w:hAnsi="宋体" w:cs="宋体" w:eastAsia="宋体" w:hint="default"/>
                <w:sz w:val="18"/>
                <w:szCs w:val="18"/>
              </w:rPr>
            </w:pPr>
            <w:r>
              <w:rPr>
                <w:rFonts w:ascii="宋体" w:hAnsi="宋体" w:cs="宋体" w:eastAsia="宋体" w:hint="default"/>
                <w:sz w:val="18"/>
                <w:szCs w:val="18"/>
              </w:rPr>
              <w:t>赵鑫</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3"/>
              <w:jc w:val="right"/>
              <w:rPr>
                <w:rFonts w:ascii="Times New Roman" w:hAnsi="Times New Roman" w:cs="Times New Roman" w:eastAsia="Times New Roman" w:hint="default"/>
                <w:sz w:val="18"/>
                <w:szCs w:val="18"/>
              </w:rPr>
            </w:pPr>
            <w:r>
              <w:rPr>
                <w:rFonts w:ascii="Times New Roman"/>
                <w:sz w:val="18"/>
              </w:rPr>
              <w:t>0</w:t>
            </w:r>
          </w:p>
        </w:tc>
        <w:tc>
          <w:tcPr>
            <w:tcW w:w="1370"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1"/>
              <w:jc w:val="right"/>
              <w:rPr>
                <w:rFonts w:ascii="Times New Roman" w:hAnsi="Times New Roman" w:cs="Times New Roman" w:eastAsia="Times New Roman" w:hint="default"/>
                <w:sz w:val="18"/>
                <w:szCs w:val="18"/>
              </w:rPr>
            </w:pPr>
            <w:r>
              <w:rPr>
                <w:rFonts w:ascii="Times New Roman"/>
                <w:sz w:val="18"/>
              </w:rPr>
              <w:t>153,899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9"/>
              <w:jc w:val="right"/>
              <w:rPr>
                <w:rFonts w:ascii="Times New Roman" w:hAnsi="Times New Roman" w:cs="Times New Roman" w:eastAsia="Times New Roman" w:hint="default"/>
                <w:sz w:val="18"/>
                <w:szCs w:val="18"/>
              </w:rPr>
            </w:pPr>
            <w:r>
              <w:rPr>
                <w:rFonts w:ascii="Times New Roman"/>
                <w:sz w:val="18"/>
              </w:rPr>
              <w:t>153,899</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6"/>
              <w:ind w:left="24" w:right="0"/>
              <w:jc w:val="left"/>
              <w:rPr>
                <w:rFonts w:ascii="宋体" w:hAnsi="宋体" w:cs="宋体" w:eastAsia="宋体" w:hint="default"/>
                <w:sz w:val="18"/>
                <w:szCs w:val="18"/>
              </w:rPr>
            </w:pPr>
            <w:r>
              <w:rPr>
                <w:rFonts w:ascii="宋体" w:hAnsi="宋体" w:cs="宋体" w:eastAsia="宋体" w:hint="default"/>
                <w:sz w:val="18"/>
                <w:szCs w:val="18"/>
              </w:rPr>
              <w:t>高管锁定；</w:t>
            </w:r>
          </w:p>
        </w:tc>
        <w:tc>
          <w:tcPr>
            <w:tcW w:w="136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67"/>
              <w:jc w:val="both"/>
              <w:rPr>
                <w:rFonts w:ascii="Times New Roman" w:hAnsi="Times New Roman" w:cs="Times New Roman" w:eastAsia="Times New Roman" w:hint="default"/>
                <w:sz w:val="18"/>
                <w:szCs w:val="18"/>
              </w:rPr>
            </w:pPr>
            <w:r>
              <w:rPr>
                <w:rFonts w:ascii="宋体" w:hAnsi="宋体" w:cs="宋体" w:eastAsia="宋体" w:hint="default"/>
                <w:sz w:val="18"/>
                <w:szCs w:val="18"/>
              </w:rPr>
              <w:t>任职期间每年转 让的股份不超过 其所持有公司股 份总数的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p>
        </w:tc>
      </w:tr>
      <w:tr>
        <w:trPr>
          <w:trHeight w:val="1026" w:hRule="exact"/>
        </w:trPr>
        <w:tc>
          <w:tcPr>
            <w:tcW w:w="136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69"/>
              <w:jc w:val="both"/>
              <w:rPr>
                <w:rFonts w:ascii="宋体" w:hAnsi="宋体" w:cs="宋体" w:eastAsia="宋体" w:hint="default"/>
                <w:sz w:val="18"/>
                <w:szCs w:val="18"/>
              </w:rPr>
            </w:pPr>
            <w:r>
              <w:rPr>
                <w:rFonts w:ascii="宋体" w:hAnsi="宋体" w:cs="宋体" w:eastAsia="宋体" w:hint="default"/>
                <w:sz w:val="18"/>
                <w:szCs w:val="18"/>
              </w:rPr>
              <w:t>郑州佳辰企业管 理咨询中心（有 限合伙）</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3,775,582</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3,775,582</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4" w:right="0"/>
              <w:jc w:val="left"/>
              <w:rPr>
                <w:rFonts w:ascii="宋体" w:hAnsi="宋体" w:cs="宋体" w:eastAsia="宋体" w:hint="default"/>
                <w:sz w:val="18"/>
                <w:szCs w:val="18"/>
              </w:rPr>
            </w:pPr>
            <w:r>
              <w:rPr>
                <w:rFonts w:ascii="宋体" w:hAnsi="宋体" w:cs="宋体" w:eastAsia="宋体" w:hint="default"/>
                <w:sz w:val="18"/>
                <w:szCs w:val="18"/>
              </w:rPr>
              <w:t>非公开发行</w:t>
            </w:r>
          </w:p>
        </w:tc>
        <w:tc>
          <w:tcPr>
            <w:tcW w:w="13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29</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日</w:t>
            </w:r>
          </w:p>
        </w:tc>
      </w:tr>
      <w:tr>
        <w:trPr>
          <w:trHeight w:val="714" w:hRule="exact"/>
        </w:trPr>
        <w:tc>
          <w:tcPr>
            <w:tcW w:w="13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罗会军</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762,173</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762,173</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非公开发行</w:t>
            </w:r>
          </w:p>
        </w:tc>
        <w:tc>
          <w:tcPr>
            <w:tcW w:w="13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29</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日</w:t>
            </w:r>
          </w:p>
        </w:tc>
      </w:tr>
      <w:tr>
        <w:trPr>
          <w:trHeight w:val="714" w:hRule="exact"/>
        </w:trPr>
        <w:tc>
          <w:tcPr>
            <w:tcW w:w="13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柳楠</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705,716</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705,716</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非公开发行</w:t>
            </w:r>
          </w:p>
        </w:tc>
        <w:tc>
          <w:tcPr>
            <w:tcW w:w="13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29</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日</w:t>
            </w:r>
          </w:p>
        </w:tc>
      </w:tr>
      <w:tr>
        <w:trPr>
          <w:trHeight w:val="714" w:hRule="exact"/>
        </w:trPr>
        <w:tc>
          <w:tcPr>
            <w:tcW w:w="13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吴凤辉</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402,258</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402,258</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非公开发行</w:t>
            </w:r>
          </w:p>
        </w:tc>
        <w:tc>
          <w:tcPr>
            <w:tcW w:w="13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29</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日</w:t>
            </w:r>
          </w:p>
        </w:tc>
      </w:tr>
      <w:tr>
        <w:trPr>
          <w:trHeight w:val="3210" w:hRule="exact"/>
        </w:trPr>
        <w:tc>
          <w:tcPr>
            <w:tcW w:w="13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09" w:lineRule="auto" w:before="108"/>
              <w:ind w:left="22" w:right="23"/>
              <w:jc w:val="both"/>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年限制性股 票激励计划授予 的激励对象</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5,620,740</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5,620,740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股权激励</w:t>
            </w:r>
          </w:p>
        </w:tc>
        <w:tc>
          <w:tcPr>
            <w:tcW w:w="1362"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51"/>
              <w:ind w:left="22" w:right="23"/>
              <w:jc w:val="left"/>
              <w:rPr>
                <w:rFonts w:ascii="宋体" w:hAnsi="宋体" w:cs="宋体" w:eastAsia="宋体" w:hint="default"/>
                <w:sz w:val="18"/>
                <w:szCs w:val="18"/>
              </w:rPr>
            </w:pPr>
            <w:r>
              <w:rPr>
                <w:rFonts w:ascii="宋体" w:hAnsi="宋体" w:cs="宋体" w:eastAsia="宋体" w:hint="default"/>
                <w:sz w:val="18"/>
                <w:szCs w:val="18"/>
              </w:rPr>
              <w:t>公司</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年第一 次临时股东大会 审议同意终止实 施</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年限制性 股票激励计划并 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7 </w:t>
            </w:r>
            <w:r>
              <w:rPr>
                <w:rFonts w:ascii="宋体" w:hAnsi="宋体" w:cs="宋体" w:eastAsia="宋体" w:hint="default"/>
                <w:sz w:val="18"/>
                <w:szCs w:val="18"/>
              </w:rPr>
              <w:t>日回购注销完成 已获授但尚未解 锁的限制性股 票。</w:t>
            </w:r>
          </w:p>
        </w:tc>
      </w:tr>
      <w:tr>
        <w:trPr>
          <w:trHeight w:val="402" w:hRule="exact"/>
        </w:trPr>
        <w:tc>
          <w:tcPr>
            <w:tcW w:w="13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120,264,509</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11,365,982</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55,558,664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164,457,191</w:t>
            </w:r>
          </w:p>
        </w:tc>
        <w:tc>
          <w:tcPr>
            <w:tcW w:w="13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w:t>
            </w:r>
          </w:p>
        </w:tc>
        <w:tc>
          <w:tcPr>
            <w:tcW w:w="13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7"/>
        <w:rPr>
          <w:rFonts w:ascii="Times New Roman" w:hAnsi="Times New Roman" w:cs="Times New Roman" w:eastAsia="Times New Roman" w:hint="default"/>
          <w:sz w:val="20"/>
          <w:szCs w:val="20"/>
        </w:rPr>
      </w:pPr>
    </w:p>
    <w:p>
      <w:pPr>
        <w:pStyle w:val="Heading2"/>
        <w:spacing w:line="240" w:lineRule="auto" w:before="26"/>
        <w:ind w:right="1117"/>
        <w:jc w:val="left"/>
        <w:rPr>
          <w:b w:val="0"/>
          <w:bCs w:val="0"/>
        </w:rPr>
      </w:pPr>
      <w:bookmarkStart w:name="二、证券发行与上市情况" w:id="111"/>
      <w:bookmarkEnd w:id="111"/>
      <w:r>
        <w:rPr>
          <w:b w:val="0"/>
          <w:bCs w:val="0"/>
        </w:rPr>
      </w:r>
      <w:r>
        <w:rPr/>
        <w:t>二、证券发行与上市情况</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1117"/>
        <w:jc w:val="left"/>
        <w:rPr>
          <w:b w:val="0"/>
          <w:bCs w:val="0"/>
        </w:rPr>
      </w:pPr>
      <w:bookmarkStart w:name="1、报告期内证券发行（不含优先股）情况" w:id="112"/>
      <w:bookmarkEnd w:id="112"/>
      <w:r>
        <w:rPr>
          <w:b w:val="0"/>
          <w:bCs w:val="0"/>
        </w:rPr>
      </w:r>
      <w:r>
        <w:rPr>
          <w:rFonts w:ascii="Times New Roman" w:hAnsi="Times New Roman" w:cs="Times New Roman" w:eastAsia="Times New Roman" w:hint="default"/>
        </w:rPr>
        <w:t>1</w:t>
      </w:r>
      <w:r>
        <w:rPr/>
        <w:t>、报告期内证券发行（不含优先股）情况</w:t>
      </w:r>
      <w:r>
        <w:rPr>
          <w:b w:val="0"/>
          <w:bCs w:val="0"/>
        </w:rPr>
      </w:r>
    </w:p>
    <w:p>
      <w:pPr>
        <w:spacing w:line="240" w:lineRule="auto" w:before="8"/>
        <w:rPr>
          <w:rFonts w:ascii="宋体" w:hAnsi="宋体" w:cs="宋体" w:eastAsia="宋体" w:hint="default"/>
          <w:b/>
          <w:bCs/>
          <w:sz w:val="26"/>
          <w:szCs w:val="26"/>
        </w:rPr>
      </w:pPr>
    </w:p>
    <w:p>
      <w:pPr>
        <w:spacing w:before="0"/>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适用</w:t>
      </w:r>
      <w:r>
        <w:rPr>
          <w:rFonts w:ascii="Times New Roman" w:hAnsi="Times New Roman" w:cs="Times New Roman" w:eastAsia="Times New Roman" w:hint="default"/>
          <w:sz w:val="18"/>
          <w:szCs w:val="18"/>
        </w:rPr>
        <w:t>√</w:t>
      </w:r>
      <w:r>
        <w:rPr>
          <w:rFonts w:ascii="宋体" w:hAnsi="宋体" w:cs="宋体" w:eastAsia="宋体" w:hint="default"/>
          <w:sz w:val="18"/>
          <w:szCs w:val="18"/>
        </w:rPr>
        <w:t>不适用</w:t>
      </w:r>
    </w:p>
    <w:p>
      <w:pPr>
        <w:spacing w:line="240" w:lineRule="auto" w:before="9"/>
        <w:rPr>
          <w:rFonts w:ascii="宋体" w:hAnsi="宋体" w:cs="宋体" w:eastAsia="宋体" w:hint="default"/>
          <w:sz w:val="25"/>
          <w:szCs w:val="25"/>
        </w:rPr>
      </w:pPr>
    </w:p>
    <w:p>
      <w:pPr>
        <w:pStyle w:val="Heading4"/>
        <w:spacing w:line="240" w:lineRule="auto"/>
        <w:ind w:right="1117"/>
        <w:jc w:val="left"/>
        <w:rPr>
          <w:b w:val="0"/>
          <w:bCs w:val="0"/>
        </w:rPr>
      </w:pPr>
      <w:bookmarkStart w:name="2、公司股份总数及股东结构的变动、公司资产和负债结构的变动情况说明" w:id="113"/>
      <w:bookmarkEnd w:id="113"/>
      <w:r>
        <w:rPr>
          <w:b w:val="0"/>
          <w:bCs w:val="0"/>
        </w:rPr>
      </w:r>
      <w:r>
        <w:rPr>
          <w:rFonts w:ascii="Times New Roman" w:hAnsi="Times New Roman" w:cs="Times New Roman" w:eastAsia="Times New Roman" w:hint="default"/>
        </w:rPr>
        <w:t>2</w:t>
      </w:r>
      <w:r>
        <w:rPr/>
        <w:t>、公司股份总数及股东结构的变动、公司资产和负债结构的变动情况说明</w:t>
      </w:r>
      <w:r>
        <w:rPr>
          <w:b w:val="0"/>
          <w:bCs w:val="0"/>
        </w:rPr>
      </w:r>
    </w:p>
    <w:p>
      <w:pPr>
        <w:spacing w:line="240" w:lineRule="auto" w:before="9"/>
        <w:rPr>
          <w:rFonts w:ascii="宋体" w:hAnsi="宋体" w:cs="宋体" w:eastAsia="宋体" w:hint="default"/>
          <w:b/>
          <w:bCs/>
          <w:sz w:val="26"/>
          <w:szCs w:val="26"/>
        </w:rPr>
      </w:pPr>
    </w:p>
    <w:p>
      <w:pPr>
        <w:spacing w:before="0"/>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适用</w:t>
      </w:r>
      <w:r>
        <w:rPr>
          <w:rFonts w:ascii="Times New Roman" w:hAnsi="Times New Roman" w:cs="Times New Roman" w:eastAsia="Times New Roman" w:hint="default"/>
          <w:sz w:val="18"/>
          <w:szCs w:val="18"/>
        </w:rPr>
        <w:t>□</w:t>
      </w:r>
      <w:r>
        <w:rPr>
          <w:rFonts w:ascii="宋体" w:hAnsi="宋体" w:cs="宋体" w:eastAsia="宋体" w:hint="default"/>
          <w:sz w:val="18"/>
          <w:szCs w:val="18"/>
        </w:rPr>
        <w:t>不适用</w:t>
      </w:r>
    </w:p>
    <w:p>
      <w:pPr>
        <w:pStyle w:val="BodyText"/>
        <w:spacing w:line="240" w:lineRule="auto" w:before="155"/>
        <w:ind w:left="577" w:right="1117"/>
        <w:jc w:val="left"/>
      </w:pPr>
      <w:r>
        <w:rPr>
          <w:rFonts w:ascii="Times New Roman" w:hAnsi="Times New Roman" w:cs="Times New Roman" w:eastAsia="Times New Roman" w:hint="default"/>
        </w:rPr>
        <w:t>1</w:t>
      </w:r>
      <w:r>
        <w:rPr/>
        <w:t>、公司股份变动</w:t>
      </w:r>
    </w:p>
    <w:p>
      <w:pPr>
        <w:pStyle w:val="BodyText"/>
        <w:spacing w:line="386" w:lineRule="auto" w:before="176"/>
        <w:ind w:right="1117" w:firstLine="423"/>
        <w:jc w:val="left"/>
      </w:pPr>
      <w:r>
        <w:rPr>
          <w:rFonts w:ascii="Times New Roman" w:hAnsi="Times New Roman" w:cs="Times New Roman" w:eastAsia="Times New Roman" w:hint="default"/>
        </w:rPr>
        <w:t>2018</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20</w:t>
      </w:r>
      <w:r>
        <w:rPr/>
        <w:t>日，公司</w:t>
      </w:r>
      <w:r>
        <w:rPr>
          <w:rFonts w:ascii="Times New Roman" w:hAnsi="Times New Roman" w:cs="Times New Roman" w:eastAsia="Times New Roman" w:hint="default"/>
        </w:rPr>
        <w:t>2017</w:t>
      </w:r>
      <w:r>
        <w:rPr/>
        <w:t>年度股东大会审议通过《</w:t>
      </w:r>
      <w:r>
        <w:rPr>
          <w:rFonts w:ascii="Times New Roman" w:hAnsi="Times New Roman" w:cs="Times New Roman" w:eastAsia="Times New Roman" w:hint="default"/>
        </w:rPr>
        <w:t>2017</w:t>
      </w:r>
      <w:r>
        <w:rPr/>
        <w:t>年度利润分配预案》，具体分配方案为：以 公司</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日总股本</w:t>
      </w:r>
      <w:r>
        <w:rPr>
          <w:rFonts w:ascii="Times New Roman" w:hAnsi="Times New Roman" w:cs="Times New Roman" w:eastAsia="Times New Roman" w:hint="default"/>
        </w:rPr>
        <w:t>335,000,000</w:t>
      </w:r>
      <w:r>
        <w:rPr/>
        <w:t>股为基数，向全体股东每</w:t>
      </w:r>
      <w:r>
        <w:rPr>
          <w:rFonts w:ascii="Times New Roman" w:hAnsi="Times New Roman" w:cs="Times New Roman" w:eastAsia="Times New Roman" w:hint="default"/>
        </w:rPr>
        <w:t>10</w:t>
      </w:r>
      <w:r>
        <w:rPr/>
        <w:t>股派发现金红利</w:t>
      </w:r>
      <w:r>
        <w:rPr>
          <w:rFonts w:ascii="Times New Roman" w:hAnsi="Times New Roman" w:cs="Times New Roman" w:eastAsia="Times New Roman" w:hint="default"/>
        </w:rPr>
        <w:t>1.60</w:t>
      </w:r>
      <w:r>
        <w:rPr/>
        <w:t>元（含税），共计</w:t>
      </w:r>
    </w:p>
    <w:p>
      <w:pPr>
        <w:spacing w:after="0" w:line="386" w:lineRule="auto"/>
        <w:jc w:val="left"/>
        <w:sectPr>
          <w:pgSz w:w="11910" w:h="16840"/>
          <w:pgMar w:header="877" w:footer="979" w:top="1100" w:bottom="1160" w:left="980" w:right="0"/>
        </w:sectPr>
      </w:pPr>
    </w:p>
    <w:p>
      <w:pPr>
        <w:spacing w:line="240" w:lineRule="auto" w:before="8"/>
        <w:rPr>
          <w:rFonts w:ascii="宋体" w:hAnsi="宋体" w:cs="宋体" w:eastAsia="宋体" w:hint="default"/>
          <w:sz w:val="26"/>
          <w:szCs w:val="26"/>
        </w:rPr>
      </w:pPr>
    </w:p>
    <w:p>
      <w:pPr>
        <w:pStyle w:val="BodyText"/>
        <w:spacing w:line="386" w:lineRule="auto" w:before="35"/>
        <w:ind w:right="1132"/>
        <w:jc w:val="both"/>
      </w:pPr>
      <w:r>
        <w:rPr>
          <w:spacing w:val="-4"/>
        </w:rPr>
        <w:t>派发现金红利</w:t>
      </w:r>
      <w:r>
        <w:rPr>
          <w:rFonts w:ascii="Times New Roman" w:hAnsi="Times New Roman" w:cs="Times New Roman" w:eastAsia="Times New Roman" w:hint="default"/>
          <w:spacing w:val="-4"/>
        </w:rPr>
        <w:t>53,600,000.00</w:t>
      </w:r>
      <w:r>
        <w:rPr>
          <w:spacing w:val="-4"/>
        </w:rPr>
        <w:t>（含税），送红股</w:t>
      </w:r>
      <w:r>
        <w:rPr>
          <w:rFonts w:ascii="Times New Roman" w:hAnsi="Times New Roman" w:cs="Times New Roman" w:eastAsia="Times New Roman" w:hint="default"/>
          <w:spacing w:val="-4"/>
        </w:rPr>
        <w:t>0</w:t>
      </w:r>
      <w:r>
        <w:rPr>
          <w:spacing w:val="-4"/>
        </w:rPr>
        <w:t>股（含税），以资本公积金向全体股东每</w:t>
      </w:r>
      <w:r>
        <w:rPr>
          <w:rFonts w:ascii="Times New Roman" w:hAnsi="Times New Roman" w:cs="Times New Roman" w:eastAsia="Times New Roman" w:hint="default"/>
          <w:spacing w:val="-4"/>
        </w:rPr>
        <w:t>10</w:t>
      </w:r>
      <w:r>
        <w:rPr>
          <w:spacing w:val="-4"/>
        </w:rPr>
        <w:t>股转增</w:t>
      </w:r>
      <w:r>
        <w:rPr>
          <w:rFonts w:ascii="Times New Roman" w:hAnsi="Times New Roman" w:cs="Times New Roman" w:eastAsia="Times New Roman" w:hint="default"/>
          <w:spacing w:val="-4"/>
        </w:rPr>
        <w:t>8</w:t>
      </w:r>
      <w:r>
        <w:rPr>
          <w:spacing w:val="-4"/>
        </w:rPr>
        <w:t>股。</w:t>
      </w:r>
      <w:r>
        <w:rPr>
          <w:rFonts w:ascii="Times New Roman" w:hAnsi="Times New Roman" w:cs="Times New Roman" w:eastAsia="Times New Roman" w:hint="default"/>
          <w:spacing w:val="-4"/>
        </w:rPr>
        <w:t>2017</w:t>
      </w:r>
      <w:r>
        <w:rPr>
          <w:rFonts w:ascii="Times New Roman" w:hAnsi="Times New Roman" w:cs="Times New Roman" w:eastAsia="Times New Roman" w:hint="default"/>
          <w:spacing w:val="-12"/>
        </w:rPr>
        <w:t> </w:t>
      </w:r>
      <w:r>
        <w:rPr/>
        <w:t>年度利润分配方案于</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5</w:t>
      </w:r>
      <w:r>
        <w:rPr/>
        <w:t>月</w:t>
      </w:r>
      <w:r>
        <w:rPr>
          <w:rFonts w:ascii="Times New Roman" w:hAnsi="Times New Roman" w:cs="Times New Roman" w:eastAsia="Times New Roman" w:hint="default"/>
        </w:rPr>
        <w:t>4</w:t>
      </w:r>
      <w:r>
        <w:rPr/>
        <w:t>日实施完毕，实施后公司的股份总数增加至</w:t>
      </w:r>
      <w:r>
        <w:rPr>
          <w:rFonts w:ascii="Times New Roman" w:hAnsi="Times New Roman" w:cs="Times New Roman" w:eastAsia="Times New Roman" w:hint="default"/>
        </w:rPr>
        <w:t>603,000,000</w:t>
      </w:r>
      <w:r>
        <w:rPr/>
        <w:t>股。</w:t>
      </w:r>
    </w:p>
    <w:p>
      <w:pPr>
        <w:pStyle w:val="BodyText"/>
        <w:spacing w:line="240" w:lineRule="auto" w:before="35"/>
        <w:ind w:left="577" w:right="1117"/>
        <w:jc w:val="left"/>
      </w:pPr>
      <w:r>
        <w:rPr>
          <w:rFonts w:ascii="Times New Roman" w:hAnsi="Times New Roman" w:cs="Times New Roman" w:eastAsia="Times New Roman" w:hint="default"/>
        </w:rPr>
        <w:t>2018</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10</w:t>
      </w:r>
      <w:r>
        <w:rPr/>
        <w:t>日召开的</w:t>
      </w:r>
      <w:r>
        <w:rPr>
          <w:rFonts w:ascii="Times New Roman" w:hAnsi="Times New Roman" w:cs="Times New Roman" w:eastAsia="Times New Roman" w:hint="default"/>
        </w:rPr>
        <w:t>2017</w:t>
      </w:r>
      <w:r>
        <w:rPr/>
        <w:t>年年度股东大会审议通过公司</w:t>
      </w:r>
      <w:r>
        <w:rPr>
          <w:rFonts w:ascii="Times New Roman" w:hAnsi="Times New Roman" w:cs="Times New Roman" w:eastAsia="Times New Roman" w:hint="default"/>
        </w:rPr>
        <w:t>2017</w:t>
      </w:r>
      <w:r>
        <w:rPr/>
        <w:t>年年度权益分派方案为：以截止</w:t>
      </w:r>
      <w:r>
        <w:rPr>
          <w:rFonts w:ascii="Times New Roman" w:hAnsi="Times New Roman" w:cs="Times New Roman" w:eastAsia="Times New Roman" w:hint="default"/>
        </w:rPr>
        <w:t>2017</w:t>
      </w:r>
      <w:r>
        <w:rPr/>
        <w:t>年</w:t>
      </w:r>
    </w:p>
    <w:p>
      <w:pPr>
        <w:pStyle w:val="BodyText"/>
        <w:spacing w:line="386" w:lineRule="auto" w:before="177"/>
        <w:ind w:right="1132"/>
        <w:jc w:val="both"/>
      </w:pPr>
      <w:r>
        <w:rPr>
          <w:rFonts w:ascii="Times New Roman" w:hAnsi="Times New Roman" w:cs="Times New Roman" w:eastAsia="Times New Roman" w:hint="default"/>
          <w:spacing w:val="-2"/>
        </w:rPr>
        <w:t>12</w:t>
      </w:r>
      <w:r>
        <w:rPr>
          <w:spacing w:val="-2"/>
        </w:rPr>
        <w:t>月</w:t>
      </w:r>
      <w:r>
        <w:rPr>
          <w:rFonts w:ascii="Times New Roman" w:hAnsi="Times New Roman" w:cs="Times New Roman" w:eastAsia="Times New Roman" w:hint="default"/>
          <w:spacing w:val="-2"/>
        </w:rPr>
        <w:t>31</w:t>
      </w:r>
      <w:r>
        <w:rPr>
          <w:spacing w:val="-2"/>
        </w:rPr>
        <w:t>日公司总股本</w:t>
      </w:r>
      <w:r>
        <w:rPr>
          <w:rFonts w:ascii="Times New Roman" w:hAnsi="Times New Roman" w:cs="Times New Roman" w:eastAsia="Times New Roman" w:hint="default"/>
          <w:spacing w:val="-2"/>
        </w:rPr>
        <w:t>324,475,501</w:t>
      </w:r>
      <w:r>
        <w:rPr>
          <w:spacing w:val="-2"/>
        </w:rPr>
        <w:t>股为基数，向全体股东每</w:t>
      </w:r>
      <w:r>
        <w:rPr>
          <w:rFonts w:ascii="Times New Roman" w:hAnsi="Times New Roman" w:cs="Times New Roman" w:eastAsia="Times New Roman" w:hint="default"/>
          <w:spacing w:val="-2"/>
        </w:rPr>
        <w:t>10</w:t>
      </w:r>
      <w:r>
        <w:rPr>
          <w:spacing w:val="-2"/>
        </w:rPr>
        <w:t>股派发现金</w:t>
      </w:r>
      <w:r>
        <w:rPr>
          <w:rFonts w:ascii="Times New Roman" w:hAnsi="Times New Roman" w:cs="Times New Roman" w:eastAsia="Times New Roman" w:hint="default"/>
          <w:spacing w:val="-2"/>
        </w:rPr>
        <w:t>0.6</w:t>
      </w:r>
      <w:r>
        <w:rPr>
          <w:spacing w:val="-2"/>
        </w:rPr>
        <w:t>元人民币（含税），合计派发现</w:t>
      </w:r>
      <w:r>
        <w:rPr>
          <w:spacing w:val="-75"/>
        </w:rPr>
        <w:t> </w:t>
      </w:r>
      <w:r>
        <w:rPr>
          <w:spacing w:val="-75"/>
        </w:rPr>
      </w:r>
      <w:r>
        <w:rPr>
          <w:spacing w:val="6"/>
        </w:rPr>
        <w:t>金股利为人民币</w:t>
      </w:r>
      <w:r>
        <w:rPr>
          <w:rFonts w:ascii="Times New Roman" w:hAnsi="Times New Roman" w:cs="Times New Roman" w:eastAsia="Times New Roman" w:hint="default"/>
          <w:spacing w:val="6"/>
        </w:rPr>
        <w:t>19,468,530.06</w:t>
      </w:r>
      <w:r>
        <w:rPr>
          <w:spacing w:val="6"/>
        </w:rPr>
        <w:t>元（含税）。同时，以资本公积金向全体股东每</w:t>
      </w:r>
      <w:r>
        <w:rPr>
          <w:rFonts w:ascii="Times New Roman" w:hAnsi="Times New Roman" w:cs="Times New Roman" w:eastAsia="Times New Roman" w:hint="default"/>
          <w:spacing w:val="6"/>
        </w:rPr>
        <w:t>10</w:t>
      </w:r>
      <w:r>
        <w:rPr>
          <w:spacing w:val="6"/>
        </w:rPr>
        <w:t>股转增</w:t>
      </w:r>
      <w:r>
        <w:rPr>
          <w:rFonts w:ascii="Times New Roman" w:hAnsi="Times New Roman" w:cs="Times New Roman" w:eastAsia="Times New Roman" w:hint="default"/>
          <w:spacing w:val="6"/>
        </w:rPr>
        <w:t>5</w:t>
      </w:r>
      <w:r>
        <w:rPr>
          <w:spacing w:val="6"/>
        </w:rPr>
        <w:t>股，共计转增</w:t>
      </w:r>
      <w:r>
        <w:rPr>
          <w:spacing w:val="-92"/>
        </w:rPr>
        <w:t> </w:t>
      </w:r>
      <w:r>
        <w:rPr>
          <w:spacing w:val="-92"/>
        </w:rPr>
      </w:r>
      <w:r>
        <w:rPr>
          <w:rFonts w:ascii="Times New Roman" w:hAnsi="Times New Roman" w:cs="Times New Roman" w:eastAsia="Times New Roman" w:hint="default"/>
        </w:rPr>
        <w:t>162,237,751</w:t>
      </w:r>
      <w:r>
        <w:rPr/>
        <w:t>股，转增后公司总股本增加至</w:t>
      </w:r>
      <w:r>
        <w:rPr>
          <w:rFonts w:ascii="Times New Roman" w:hAnsi="Times New Roman" w:cs="Times New Roman" w:eastAsia="Times New Roman" w:hint="default"/>
        </w:rPr>
        <w:t>486,713,252</w:t>
      </w:r>
      <w:r>
        <w:rPr/>
        <w:t>股。</w:t>
      </w:r>
    </w:p>
    <w:p>
      <w:pPr>
        <w:pStyle w:val="BodyText"/>
        <w:spacing w:line="386" w:lineRule="auto" w:before="35"/>
        <w:ind w:right="1126" w:firstLine="423"/>
        <w:jc w:val="both"/>
      </w:pPr>
      <w:r>
        <w:rPr/>
        <w:t>公司权益分派方案经股东大会审议通过后，公司回购注销了</w:t>
      </w:r>
      <w:r>
        <w:rPr>
          <w:rFonts w:ascii="Times New Roman" w:hAnsi="Times New Roman" w:cs="Times New Roman" w:eastAsia="Times New Roman" w:hint="default"/>
        </w:rPr>
        <w:t>445</w:t>
      </w:r>
      <w:r>
        <w:rPr/>
        <w:t>名限制性股票激励对象已获授但尚未 </w:t>
      </w:r>
      <w:r>
        <w:rPr>
          <w:spacing w:val="-1"/>
        </w:rPr>
        <w:t>解锁的限制性股票共计</w:t>
      </w:r>
      <w:r>
        <w:rPr>
          <w:rFonts w:ascii="Times New Roman" w:hAnsi="Times New Roman" w:cs="Times New Roman" w:eastAsia="Times New Roman" w:hint="default"/>
          <w:spacing w:val="-1"/>
        </w:rPr>
        <w:t>5,620,740</w:t>
      </w:r>
      <w:r>
        <w:rPr>
          <w:spacing w:val="-1"/>
        </w:rPr>
        <w:t>股。基于前述因素，截至</w:t>
      </w:r>
      <w:r>
        <w:rPr>
          <w:rFonts w:ascii="Times New Roman" w:hAnsi="Times New Roman" w:cs="Times New Roman" w:eastAsia="Times New Roman" w:hint="default"/>
          <w:spacing w:val="-1"/>
        </w:rPr>
        <w:t>2018</w:t>
      </w:r>
      <w:r>
        <w:rPr>
          <w:spacing w:val="-1"/>
        </w:rPr>
        <w:t>年</w:t>
      </w:r>
      <w:r>
        <w:rPr>
          <w:rFonts w:ascii="Times New Roman" w:hAnsi="Times New Roman" w:cs="Times New Roman" w:eastAsia="Times New Roman" w:hint="default"/>
          <w:spacing w:val="-1"/>
        </w:rPr>
        <w:t>5</w:t>
      </w:r>
      <w:r>
        <w:rPr>
          <w:spacing w:val="-1"/>
        </w:rPr>
        <w:t>月</w:t>
      </w:r>
      <w:r>
        <w:rPr>
          <w:rFonts w:ascii="Times New Roman" w:hAnsi="Times New Roman" w:cs="Times New Roman" w:eastAsia="Times New Roman" w:hint="default"/>
          <w:spacing w:val="-1"/>
        </w:rPr>
        <w:t>7</w:t>
      </w:r>
      <w:r>
        <w:rPr>
          <w:spacing w:val="-1"/>
        </w:rPr>
        <w:t>日，公司总股本由</w:t>
      </w:r>
      <w:r>
        <w:rPr>
          <w:rFonts w:ascii="Times New Roman" w:hAnsi="Times New Roman" w:cs="Times New Roman" w:eastAsia="Times New Roman" w:hint="default"/>
          <w:spacing w:val="-1"/>
        </w:rPr>
        <w:t>324,475,501</w:t>
      </w:r>
      <w:r>
        <w:rPr>
          <w:spacing w:val="-1"/>
        </w:rPr>
        <w:t>股减少</w:t>
      </w:r>
      <w:r>
        <w:rPr>
          <w:spacing w:val="-72"/>
        </w:rPr>
        <w:t> </w:t>
      </w:r>
      <w:r>
        <w:rPr>
          <w:spacing w:val="-72"/>
        </w:rPr>
      </w:r>
      <w:r>
        <w:rPr>
          <w:spacing w:val="-1"/>
        </w:rPr>
        <w:t>至</w:t>
      </w:r>
      <w:r>
        <w:rPr>
          <w:rFonts w:ascii="Times New Roman" w:hAnsi="Times New Roman" w:cs="Times New Roman" w:eastAsia="Times New Roman" w:hint="default"/>
          <w:spacing w:val="-1"/>
        </w:rPr>
        <w:t>318,854,761</w:t>
      </w:r>
      <w:r>
        <w:rPr>
          <w:spacing w:val="-1"/>
        </w:rPr>
        <w:t>股。根据《深圳证券交易所创业板上市公司规范运作指引》的相关规定，分配方案公布后至</w:t>
      </w:r>
      <w:r>
        <w:rPr>
          <w:spacing w:val="-81"/>
        </w:rPr>
        <w:t> </w:t>
      </w:r>
      <w:r>
        <w:rPr>
          <w:spacing w:val="-81"/>
        </w:rPr>
      </w:r>
      <w:r>
        <w:rPr>
          <w:spacing w:val="2"/>
        </w:rPr>
        <w:t>实施前，公司总股本由于增发新股、股权激励行权、可转债转股等原因发生变动的，应当按照</w:t>
      </w:r>
      <w:r>
        <w:rPr>
          <w:rFonts w:ascii="Times New Roman" w:hAnsi="Times New Roman" w:cs="Times New Roman" w:eastAsia="Times New Roman" w:hint="default"/>
          <w:spacing w:val="2"/>
        </w:rPr>
        <w:t>“</w:t>
      </w:r>
      <w:r>
        <w:rPr>
          <w:spacing w:val="2"/>
        </w:rPr>
        <w:t>现金分红</w:t>
      </w:r>
      <w:r>
        <w:rPr>
          <w:spacing w:val="-103"/>
        </w:rPr>
        <w:t> </w:t>
      </w:r>
      <w:r>
        <w:rPr/>
        <w:t>总额、送红股总额、转增股本总额固定不变</w:t>
      </w:r>
      <w:r>
        <w:rPr>
          <w:rFonts w:ascii="Times New Roman" w:hAnsi="Times New Roman" w:cs="Times New Roman" w:eastAsia="Times New Roman" w:hint="default"/>
        </w:rPr>
        <w:t>”</w:t>
      </w:r>
      <w:r>
        <w:rPr/>
        <w:t>的原则，在权益分派实施公告中披露按公司最新总股本计算</w:t>
      </w:r>
      <w:r>
        <w:rPr>
          <w:spacing w:val="-21"/>
        </w:rPr>
        <w:t> </w:t>
      </w:r>
      <w:r>
        <w:rPr>
          <w:spacing w:val="-21"/>
        </w:rPr>
      </w:r>
      <w:r>
        <w:rPr/>
        <w:t>的分配比例。</w:t>
      </w:r>
    </w:p>
    <w:p>
      <w:pPr>
        <w:pStyle w:val="BodyText"/>
        <w:spacing w:line="386" w:lineRule="auto" w:before="65"/>
        <w:ind w:right="1126" w:firstLine="423"/>
        <w:jc w:val="both"/>
      </w:pPr>
      <w:r>
        <w:rPr>
          <w:spacing w:val="-1"/>
        </w:rPr>
        <w:t>因此，公司按最新股本计算的</w:t>
      </w:r>
      <w:r>
        <w:rPr>
          <w:rFonts w:ascii="Times New Roman" w:hAnsi="Times New Roman" w:cs="Times New Roman" w:eastAsia="Times New Roman" w:hint="default"/>
          <w:spacing w:val="-1"/>
        </w:rPr>
        <w:t>2017</w:t>
      </w:r>
      <w:r>
        <w:rPr>
          <w:spacing w:val="-1"/>
        </w:rPr>
        <w:t>年年度权益分派方案为：以公司总股本</w:t>
      </w:r>
      <w:r>
        <w:rPr>
          <w:rFonts w:ascii="Times New Roman" w:hAnsi="Times New Roman" w:cs="Times New Roman" w:eastAsia="Times New Roman" w:hint="default"/>
          <w:spacing w:val="-1"/>
        </w:rPr>
        <w:t>318,854,761</w:t>
      </w:r>
      <w:r>
        <w:rPr>
          <w:spacing w:val="-1"/>
        </w:rPr>
        <w:t>股为基数，向全</w:t>
      </w:r>
      <w:r>
        <w:rPr/>
        <w:t> 体股东每</w:t>
      </w:r>
      <w:r>
        <w:rPr>
          <w:rFonts w:ascii="Times New Roman" w:hAnsi="Times New Roman" w:cs="Times New Roman" w:eastAsia="Times New Roman" w:hint="default"/>
        </w:rPr>
        <w:t>10</w:t>
      </w:r>
      <w:r>
        <w:rPr/>
        <w:t>股派</w:t>
      </w:r>
      <w:r>
        <w:rPr>
          <w:rFonts w:ascii="Times New Roman" w:hAnsi="Times New Roman" w:cs="Times New Roman" w:eastAsia="Times New Roman" w:hint="default"/>
        </w:rPr>
        <w:t>0.610576</w:t>
      </w:r>
      <w:r>
        <w:rPr/>
        <w:t>元人民币现金，同时，以以资本公积金向全体股东每</w:t>
      </w:r>
      <w:r>
        <w:rPr>
          <w:rFonts w:ascii="Times New Roman" w:hAnsi="Times New Roman" w:cs="Times New Roman" w:eastAsia="Times New Roman" w:hint="default"/>
        </w:rPr>
        <w:t>10</w:t>
      </w:r>
      <w:r>
        <w:rPr/>
        <w:t>股转增</w:t>
      </w:r>
      <w:r>
        <w:rPr>
          <w:rFonts w:ascii="Times New Roman" w:hAnsi="Times New Roman" w:cs="Times New Roman" w:eastAsia="Times New Roman" w:hint="default"/>
        </w:rPr>
        <w:t>5.088139</w:t>
      </w:r>
      <w:r>
        <w:rPr/>
        <w:t>股。分红</w:t>
      </w:r>
      <w:r>
        <w:rPr>
          <w:spacing w:val="-26"/>
        </w:rPr>
        <w:t> </w:t>
      </w:r>
      <w:r>
        <w:rPr/>
        <w:t>后总股本增至</w:t>
      </w:r>
      <w:r>
        <w:rPr>
          <w:rFonts w:ascii="Times New Roman" w:hAnsi="Times New Roman" w:cs="Times New Roman" w:eastAsia="Times New Roman" w:hint="default"/>
        </w:rPr>
        <w:t>481,092,495</w:t>
      </w:r>
      <w:r>
        <w:rPr/>
        <w:t>股。</w:t>
      </w:r>
    </w:p>
    <w:p>
      <w:pPr>
        <w:pStyle w:val="BodyText"/>
        <w:spacing w:line="386" w:lineRule="auto" w:before="36"/>
        <w:ind w:left="577" w:right="1113"/>
        <w:jc w:val="left"/>
      </w:pPr>
      <w:r>
        <w:rPr>
          <w:rFonts w:ascii="Times New Roman" w:hAnsi="Times New Roman" w:cs="Times New Roman" w:eastAsia="Times New Roman" w:hint="default"/>
        </w:rPr>
        <w:t>2</w:t>
      </w:r>
      <w:r>
        <w:rPr/>
        <w:t>、股东结构变动 公司于</w:t>
      </w:r>
      <w:r>
        <w:rPr>
          <w:rFonts w:ascii="Times New Roman" w:hAnsi="Times New Roman" w:cs="Times New Roman" w:eastAsia="Times New Roman" w:hint="default"/>
        </w:rPr>
        <w:t>2015</w:t>
      </w:r>
      <w:r>
        <w:rPr/>
        <w:t>年</w:t>
      </w:r>
      <w:r>
        <w:rPr>
          <w:rFonts w:ascii="Times New Roman" w:hAnsi="Times New Roman" w:cs="Times New Roman" w:eastAsia="Times New Roman" w:hint="default"/>
        </w:rPr>
        <w:t>7</w:t>
      </w:r>
      <w:r>
        <w:rPr/>
        <w:t>月</w:t>
      </w:r>
      <w:r>
        <w:rPr>
          <w:rFonts w:ascii="Times New Roman" w:hAnsi="Times New Roman" w:cs="Times New Roman" w:eastAsia="Times New Roman" w:hint="default"/>
        </w:rPr>
        <w:t>2</w:t>
      </w:r>
      <w:r>
        <w:rPr/>
        <w:t>日收到中国证券监督管理委员会（以下简称</w:t>
      </w:r>
      <w:r>
        <w:rPr>
          <w:rFonts w:ascii="Times New Roman" w:hAnsi="Times New Roman" w:cs="Times New Roman" w:eastAsia="Times New Roman" w:hint="default"/>
        </w:rPr>
        <w:t>“</w:t>
      </w:r>
      <w:r>
        <w:rPr/>
        <w:t>中国证监会</w:t>
      </w:r>
      <w:r>
        <w:rPr>
          <w:rFonts w:ascii="Times New Roman" w:hAnsi="Times New Roman" w:cs="Times New Roman" w:eastAsia="Times New Roman" w:hint="default"/>
        </w:rPr>
        <w:t>”</w:t>
      </w:r>
      <w:r>
        <w:rPr/>
        <w:t>）核发的《关于核准新开</w:t>
      </w:r>
    </w:p>
    <w:p>
      <w:pPr>
        <w:pStyle w:val="BodyText"/>
        <w:spacing w:line="386" w:lineRule="auto" w:before="35"/>
        <w:ind w:right="1129"/>
        <w:jc w:val="both"/>
      </w:pPr>
      <w:r>
        <w:rPr>
          <w:spacing w:val="-5"/>
        </w:rPr>
        <w:t>普电子股份有限公司向刘永春等发行股份购买资产并募集配套资金的批复》（证监许可【</w:t>
      </w:r>
      <w:r>
        <w:rPr>
          <w:rFonts w:ascii="Times New Roman" w:hAnsi="Times New Roman" w:cs="Times New Roman" w:eastAsia="Times New Roman" w:hint="default"/>
          <w:spacing w:val="-5"/>
        </w:rPr>
        <w:t>2015</w:t>
      </w:r>
      <w:r>
        <w:rPr>
          <w:spacing w:val="-5"/>
        </w:rPr>
        <w:t>】</w:t>
      </w:r>
      <w:r>
        <w:rPr>
          <w:rFonts w:ascii="Times New Roman" w:hAnsi="Times New Roman" w:cs="Times New Roman" w:eastAsia="Times New Roman" w:hint="default"/>
          <w:spacing w:val="-5"/>
        </w:rPr>
        <w:t>1417</w:t>
      </w:r>
      <w:r>
        <w:rPr>
          <w:spacing w:val="-5"/>
        </w:rPr>
        <w:t>号），</w:t>
      </w:r>
      <w:r>
        <w:rPr>
          <w:spacing w:val="-81"/>
        </w:rPr>
        <w:t> </w:t>
      </w:r>
      <w:r>
        <w:rPr>
          <w:spacing w:val="-81"/>
        </w:rPr>
      </w:r>
      <w:r>
        <w:rPr>
          <w:spacing w:val="-2"/>
        </w:rPr>
        <w:t>核准公司向刘永春发行</w:t>
      </w:r>
      <w:r>
        <w:rPr>
          <w:rFonts w:ascii="Times New Roman" w:hAnsi="Times New Roman" w:cs="Times New Roman" w:eastAsia="Times New Roman" w:hint="default"/>
          <w:spacing w:val="-2"/>
        </w:rPr>
        <w:t>5,064,220</w:t>
      </w:r>
      <w:r>
        <w:rPr>
          <w:spacing w:val="-2"/>
        </w:rPr>
        <w:t>股股份、向丛伟滋发行</w:t>
      </w:r>
      <w:r>
        <w:rPr>
          <w:rFonts w:ascii="Times New Roman" w:hAnsi="Times New Roman" w:cs="Times New Roman" w:eastAsia="Times New Roman" w:hint="default"/>
          <w:spacing w:val="-2"/>
        </w:rPr>
        <w:t>5,064,220</w:t>
      </w:r>
      <w:r>
        <w:rPr>
          <w:spacing w:val="-2"/>
        </w:rPr>
        <w:t>股股份、向李洪发行</w:t>
      </w:r>
      <w:r>
        <w:rPr>
          <w:rFonts w:ascii="Times New Roman" w:hAnsi="Times New Roman" w:cs="Times New Roman" w:eastAsia="Times New Roman" w:hint="default"/>
          <w:spacing w:val="-2"/>
        </w:rPr>
        <w:t>220,183</w:t>
      </w:r>
      <w:r>
        <w:rPr>
          <w:spacing w:val="-2"/>
        </w:rPr>
        <w:t>股股份、向熊</w:t>
      </w:r>
      <w:r>
        <w:rPr>
          <w:spacing w:val="-67"/>
        </w:rPr>
        <w:t> </w:t>
      </w:r>
      <w:r>
        <w:rPr>
          <w:spacing w:val="-67"/>
        </w:rPr>
      </w:r>
      <w:r>
        <w:rPr/>
        <w:t>小洪发行</w:t>
      </w:r>
      <w:r>
        <w:rPr>
          <w:rFonts w:ascii="Times New Roman" w:hAnsi="Times New Roman" w:cs="Times New Roman" w:eastAsia="Times New Roman" w:hint="default"/>
        </w:rPr>
        <w:t>220,183</w:t>
      </w:r>
      <w:r>
        <w:rPr/>
        <w:t>股股份、向白海清发行</w:t>
      </w:r>
      <w:r>
        <w:rPr>
          <w:rFonts w:ascii="Times New Roman" w:hAnsi="Times New Roman" w:cs="Times New Roman" w:eastAsia="Times New Roman" w:hint="default"/>
        </w:rPr>
        <w:t>220,183</w:t>
      </w:r>
      <w:r>
        <w:rPr/>
        <w:t>股股份、向黄暂度发行</w:t>
      </w:r>
      <w:r>
        <w:rPr>
          <w:rFonts w:ascii="Times New Roman" w:hAnsi="Times New Roman" w:cs="Times New Roman" w:eastAsia="Times New Roman" w:hint="default"/>
        </w:rPr>
        <w:t>220,183</w:t>
      </w:r>
      <w:r>
        <w:rPr/>
        <w:t>股股份购买北京迪科远望科</w:t>
      </w:r>
      <w:r>
        <w:rPr>
          <w:spacing w:val="-81"/>
        </w:rPr>
        <w:t> </w:t>
      </w:r>
      <w:r>
        <w:rPr>
          <w:spacing w:val="-81"/>
        </w:rPr>
      </w:r>
      <w:r>
        <w:rPr>
          <w:spacing w:val="-2"/>
        </w:rPr>
        <w:t>技有限公司（前身为北京迪科远望科技股份有限公司，以下简称</w:t>
      </w:r>
      <w:r>
        <w:rPr>
          <w:rFonts w:ascii="Times New Roman" w:hAnsi="Times New Roman" w:cs="Times New Roman" w:eastAsia="Times New Roman" w:hint="default"/>
          <w:spacing w:val="-2"/>
        </w:rPr>
        <w:t>“</w:t>
      </w:r>
      <w:r>
        <w:rPr>
          <w:spacing w:val="-2"/>
        </w:rPr>
        <w:t>迪科远望</w:t>
      </w:r>
      <w:r>
        <w:rPr>
          <w:rFonts w:ascii="Times New Roman" w:hAnsi="Times New Roman" w:cs="Times New Roman" w:eastAsia="Times New Roman" w:hint="default"/>
          <w:spacing w:val="-2"/>
        </w:rPr>
        <w:t>”</w:t>
      </w:r>
      <w:r>
        <w:rPr>
          <w:spacing w:val="-2"/>
        </w:rPr>
        <w:t>）</w:t>
      </w:r>
      <w:r>
        <w:rPr>
          <w:rFonts w:ascii="Times New Roman" w:hAnsi="Times New Roman" w:cs="Times New Roman" w:eastAsia="Times New Roman" w:hint="default"/>
          <w:spacing w:val="-2"/>
        </w:rPr>
        <w:t>100%</w:t>
      </w:r>
      <w:r>
        <w:rPr>
          <w:spacing w:val="-2"/>
        </w:rPr>
        <w:t>股权。同时核准公司非</w:t>
      </w:r>
      <w:r>
        <w:rPr>
          <w:spacing w:val="-76"/>
        </w:rPr>
        <w:t> </w:t>
      </w:r>
      <w:r>
        <w:rPr>
          <w:spacing w:val="-76"/>
        </w:rPr>
      </w:r>
      <w:r>
        <w:rPr/>
        <w:t>公开发行不超过</w:t>
      </w:r>
      <w:r>
        <w:rPr>
          <w:rFonts w:ascii="Times New Roman" w:hAnsi="Times New Roman" w:cs="Times New Roman" w:eastAsia="Times New Roman" w:hint="default"/>
        </w:rPr>
        <w:t>5,645,729</w:t>
      </w:r>
      <w:r>
        <w:rPr/>
        <w:t>股新股募集本次发行股份购买资产的配套资金。</w:t>
      </w:r>
    </w:p>
    <w:p>
      <w:pPr>
        <w:pStyle w:val="BodyText"/>
        <w:spacing w:line="386" w:lineRule="auto" w:before="35"/>
        <w:ind w:right="1132" w:firstLine="423"/>
        <w:jc w:val="both"/>
      </w:pP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10</w:t>
      </w:r>
      <w:r>
        <w:rPr/>
        <w:t>月</w:t>
      </w:r>
      <w:r>
        <w:rPr>
          <w:rFonts w:ascii="Times New Roman" w:hAnsi="Times New Roman" w:cs="Times New Roman" w:eastAsia="Times New Roman" w:hint="default"/>
        </w:rPr>
        <w:t>9</w:t>
      </w:r>
      <w:r>
        <w:rPr/>
        <w:t>日解除限售的股份为公司发行股份及支付现金购买迪科远望</w:t>
      </w:r>
      <w:r>
        <w:rPr>
          <w:rFonts w:ascii="Times New Roman" w:hAnsi="Times New Roman" w:cs="Times New Roman" w:eastAsia="Times New Roman" w:hint="default"/>
        </w:rPr>
        <w:t>100%</w:t>
      </w:r>
      <w:r>
        <w:rPr/>
        <w:t>股权并募集配套资金中 配套融资认购对象郑州佳辰企业管理咨询中心（有限合伙）（以下简称</w:t>
      </w:r>
      <w:r>
        <w:rPr>
          <w:rFonts w:ascii="Times New Roman" w:hAnsi="Times New Roman" w:cs="Times New Roman" w:eastAsia="Times New Roman" w:hint="default"/>
        </w:rPr>
        <w:t>“</w:t>
      </w:r>
      <w:r>
        <w:rPr/>
        <w:t>郑州佳辰</w:t>
      </w:r>
      <w:r>
        <w:rPr>
          <w:rFonts w:ascii="Times New Roman" w:hAnsi="Times New Roman" w:cs="Times New Roman" w:eastAsia="Times New Roman" w:hint="default"/>
        </w:rPr>
        <w:t>”</w:t>
      </w:r>
      <w:r>
        <w:rPr/>
        <w:t>）、罗会军、柳楠、吴 凤辉合计持有的公司股份</w:t>
      </w:r>
      <w:r>
        <w:rPr>
          <w:rFonts w:ascii="Times New Roman" w:hAnsi="Times New Roman" w:cs="Times New Roman" w:eastAsia="Times New Roman" w:hint="default"/>
        </w:rPr>
        <w:t>5,645,729</w:t>
      </w:r>
      <w:r>
        <w:rPr/>
        <w:t>股。</w:t>
      </w:r>
    </w:p>
    <w:p>
      <w:pPr>
        <w:pStyle w:val="BodyText"/>
        <w:spacing w:line="240" w:lineRule="auto" w:before="35"/>
        <w:ind w:left="577" w:right="1117"/>
        <w:jc w:val="left"/>
      </w:pPr>
      <w:r>
        <w:rPr>
          <w:rFonts w:ascii="Times New Roman" w:hAnsi="Times New Roman" w:cs="Times New Roman" w:eastAsia="Times New Roman" w:hint="default"/>
        </w:rPr>
        <w:t>2018</w:t>
      </w:r>
      <w:r>
        <w:rPr/>
        <w:t>年</w:t>
      </w:r>
      <w:r>
        <w:rPr>
          <w:rFonts w:ascii="Times New Roman" w:hAnsi="Times New Roman" w:cs="Times New Roman" w:eastAsia="Times New Roman" w:hint="default"/>
        </w:rPr>
        <w:t>5</w:t>
      </w:r>
      <w:r>
        <w:rPr/>
        <w:t>月</w:t>
      </w:r>
      <w:r>
        <w:rPr>
          <w:rFonts w:ascii="Times New Roman" w:hAnsi="Times New Roman" w:cs="Times New Roman" w:eastAsia="Times New Roman" w:hint="default"/>
        </w:rPr>
        <w:t>22</w:t>
      </w:r>
      <w:r>
        <w:rPr/>
        <w:t>日公司完成了</w:t>
      </w:r>
      <w:r>
        <w:rPr>
          <w:rFonts w:ascii="Times New Roman" w:hAnsi="Times New Roman" w:cs="Times New Roman" w:eastAsia="Times New Roman" w:hint="default"/>
        </w:rPr>
        <w:t>2017</w:t>
      </w:r>
      <w:r>
        <w:rPr/>
        <w:t>年年度权益分派：以公司总股本</w:t>
      </w:r>
      <w:r>
        <w:rPr>
          <w:rFonts w:ascii="Times New Roman" w:hAnsi="Times New Roman" w:cs="Times New Roman" w:eastAsia="Times New Roman" w:hint="default"/>
        </w:rPr>
        <w:t>318,854,761</w:t>
      </w:r>
      <w:r>
        <w:rPr/>
        <w:t>股为基数，向全体股东每</w:t>
      </w:r>
    </w:p>
    <w:p>
      <w:pPr>
        <w:pStyle w:val="BodyText"/>
        <w:spacing w:line="240" w:lineRule="auto" w:before="177"/>
        <w:ind w:right="0"/>
        <w:jc w:val="both"/>
      </w:pPr>
      <w:r>
        <w:rPr>
          <w:rFonts w:ascii="Times New Roman" w:hAnsi="Times New Roman" w:cs="Times New Roman" w:eastAsia="Times New Roman" w:hint="default"/>
        </w:rPr>
        <w:t>10</w:t>
      </w:r>
      <w:r>
        <w:rPr>
          <w:rFonts w:ascii="Times New Roman" w:hAnsi="Times New Roman" w:cs="Times New Roman" w:eastAsia="Times New Roman" w:hint="default"/>
          <w:spacing w:val="-32"/>
        </w:rPr>
        <w:t> </w:t>
      </w:r>
      <w:r>
        <w:rPr>
          <w:spacing w:val="3"/>
        </w:rPr>
        <w:t>股派</w:t>
      </w:r>
      <w:r>
        <w:rPr>
          <w:rFonts w:ascii="Times New Roman" w:hAnsi="Times New Roman" w:cs="Times New Roman" w:eastAsia="Times New Roman" w:hint="default"/>
          <w:spacing w:val="3"/>
        </w:rPr>
        <w:t>0.610576</w:t>
      </w:r>
      <w:r>
        <w:rPr>
          <w:rFonts w:ascii="Times New Roman" w:hAnsi="Times New Roman" w:cs="Times New Roman" w:eastAsia="Times New Roman" w:hint="default"/>
          <w:spacing w:val="-32"/>
        </w:rPr>
        <w:t> </w:t>
      </w:r>
      <w:r>
        <w:rPr>
          <w:spacing w:val="16"/>
        </w:rPr>
        <w:t>元人民币现金，</w:t>
      </w:r>
      <w:r>
        <w:rPr>
          <w:spacing w:val="-86"/>
        </w:rPr>
        <w:t> </w:t>
      </w:r>
      <w:r>
        <w:rPr>
          <w:spacing w:val="12"/>
        </w:rPr>
        <w:t>同时，</w:t>
      </w:r>
      <w:r>
        <w:rPr>
          <w:spacing w:val="-86"/>
        </w:rPr>
        <w:t> </w:t>
      </w:r>
      <w:r>
        <w:rPr>
          <w:spacing w:val="17"/>
        </w:rPr>
        <w:t>以资本公积金向全体股东每</w:t>
      </w:r>
      <w:r>
        <w:rPr>
          <w:spacing w:val="-78"/>
        </w:rPr>
        <w:t> </w:t>
      </w:r>
      <w:r>
        <w:rPr>
          <w:rFonts w:ascii="Times New Roman" w:hAnsi="Times New Roman" w:cs="Times New Roman" w:eastAsia="Times New Roman" w:hint="default"/>
        </w:rPr>
        <w:t>10</w:t>
      </w:r>
      <w:r>
        <w:rPr>
          <w:rFonts w:ascii="Times New Roman" w:hAnsi="Times New Roman" w:cs="Times New Roman" w:eastAsia="Times New Roman" w:hint="default"/>
          <w:spacing w:val="-32"/>
        </w:rPr>
        <w:t> </w:t>
      </w:r>
      <w:r>
        <w:rPr>
          <w:spacing w:val="12"/>
        </w:rPr>
        <w:t>股转增</w:t>
      </w:r>
      <w:r>
        <w:rPr>
          <w:spacing w:val="-82"/>
        </w:rPr>
        <w:t> </w:t>
      </w:r>
      <w:r>
        <w:rPr>
          <w:rFonts w:ascii="Times New Roman" w:hAnsi="Times New Roman" w:cs="Times New Roman" w:eastAsia="Times New Roman" w:hint="default"/>
        </w:rPr>
        <w:t>5.088139</w:t>
      </w:r>
      <w:r>
        <w:rPr>
          <w:rFonts w:ascii="Times New Roman" w:hAnsi="Times New Roman" w:cs="Times New Roman" w:eastAsia="Times New Roman" w:hint="default"/>
          <w:spacing w:val="-32"/>
        </w:rPr>
        <w:t> </w:t>
      </w:r>
      <w:r>
        <w:rPr>
          <w:spacing w:val="10"/>
        </w:rPr>
        <w:t>股，</w:t>
      </w:r>
      <w:r>
        <w:rPr>
          <w:spacing w:val="-86"/>
        </w:rPr>
        <w:t> </w:t>
      </w:r>
      <w:r>
        <w:rPr>
          <w:spacing w:val="15"/>
        </w:rPr>
        <w:t>共计转增</w:t>
      </w:r>
    </w:p>
    <w:p>
      <w:pPr>
        <w:pStyle w:val="BodyText"/>
        <w:spacing w:line="386" w:lineRule="auto" w:before="177"/>
        <w:ind w:left="577" w:right="0" w:hanging="424"/>
        <w:jc w:val="left"/>
      </w:pPr>
      <w:r>
        <w:rPr>
          <w:rFonts w:ascii="Times New Roman" w:hAnsi="Times New Roman" w:cs="Times New Roman" w:eastAsia="Times New Roman" w:hint="default"/>
        </w:rPr>
        <w:t>162,237,751</w:t>
      </w:r>
      <w:r>
        <w:rPr/>
        <w:t>股，转增后公司总股本增加至</w:t>
      </w:r>
      <w:r>
        <w:rPr>
          <w:rFonts w:ascii="Times New Roman" w:hAnsi="Times New Roman" w:cs="Times New Roman" w:eastAsia="Times New Roman" w:hint="default"/>
        </w:rPr>
        <w:t>481,092,495</w:t>
      </w:r>
      <w:r>
        <w:rPr/>
        <w:t>股。 因此，公司</w:t>
      </w:r>
      <w:r>
        <w:rPr>
          <w:rFonts w:ascii="Times New Roman" w:hAnsi="Times New Roman" w:cs="Times New Roman" w:eastAsia="Times New Roman" w:hint="default"/>
        </w:rPr>
        <w:t>2017</w:t>
      </w:r>
      <w:r>
        <w:rPr/>
        <w:t>年年度权益分派实施完毕后，本次解除限售的股份由</w:t>
      </w:r>
      <w:r>
        <w:rPr>
          <w:rFonts w:ascii="Times New Roman" w:hAnsi="Times New Roman" w:cs="Times New Roman" w:eastAsia="Times New Roman" w:hint="default"/>
        </w:rPr>
        <w:t>5,645,729</w:t>
      </w:r>
      <w:r>
        <w:rPr/>
        <w:t>股变更为</w:t>
      </w:r>
      <w:r>
        <w:rPr>
          <w:rFonts w:ascii="Times New Roman" w:hAnsi="Times New Roman" w:cs="Times New Roman" w:eastAsia="Times New Roman" w:hint="default"/>
        </w:rPr>
        <w:t>8,518,354</w:t>
      </w:r>
      <w:r>
        <w:rPr/>
        <w:t>股。</w:t>
      </w:r>
    </w:p>
    <w:p>
      <w:pPr>
        <w:spacing w:after="0" w:line="386" w:lineRule="auto"/>
        <w:jc w:val="left"/>
        <w:sectPr>
          <w:pgSz w:w="11910" w:h="16840"/>
          <w:pgMar w:header="877" w:footer="979" w:top="1100" w:bottom="1160" w:left="980" w:right="0"/>
        </w:sectPr>
      </w:pPr>
    </w:p>
    <w:p>
      <w:pPr>
        <w:spacing w:line="240" w:lineRule="auto" w:before="10"/>
        <w:rPr>
          <w:rFonts w:ascii="宋体" w:hAnsi="宋体" w:cs="宋体" w:eastAsia="宋体" w:hint="default"/>
          <w:sz w:val="20"/>
          <w:szCs w:val="20"/>
        </w:rPr>
      </w:pPr>
    </w:p>
    <w:p>
      <w:pPr>
        <w:pStyle w:val="Heading4"/>
        <w:spacing w:line="240" w:lineRule="auto" w:before="35"/>
        <w:ind w:right="1117"/>
        <w:jc w:val="left"/>
        <w:rPr>
          <w:b w:val="0"/>
          <w:bCs w:val="0"/>
        </w:rPr>
      </w:pPr>
      <w:bookmarkStart w:name="3、现存的内部职工股情况" w:id="114"/>
      <w:bookmarkEnd w:id="114"/>
      <w:r>
        <w:rPr>
          <w:b w:val="0"/>
          <w:bCs w:val="0"/>
        </w:rPr>
      </w:r>
      <w:r>
        <w:rPr>
          <w:rFonts w:ascii="Times New Roman" w:hAnsi="Times New Roman" w:cs="Times New Roman" w:eastAsia="Times New Roman" w:hint="default"/>
        </w:rPr>
        <w:t>3</w:t>
      </w:r>
      <w:r>
        <w:rPr/>
        <w:t>、现存的内部职工股情况</w:t>
      </w:r>
      <w:r>
        <w:rPr>
          <w:b w:val="0"/>
          <w:bCs w:val="0"/>
        </w:rPr>
      </w:r>
    </w:p>
    <w:p>
      <w:pPr>
        <w:spacing w:line="240" w:lineRule="auto" w:before="8"/>
        <w:rPr>
          <w:rFonts w:ascii="宋体" w:hAnsi="宋体" w:cs="宋体" w:eastAsia="宋体" w:hint="default"/>
          <w:b/>
          <w:bCs/>
          <w:sz w:val="26"/>
          <w:szCs w:val="26"/>
        </w:rPr>
      </w:pPr>
    </w:p>
    <w:p>
      <w:pPr>
        <w:spacing w:before="0"/>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适用</w:t>
      </w:r>
      <w:r>
        <w:rPr>
          <w:rFonts w:ascii="Times New Roman" w:hAnsi="Times New Roman" w:cs="Times New Roman" w:eastAsia="Times New Roman" w:hint="default"/>
          <w:sz w:val="18"/>
          <w:szCs w:val="18"/>
        </w:rPr>
        <w:t>√</w:t>
      </w:r>
      <w:r>
        <w:rPr>
          <w:rFonts w:ascii="宋体" w:hAnsi="宋体" w:cs="宋体" w:eastAsia="宋体" w:hint="default"/>
          <w:sz w:val="18"/>
          <w:szCs w:val="18"/>
        </w:rPr>
        <w:t>不适用</w:t>
      </w:r>
    </w:p>
    <w:p>
      <w:pPr>
        <w:spacing w:line="240" w:lineRule="auto" w:before="13"/>
        <w:rPr>
          <w:rFonts w:ascii="宋体" w:hAnsi="宋体" w:cs="宋体" w:eastAsia="宋体" w:hint="default"/>
          <w:sz w:val="23"/>
          <w:szCs w:val="23"/>
        </w:rPr>
      </w:pPr>
    </w:p>
    <w:p>
      <w:pPr>
        <w:pStyle w:val="Heading2"/>
        <w:spacing w:line="240" w:lineRule="auto"/>
        <w:ind w:right="1117"/>
        <w:jc w:val="left"/>
        <w:rPr>
          <w:b w:val="0"/>
          <w:bCs w:val="0"/>
        </w:rPr>
      </w:pPr>
      <w:bookmarkStart w:name="三、股东和实际控制人情况" w:id="115"/>
      <w:bookmarkEnd w:id="115"/>
      <w:r>
        <w:rPr>
          <w:b w:val="0"/>
          <w:bCs w:val="0"/>
        </w:rPr>
      </w:r>
      <w:r>
        <w:rPr/>
        <w:t>三、股东和实际控制人情况</w:t>
      </w:r>
      <w:r>
        <w:rPr>
          <w:b w:val="0"/>
          <w:bCs w:val="0"/>
        </w:rPr>
      </w:r>
    </w:p>
    <w:p>
      <w:pPr>
        <w:spacing w:line="240" w:lineRule="auto" w:before="9"/>
        <w:rPr>
          <w:rFonts w:ascii="宋体" w:hAnsi="宋体" w:cs="宋体" w:eastAsia="宋体" w:hint="default"/>
          <w:b/>
          <w:bCs/>
          <w:sz w:val="24"/>
          <w:szCs w:val="24"/>
        </w:rPr>
      </w:pPr>
    </w:p>
    <w:p>
      <w:pPr>
        <w:pStyle w:val="Heading4"/>
        <w:spacing w:line="240" w:lineRule="auto"/>
        <w:ind w:right="1117"/>
        <w:jc w:val="left"/>
        <w:rPr>
          <w:b w:val="0"/>
          <w:bCs w:val="0"/>
        </w:rPr>
      </w:pPr>
      <w:bookmarkStart w:name="1、公司股东数量及持股情况" w:id="116"/>
      <w:bookmarkEnd w:id="116"/>
      <w:r>
        <w:rPr>
          <w:b w:val="0"/>
          <w:bCs w:val="0"/>
        </w:rPr>
      </w:r>
      <w:r>
        <w:rPr>
          <w:rFonts w:ascii="Times New Roman" w:hAnsi="Times New Roman" w:cs="Times New Roman" w:eastAsia="Times New Roman" w:hint="default"/>
        </w:rPr>
        <w:t>1</w:t>
      </w:r>
      <w:r>
        <w:rPr/>
        <w:t>、公司股东数量及持股情况</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pict>
          <v:shape style="position:absolute;margin-left:449.277008pt;margin-top:70.551689pt;width:85.6pt;height:31.2pt;mso-position-horizontal-relative:page;mso-position-vertical-relative:paragraph;z-index:-1221640" type="#_x0000_t202" filled="false" stroked="false">
            <v:textbox inset="0,0,0,0">
              <w:txbxContent>
                <w:p>
                  <w:pPr>
                    <w:spacing w:line="205"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（如有）</w:t>
                  </w:r>
                </w:p>
              </w:txbxContent>
            </v:textbox>
            <w10:wrap type="none"/>
          </v:shape>
        </w:pict>
      </w:r>
      <w:r>
        <w:rPr/>
        <w:pict>
          <v:group style="position:absolute;margin-left:482.399994pt;margin-top:70.551689pt;width:52.45pt;height:31.2pt;mso-position-horizontal-relative:page;mso-position-vertical-relative:paragraph;z-index:-1221616" coordorigin="9648,1411" coordsize="1049,624">
            <v:shape style="position:absolute;left:9648;top:1411;width:1049;height:624" coordorigin="9648,1411" coordsize="1049,624" path="m9648,2035l10697,2035,10697,1411,9648,1411,9648,2035xe" filled="true" fillcolor="#ffffff" stroked="false">
              <v:path arrowok="t"/>
              <v:fill type="solid"/>
            </v:shape>
            <w10:wrap type="none"/>
          </v:group>
        </w:pict>
      </w:r>
      <w:r>
        <w:rPr>
          <w:rFonts w:ascii="宋体" w:hAnsi="宋体" w:cs="宋体" w:eastAsia="宋体" w:hint="default"/>
          <w:sz w:val="18"/>
          <w:szCs w:val="18"/>
        </w:rPr>
        <w:t>单位：股</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335"/>
        <w:gridCol w:w="134"/>
        <w:gridCol w:w="673"/>
        <w:gridCol w:w="739"/>
        <w:gridCol w:w="744"/>
        <w:gridCol w:w="830"/>
        <w:gridCol w:w="344"/>
        <w:gridCol w:w="445"/>
        <w:gridCol w:w="824"/>
        <w:gridCol w:w="802"/>
        <w:gridCol w:w="323"/>
        <w:gridCol w:w="1027"/>
        <w:gridCol w:w="279"/>
        <w:gridCol w:w="513"/>
        <w:gridCol w:w="558"/>
      </w:tblGrid>
      <w:tr>
        <w:trPr>
          <w:trHeight w:val="161" w:hRule="exact"/>
        </w:trPr>
        <w:tc>
          <w:tcPr>
            <w:tcW w:w="1335" w:type="dxa"/>
            <w:vMerge w:val="restart"/>
            <w:tcBorders>
              <w:top w:val="single" w:sz="4" w:space="0" w:color="000000"/>
              <w:left w:val="single" w:sz="4" w:space="0" w:color="000000"/>
              <w:right w:val="single" w:sz="4" w:space="0" w:color="000000"/>
            </w:tcBorders>
            <w:shd w:val="clear" w:color="auto" w:fill="D2D2D2"/>
          </w:tcPr>
          <w:p>
            <w:pPr/>
          </w:p>
        </w:tc>
        <w:tc>
          <w:tcPr>
            <w:tcW w:w="807" w:type="dxa"/>
            <w:gridSpan w:val="2"/>
            <w:vMerge w:val="restart"/>
            <w:tcBorders>
              <w:top w:val="single" w:sz="4" w:space="0" w:color="000000"/>
              <w:left w:val="single" w:sz="9" w:space="0" w:color="D2D2D2"/>
              <w:right w:val="single" w:sz="9" w:space="0" w:color="D2D2D2"/>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262" w:right="0"/>
              <w:jc w:val="left"/>
              <w:rPr>
                <w:rFonts w:ascii="Times New Roman" w:hAnsi="Times New Roman" w:cs="Times New Roman" w:eastAsia="Times New Roman" w:hint="default"/>
                <w:sz w:val="18"/>
                <w:szCs w:val="18"/>
              </w:rPr>
            </w:pPr>
            <w:r>
              <w:rPr>
                <w:rFonts w:ascii="Times New Roman"/>
                <w:sz w:val="18"/>
              </w:rPr>
              <w:t>23,871</w:t>
            </w:r>
          </w:p>
        </w:tc>
        <w:tc>
          <w:tcPr>
            <w:tcW w:w="1483" w:type="dxa"/>
            <w:gridSpan w:val="2"/>
            <w:vMerge w:val="restart"/>
            <w:tcBorders>
              <w:top w:val="single" w:sz="4" w:space="0" w:color="000000"/>
              <w:left w:val="single" w:sz="4" w:space="0" w:color="000000"/>
              <w:right w:val="single" w:sz="4" w:space="0" w:color="000000"/>
            </w:tcBorders>
            <w:shd w:val="clear" w:color="auto" w:fill="D2D2D2"/>
          </w:tcPr>
          <w:p>
            <w:pPr/>
          </w:p>
        </w:tc>
        <w:tc>
          <w:tcPr>
            <w:tcW w:w="1174" w:type="dxa"/>
            <w:gridSpan w:val="2"/>
            <w:vMerge w:val="restart"/>
            <w:tcBorders>
              <w:top w:val="single" w:sz="4" w:space="0" w:color="000000"/>
              <w:left w:val="single" w:sz="9" w:space="0" w:color="D2D2D2"/>
              <w:right w:val="single" w:sz="9" w:space="0" w:color="D2D2D2"/>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629" w:right="0"/>
              <w:jc w:val="left"/>
              <w:rPr>
                <w:rFonts w:ascii="Times New Roman" w:hAnsi="Times New Roman" w:cs="Times New Roman" w:eastAsia="Times New Roman" w:hint="default"/>
                <w:sz w:val="18"/>
                <w:szCs w:val="18"/>
              </w:rPr>
            </w:pPr>
            <w:r>
              <w:rPr>
                <w:rFonts w:ascii="Times New Roman"/>
                <w:sz w:val="18"/>
              </w:rPr>
              <w:t>24,045</w:t>
            </w:r>
          </w:p>
        </w:tc>
        <w:tc>
          <w:tcPr>
            <w:tcW w:w="1268" w:type="dxa"/>
            <w:gridSpan w:val="2"/>
            <w:tcBorders>
              <w:top w:val="single" w:sz="4" w:space="0" w:color="000000"/>
              <w:left w:val="single" w:sz="4" w:space="0" w:color="000000"/>
              <w:bottom w:val="nil" w:sz="6" w:space="0" w:color="auto"/>
              <w:right w:val="single" w:sz="4" w:space="0" w:color="000000"/>
            </w:tcBorders>
            <w:shd w:val="clear" w:color="auto" w:fill="D2D2D2"/>
          </w:tcPr>
          <w:p>
            <w:pPr/>
          </w:p>
        </w:tc>
        <w:tc>
          <w:tcPr>
            <w:tcW w:w="1125" w:type="dxa"/>
            <w:gridSpan w:val="2"/>
            <w:vMerge w:val="restart"/>
            <w:tcBorders>
              <w:top w:val="single" w:sz="4" w:space="0" w:color="000000"/>
              <w:left w:val="single" w:sz="10" w:space="0" w:color="D2D2D2"/>
              <w:right w:val="single" w:sz="13" w:space="0" w:color="D2D2D2"/>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1306"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1"/>
              <w:ind w:left="11" w:right="22"/>
              <w:jc w:val="both"/>
              <w:rPr>
                <w:rFonts w:ascii="宋体" w:hAnsi="宋体" w:cs="宋体" w:eastAsia="宋体" w:hint="default"/>
                <w:sz w:val="18"/>
                <w:szCs w:val="18"/>
              </w:rPr>
            </w:pPr>
            <w:r>
              <w:rPr>
                <w:rFonts w:ascii="宋体" w:hAnsi="宋体" w:cs="宋体" w:eastAsia="宋体" w:hint="default"/>
                <w:sz w:val="18"/>
                <w:szCs w:val="18"/>
              </w:rPr>
              <w:t>年度报告披露日 前上一月末表决 权恢复的优先股 股东总数</w:t>
            </w:r>
          </w:p>
          <w:p>
            <w:pPr>
              <w:pStyle w:val="TableParagraph"/>
              <w:spacing w:line="240" w:lineRule="auto" w:before="20"/>
              <w:ind w:left="11" w:right="0"/>
              <w:jc w:val="both"/>
              <w:rPr>
                <w:rFonts w:ascii="宋体" w:hAnsi="宋体" w:cs="宋体" w:eastAsia="宋体" w:hint="default"/>
                <w:sz w:val="18"/>
                <w:szCs w:val="18"/>
              </w:rPr>
            </w:pPr>
            <w:r>
              <w:rPr>
                <w:rFonts w:ascii="宋体" w:hAnsi="宋体" w:cs="宋体" w:eastAsia="宋体" w:hint="default"/>
                <w:sz w:val="18"/>
                <w:szCs w:val="18"/>
              </w:rPr>
              <w:t>（参见注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w:t>
            </w:r>
            <w:r>
              <w:rPr>
                <w:rFonts w:ascii="宋体" w:hAnsi="宋体" w:cs="宋体" w:eastAsia="宋体" w:hint="default"/>
                <w:sz w:val="18"/>
                <w:szCs w:val="18"/>
              </w:rPr>
              <w:t>）</w:t>
            </w:r>
          </w:p>
        </w:tc>
        <w:tc>
          <w:tcPr>
            <w:tcW w:w="513" w:type="dxa"/>
            <w:tcBorders>
              <w:top w:val="single" w:sz="4" w:space="0" w:color="000000"/>
              <w:left w:val="single" w:sz="13" w:space="0" w:color="D2D2D2"/>
              <w:bottom w:val="nil" w:sz="6" w:space="0" w:color="auto"/>
              <w:right w:val="nil" w:sz="6" w:space="0" w:color="auto"/>
            </w:tcBorders>
          </w:tcPr>
          <w:p>
            <w:pPr/>
          </w:p>
        </w:tc>
        <w:tc>
          <w:tcPr>
            <w:tcW w:w="558" w:type="dxa"/>
            <w:tcBorders>
              <w:top w:val="single" w:sz="4" w:space="0" w:color="000000"/>
              <w:left w:val="nil" w:sz="6" w:space="0" w:color="auto"/>
              <w:bottom w:val="nil" w:sz="6" w:space="0" w:color="auto"/>
              <w:right w:val="single" w:sz="4" w:space="0" w:color="000000"/>
            </w:tcBorders>
          </w:tcPr>
          <w:p>
            <w:pPr/>
          </w:p>
        </w:tc>
      </w:tr>
      <w:tr>
        <w:trPr>
          <w:trHeight w:val="156" w:hRule="exact"/>
        </w:trPr>
        <w:tc>
          <w:tcPr>
            <w:tcW w:w="1335" w:type="dxa"/>
            <w:vMerge/>
            <w:tcBorders>
              <w:left w:val="single" w:sz="4" w:space="0" w:color="000000"/>
              <w:right w:val="single" w:sz="4" w:space="0" w:color="000000"/>
            </w:tcBorders>
            <w:shd w:val="clear" w:color="auto" w:fill="D2D2D2"/>
          </w:tcPr>
          <w:p>
            <w:pPr/>
          </w:p>
        </w:tc>
        <w:tc>
          <w:tcPr>
            <w:tcW w:w="807" w:type="dxa"/>
            <w:gridSpan w:val="2"/>
            <w:vMerge/>
            <w:tcBorders>
              <w:left w:val="single" w:sz="9" w:space="0" w:color="D2D2D2"/>
              <w:right w:val="single" w:sz="9" w:space="0" w:color="D2D2D2"/>
            </w:tcBorders>
          </w:tcPr>
          <w:p>
            <w:pPr/>
          </w:p>
        </w:tc>
        <w:tc>
          <w:tcPr>
            <w:tcW w:w="1483" w:type="dxa"/>
            <w:gridSpan w:val="2"/>
            <w:vMerge/>
            <w:tcBorders>
              <w:left w:val="single" w:sz="4" w:space="0" w:color="000000"/>
              <w:bottom w:val="nil" w:sz="6" w:space="0" w:color="auto"/>
              <w:right w:val="single" w:sz="4" w:space="0" w:color="000000"/>
            </w:tcBorders>
            <w:shd w:val="clear" w:color="auto" w:fill="D2D2D2"/>
          </w:tcPr>
          <w:p>
            <w:pPr/>
          </w:p>
        </w:tc>
        <w:tc>
          <w:tcPr>
            <w:tcW w:w="1174" w:type="dxa"/>
            <w:gridSpan w:val="2"/>
            <w:vMerge/>
            <w:tcBorders>
              <w:left w:val="single" w:sz="9" w:space="0" w:color="D2D2D2"/>
              <w:right w:val="single" w:sz="9" w:space="0" w:color="D2D2D2"/>
            </w:tcBorders>
          </w:tcPr>
          <w:p>
            <w:pPr/>
          </w:p>
        </w:tc>
        <w:tc>
          <w:tcPr>
            <w:tcW w:w="1268" w:type="dxa"/>
            <w:gridSpan w:val="2"/>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11" w:right="-13"/>
              <w:jc w:val="both"/>
              <w:rPr>
                <w:rFonts w:ascii="宋体" w:hAnsi="宋体" w:cs="宋体" w:eastAsia="宋体" w:hint="default"/>
                <w:sz w:val="18"/>
                <w:szCs w:val="18"/>
              </w:rPr>
            </w:pPr>
            <w:r>
              <w:rPr>
                <w:rFonts w:ascii="宋体" w:hAnsi="宋体" w:cs="宋体" w:eastAsia="宋体" w:hint="default"/>
                <w:sz w:val="18"/>
                <w:szCs w:val="18"/>
              </w:rPr>
              <w:t>报告期末表决权 恢复的优先股股 东总数（如有）</w:t>
            </w:r>
          </w:p>
          <w:p>
            <w:pPr>
              <w:pStyle w:val="TableParagraph"/>
              <w:spacing w:line="240" w:lineRule="auto" w:before="20"/>
              <w:ind w:left="11" w:right="0"/>
              <w:jc w:val="both"/>
              <w:rPr>
                <w:rFonts w:ascii="宋体" w:hAnsi="宋体" w:cs="宋体" w:eastAsia="宋体" w:hint="default"/>
                <w:sz w:val="18"/>
                <w:szCs w:val="18"/>
              </w:rPr>
            </w:pPr>
            <w:r>
              <w:rPr>
                <w:rFonts w:ascii="宋体" w:hAnsi="宋体" w:cs="宋体" w:eastAsia="宋体" w:hint="default"/>
                <w:sz w:val="18"/>
                <w:szCs w:val="18"/>
              </w:rPr>
              <w:t>（参见注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w:t>
            </w:r>
            <w:r>
              <w:rPr>
                <w:rFonts w:ascii="宋体" w:hAnsi="宋体" w:cs="宋体" w:eastAsia="宋体" w:hint="default"/>
                <w:sz w:val="18"/>
                <w:szCs w:val="18"/>
              </w:rPr>
              <w:t>）</w:t>
            </w:r>
          </w:p>
        </w:tc>
        <w:tc>
          <w:tcPr>
            <w:tcW w:w="1125" w:type="dxa"/>
            <w:gridSpan w:val="2"/>
            <w:vMerge/>
            <w:tcBorders>
              <w:left w:val="single" w:sz="10" w:space="0" w:color="D2D2D2"/>
              <w:right w:val="single" w:sz="13" w:space="0" w:color="D2D2D2"/>
            </w:tcBorders>
          </w:tcPr>
          <w:p>
            <w:pPr/>
          </w:p>
        </w:tc>
        <w:tc>
          <w:tcPr>
            <w:tcW w:w="1306" w:type="dxa"/>
            <w:gridSpan w:val="2"/>
            <w:vMerge/>
            <w:tcBorders>
              <w:left w:val="single" w:sz="4" w:space="0" w:color="000000"/>
              <w:right w:val="single" w:sz="4" w:space="0" w:color="000000"/>
            </w:tcBorders>
            <w:shd w:val="clear" w:color="auto" w:fill="D2D2D2"/>
          </w:tcPr>
          <w:p>
            <w:pPr/>
          </w:p>
        </w:tc>
        <w:tc>
          <w:tcPr>
            <w:tcW w:w="513" w:type="dxa"/>
            <w:vMerge w:val="restart"/>
            <w:tcBorders>
              <w:top w:val="nil" w:sz="6" w:space="0" w:color="auto"/>
              <w:left w:val="single" w:sz="13" w:space="0" w:color="D2D2D2"/>
              <w:right w:val="nil" w:sz="6" w:space="0" w:color="auto"/>
            </w:tcBorders>
          </w:tcPr>
          <w:p>
            <w:pPr/>
          </w:p>
        </w:tc>
        <w:tc>
          <w:tcPr>
            <w:tcW w:w="558" w:type="dxa"/>
            <w:tcBorders>
              <w:top w:val="nil" w:sz="6" w:space="0" w:color="auto"/>
              <w:left w:val="nil" w:sz="6" w:space="0" w:color="auto"/>
              <w:bottom w:val="nil" w:sz="6" w:space="0" w:color="auto"/>
              <w:right w:val="single" w:sz="4" w:space="0" w:color="000000"/>
            </w:tcBorders>
          </w:tcPr>
          <w:p>
            <w:pPr/>
          </w:p>
        </w:tc>
      </w:tr>
      <w:tr>
        <w:trPr>
          <w:trHeight w:val="156" w:hRule="exact"/>
        </w:trPr>
        <w:tc>
          <w:tcPr>
            <w:tcW w:w="1335" w:type="dxa"/>
            <w:vMerge/>
            <w:tcBorders>
              <w:left w:val="single" w:sz="4" w:space="0" w:color="000000"/>
              <w:bottom w:val="nil" w:sz="6" w:space="0" w:color="auto"/>
              <w:right w:val="single" w:sz="4" w:space="0" w:color="000000"/>
            </w:tcBorders>
            <w:shd w:val="clear" w:color="auto" w:fill="D2D2D2"/>
          </w:tcPr>
          <w:p>
            <w:pPr/>
          </w:p>
        </w:tc>
        <w:tc>
          <w:tcPr>
            <w:tcW w:w="807" w:type="dxa"/>
            <w:gridSpan w:val="2"/>
            <w:vMerge/>
            <w:tcBorders>
              <w:left w:val="single" w:sz="9" w:space="0" w:color="D2D2D2"/>
              <w:right w:val="single" w:sz="9" w:space="0" w:color="D2D2D2"/>
            </w:tcBorders>
          </w:tcPr>
          <w:p>
            <w:pPr/>
          </w:p>
        </w:tc>
        <w:tc>
          <w:tcPr>
            <w:tcW w:w="1483" w:type="dxa"/>
            <w:gridSpan w:val="2"/>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11" w:right="199"/>
              <w:jc w:val="both"/>
              <w:rPr>
                <w:rFonts w:ascii="宋体" w:hAnsi="宋体" w:cs="宋体" w:eastAsia="宋体" w:hint="default"/>
                <w:sz w:val="18"/>
                <w:szCs w:val="18"/>
              </w:rPr>
            </w:pPr>
            <w:r>
              <w:rPr>
                <w:rFonts w:ascii="宋体" w:hAnsi="宋体" w:cs="宋体" w:eastAsia="宋体" w:hint="default"/>
                <w:sz w:val="18"/>
                <w:szCs w:val="18"/>
              </w:rPr>
              <w:t>年度报告披露日 前上一月末普通 股股东总数</w:t>
            </w:r>
          </w:p>
        </w:tc>
        <w:tc>
          <w:tcPr>
            <w:tcW w:w="1174" w:type="dxa"/>
            <w:gridSpan w:val="2"/>
            <w:vMerge/>
            <w:tcBorders>
              <w:left w:val="single" w:sz="9" w:space="0" w:color="D2D2D2"/>
              <w:right w:val="single" w:sz="9" w:space="0" w:color="D2D2D2"/>
            </w:tcBorders>
          </w:tcPr>
          <w:p>
            <w:pPr/>
          </w:p>
        </w:tc>
        <w:tc>
          <w:tcPr>
            <w:tcW w:w="1268" w:type="dxa"/>
            <w:gridSpan w:val="2"/>
            <w:vMerge/>
            <w:tcBorders>
              <w:left w:val="single" w:sz="4" w:space="0" w:color="000000"/>
              <w:right w:val="single" w:sz="4" w:space="0" w:color="000000"/>
            </w:tcBorders>
            <w:shd w:val="clear" w:color="auto" w:fill="D2D2D2"/>
          </w:tcPr>
          <w:p>
            <w:pPr/>
          </w:p>
        </w:tc>
        <w:tc>
          <w:tcPr>
            <w:tcW w:w="1125" w:type="dxa"/>
            <w:gridSpan w:val="2"/>
            <w:vMerge/>
            <w:tcBorders>
              <w:left w:val="single" w:sz="10" w:space="0" w:color="D2D2D2"/>
              <w:right w:val="single" w:sz="13" w:space="0" w:color="D2D2D2"/>
            </w:tcBorders>
          </w:tcPr>
          <w:p>
            <w:pPr/>
          </w:p>
        </w:tc>
        <w:tc>
          <w:tcPr>
            <w:tcW w:w="1306" w:type="dxa"/>
            <w:gridSpan w:val="2"/>
            <w:vMerge/>
            <w:tcBorders>
              <w:left w:val="single" w:sz="4" w:space="0" w:color="000000"/>
              <w:right w:val="single" w:sz="4" w:space="0" w:color="000000"/>
            </w:tcBorders>
            <w:shd w:val="clear" w:color="auto" w:fill="D2D2D2"/>
          </w:tcPr>
          <w:p>
            <w:pPr/>
          </w:p>
        </w:tc>
        <w:tc>
          <w:tcPr>
            <w:tcW w:w="513" w:type="dxa"/>
            <w:vMerge/>
            <w:tcBorders>
              <w:left w:val="single" w:sz="13" w:space="0" w:color="D2D2D2"/>
              <w:right w:val="nil" w:sz="6" w:space="0" w:color="auto"/>
            </w:tcBorders>
          </w:tcPr>
          <w:p>
            <w:pPr/>
          </w:p>
        </w:tc>
        <w:tc>
          <w:tcPr>
            <w:tcW w:w="558" w:type="dxa"/>
            <w:tcBorders>
              <w:top w:val="nil" w:sz="6" w:space="0" w:color="auto"/>
              <w:left w:val="nil" w:sz="6" w:space="0" w:color="auto"/>
              <w:bottom w:val="nil" w:sz="6" w:space="0" w:color="auto"/>
              <w:right w:val="single" w:sz="4" w:space="0" w:color="000000"/>
            </w:tcBorders>
          </w:tcPr>
          <w:p>
            <w:pPr/>
          </w:p>
        </w:tc>
      </w:tr>
      <w:tr>
        <w:trPr>
          <w:trHeight w:val="704" w:hRule="exact"/>
        </w:trPr>
        <w:tc>
          <w:tcPr>
            <w:tcW w:w="133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6" w:lineRule="auto" w:before="51"/>
              <w:ind w:left="22" w:right="40"/>
              <w:jc w:val="left"/>
              <w:rPr>
                <w:rFonts w:ascii="宋体" w:hAnsi="宋体" w:cs="宋体" w:eastAsia="宋体" w:hint="default"/>
                <w:sz w:val="18"/>
                <w:szCs w:val="18"/>
              </w:rPr>
            </w:pPr>
            <w:r>
              <w:rPr>
                <w:rFonts w:ascii="宋体" w:hAnsi="宋体" w:cs="宋体" w:eastAsia="宋体" w:hint="default"/>
                <w:sz w:val="18"/>
                <w:szCs w:val="18"/>
              </w:rPr>
              <w:t>报告期末普通股 股东总数</w:t>
            </w:r>
          </w:p>
        </w:tc>
        <w:tc>
          <w:tcPr>
            <w:tcW w:w="807" w:type="dxa"/>
            <w:gridSpan w:val="2"/>
            <w:vMerge/>
            <w:tcBorders>
              <w:left w:val="single" w:sz="9" w:space="0" w:color="D2D2D2"/>
              <w:right w:val="single" w:sz="9" w:space="0" w:color="D2D2D2"/>
            </w:tcBorders>
          </w:tcPr>
          <w:p>
            <w:pPr/>
          </w:p>
        </w:tc>
        <w:tc>
          <w:tcPr>
            <w:tcW w:w="1483" w:type="dxa"/>
            <w:gridSpan w:val="2"/>
            <w:vMerge/>
            <w:tcBorders>
              <w:left w:val="single" w:sz="4" w:space="0" w:color="000000"/>
              <w:right w:val="single" w:sz="4" w:space="0" w:color="000000"/>
            </w:tcBorders>
            <w:shd w:val="clear" w:color="auto" w:fill="D2D2D2"/>
          </w:tcPr>
          <w:p>
            <w:pPr/>
          </w:p>
        </w:tc>
        <w:tc>
          <w:tcPr>
            <w:tcW w:w="1174" w:type="dxa"/>
            <w:gridSpan w:val="2"/>
            <w:vMerge/>
            <w:tcBorders>
              <w:left w:val="single" w:sz="9" w:space="0" w:color="D2D2D2"/>
              <w:right w:val="single" w:sz="9" w:space="0" w:color="D2D2D2"/>
            </w:tcBorders>
          </w:tcPr>
          <w:p>
            <w:pPr/>
          </w:p>
        </w:tc>
        <w:tc>
          <w:tcPr>
            <w:tcW w:w="1268" w:type="dxa"/>
            <w:gridSpan w:val="2"/>
            <w:vMerge/>
            <w:tcBorders>
              <w:left w:val="single" w:sz="4" w:space="0" w:color="000000"/>
              <w:right w:val="single" w:sz="4" w:space="0" w:color="000000"/>
            </w:tcBorders>
            <w:shd w:val="clear" w:color="auto" w:fill="D2D2D2"/>
          </w:tcPr>
          <w:p>
            <w:pPr/>
          </w:p>
        </w:tc>
        <w:tc>
          <w:tcPr>
            <w:tcW w:w="1125" w:type="dxa"/>
            <w:gridSpan w:val="2"/>
            <w:vMerge/>
            <w:tcBorders>
              <w:left w:val="single" w:sz="10" w:space="0" w:color="D2D2D2"/>
              <w:right w:val="single" w:sz="13" w:space="0" w:color="D2D2D2"/>
            </w:tcBorders>
          </w:tcPr>
          <w:p>
            <w:pPr/>
          </w:p>
        </w:tc>
        <w:tc>
          <w:tcPr>
            <w:tcW w:w="1306" w:type="dxa"/>
            <w:gridSpan w:val="2"/>
            <w:vMerge/>
            <w:tcBorders>
              <w:left w:val="single" w:sz="4" w:space="0" w:color="000000"/>
              <w:right w:val="single" w:sz="4" w:space="0" w:color="000000"/>
            </w:tcBorders>
            <w:shd w:val="clear" w:color="auto" w:fill="D2D2D2"/>
          </w:tcPr>
          <w:p>
            <w:pPr/>
          </w:p>
        </w:tc>
        <w:tc>
          <w:tcPr>
            <w:tcW w:w="513" w:type="dxa"/>
            <w:vMerge/>
            <w:tcBorders>
              <w:left w:val="single" w:sz="13" w:space="0" w:color="D2D2D2"/>
              <w:right w:val="nil" w:sz="6" w:space="0" w:color="auto"/>
            </w:tcBorders>
          </w:tcPr>
          <w:p>
            <w:pPr/>
          </w:p>
        </w:tc>
        <w:tc>
          <w:tcPr>
            <w:tcW w:w="558" w:type="dxa"/>
            <w:tcBorders>
              <w:top w:val="nil" w:sz="6" w:space="0" w:color="auto"/>
              <w:left w:val="nil" w:sz="6" w:space="0" w:color="auto"/>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r>
      <w:tr>
        <w:trPr>
          <w:trHeight w:val="156" w:hRule="exact"/>
        </w:trPr>
        <w:tc>
          <w:tcPr>
            <w:tcW w:w="1335" w:type="dxa"/>
            <w:vMerge w:val="restart"/>
            <w:tcBorders>
              <w:top w:val="nil" w:sz="6" w:space="0" w:color="auto"/>
              <w:left w:val="single" w:sz="4" w:space="0" w:color="000000"/>
              <w:right w:val="single" w:sz="4" w:space="0" w:color="000000"/>
            </w:tcBorders>
            <w:shd w:val="clear" w:color="auto" w:fill="D2D2D2"/>
          </w:tcPr>
          <w:p>
            <w:pPr/>
          </w:p>
        </w:tc>
        <w:tc>
          <w:tcPr>
            <w:tcW w:w="807" w:type="dxa"/>
            <w:gridSpan w:val="2"/>
            <w:vMerge/>
            <w:tcBorders>
              <w:left w:val="single" w:sz="9" w:space="0" w:color="D2D2D2"/>
              <w:right w:val="single" w:sz="9" w:space="0" w:color="D2D2D2"/>
            </w:tcBorders>
          </w:tcPr>
          <w:p>
            <w:pPr/>
          </w:p>
        </w:tc>
        <w:tc>
          <w:tcPr>
            <w:tcW w:w="1483" w:type="dxa"/>
            <w:gridSpan w:val="2"/>
            <w:vMerge/>
            <w:tcBorders>
              <w:left w:val="single" w:sz="4" w:space="0" w:color="000000"/>
              <w:bottom w:val="nil" w:sz="6" w:space="0" w:color="auto"/>
              <w:right w:val="single" w:sz="4" w:space="0" w:color="000000"/>
            </w:tcBorders>
            <w:shd w:val="clear" w:color="auto" w:fill="D2D2D2"/>
          </w:tcPr>
          <w:p>
            <w:pPr/>
          </w:p>
        </w:tc>
        <w:tc>
          <w:tcPr>
            <w:tcW w:w="1174" w:type="dxa"/>
            <w:gridSpan w:val="2"/>
            <w:vMerge/>
            <w:tcBorders>
              <w:left w:val="single" w:sz="9" w:space="0" w:color="D2D2D2"/>
              <w:right w:val="single" w:sz="9" w:space="0" w:color="D2D2D2"/>
            </w:tcBorders>
          </w:tcPr>
          <w:p>
            <w:pPr/>
          </w:p>
        </w:tc>
        <w:tc>
          <w:tcPr>
            <w:tcW w:w="1268" w:type="dxa"/>
            <w:gridSpan w:val="2"/>
            <w:vMerge/>
            <w:tcBorders>
              <w:left w:val="single" w:sz="4" w:space="0" w:color="000000"/>
              <w:right w:val="single" w:sz="4" w:space="0" w:color="000000"/>
            </w:tcBorders>
            <w:shd w:val="clear" w:color="auto" w:fill="D2D2D2"/>
          </w:tcPr>
          <w:p>
            <w:pPr/>
          </w:p>
        </w:tc>
        <w:tc>
          <w:tcPr>
            <w:tcW w:w="1125" w:type="dxa"/>
            <w:gridSpan w:val="2"/>
            <w:vMerge/>
            <w:tcBorders>
              <w:left w:val="single" w:sz="10" w:space="0" w:color="D2D2D2"/>
              <w:right w:val="single" w:sz="13" w:space="0" w:color="D2D2D2"/>
            </w:tcBorders>
          </w:tcPr>
          <w:p>
            <w:pPr/>
          </w:p>
        </w:tc>
        <w:tc>
          <w:tcPr>
            <w:tcW w:w="1306" w:type="dxa"/>
            <w:gridSpan w:val="2"/>
            <w:vMerge/>
            <w:tcBorders>
              <w:left w:val="single" w:sz="4" w:space="0" w:color="000000"/>
              <w:right w:val="single" w:sz="4" w:space="0" w:color="000000"/>
            </w:tcBorders>
            <w:shd w:val="clear" w:color="auto" w:fill="D2D2D2"/>
          </w:tcPr>
          <w:p>
            <w:pPr/>
          </w:p>
        </w:tc>
        <w:tc>
          <w:tcPr>
            <w:tcW w:w="513" w:type="dxa"/>
            <w:vMerge/>
            <w:tcBorders>
              <w:left w:val="single" w:sz="13" w:space="0" w:color="D2D2D2"/>
              <w:right w:val="nil" w:sz="6" w:space="0" w:color="auto"/>
            </w:tcBorders>
          </w:tcPr>
          <w:p>
            <w:pPr/>
          </w:p>
        </w:tc>
        <w:tc>
          <w:tcPr>
            <w:tcW w:w="558" w:type="dxa"/>
            <w:tcBorders>
              <w:top w:val="nil" w:sz="6" w:space="0" w:color="auto"/>
              <w:left w:val="nil" w:sz="6" w:space="0" w:color="auto"/>
              <w:bottom w:val="nil" w:sz="6" w:space="0" w:color="auto"/>
              <w:right w:val="single" w:sz="4" w:space="0" w:color="000000"/>
            </w:tcBorders>
          </w:tcPr>
          <w:p>
            <w:pPr/>
          </w:p>
        </w:tc>
      </w:tr>
      <w:tr>
        <w:trPr>
          <w:trHeight w:val="156" w:hRule="exact"/>
        </w:trPr>
        <w:tc>
          <w:tcPr>
            <w:tcW w:w="1335" w:type="dxa"/>
            <w:vMerge/>
            <w:tcBorders>
              <w:left w:val="single" w:sz="4" w:space="0" w:color="000000"/>
              <w:right w:val="single" w:sz="4" w:space="0" w:color="000000"/>
            </w:tcBorders>
            <w:shd w:val="clear" w:color="auto" w:fill="D2D2D2"/>
          </w:tcPr>
          <w:p>
            <w:pPr/>
          </w:p>
        </w:tc>
        <w:tc>
          <w:tcPr>
            <w:tcW w:w="807" w:type="dxa"/>
            <w:gridSpan w:val="2"/>
            <w:vMerge/>
            <w:tcBorders>
              <w:left w:val="single" w:sz="9" w:space="0" w:color="D2D2D2"/>
              <w:right w:val="single" w:sz="9" w:space="0" w:color="D2D2D2"/>
            </w:tcBorders>
          </w:tcPr>
          <w:p>
            <w:pPr/>
          </w:p>
        </w:tc>
        <w:tc>
          <w:tcPr>
            <w:tcW w:w="1483" w:type="dxa"/>
            <w:gridSpan w:val="2"/>
            <w:vMerge w:val="restart"/>
            <w:tcBorders>
              <w:top w:val="nil" w:sz="6" w:space="0" w:color="auto"/>
              <w:left w:val="single" w:sz="4" w:space="0" w:color="000000"/>
              <w:right w:val="single" w:sz="4" w:space="0" w:color="000000"/>
            </w:tcBorders>
            <w:shd w:val="clear" w:color="auto" w:fill="D2D2D2"/>
          </w:tcPr>
          <w:p>
            <w:pPr/>
          </w:p>
        </w:tc>
        <w:tc>
          <w:tcPr>
            <w:tcW w:w="1174" w:type="dxa"/>
            <w:gridSpan w:val="2"/>
            <w:vMerge/>
            <w:tcBorders>
              <w:left w:val="single" w:sz="9" w:space="0" w:color="D2D2D2"/>
              <w:right w:val="single" w:sz="9" w:space="0" w:color="D2D2D2"/>
            </w:tcBorders>
          </w:tcPr>
          <w:p>
            <w:pPr/>
          </w:p>
        </w:tc>
        <w:tc>
          <w:tcPr>
            <w:tcW w:w="1268" w:type="dxa"/>
            <w:gridSpan w:val="2"/>
            <w:vMerge/>
            <w:tcBorders>
              <w:left w:val="single" w:sz="4" w:space="0" w:color="000000"/>
              <w:bottom w:val="nil" w:sz="6" w:space="0" w:color="auto"/>
              <w:right w:val="single" w:sz="4" w:space="0" w:color="000000"/>
            </w:tcBorders>
            <w:shd w:val="clear" w:color="auto" w:fill="D2D2D2"/>
          </w:tcPr>
          <w:p>
            <w:pPr/>
          </w:p>
        </w:tc>
        <w:tc>
          <w:tcPr>
            <w:tcW w:w="1125" w:type="dxa"/>
            <w:gridSpan w:val="2"/>
            <w:vMerge/>
            <w:tcBorders>
              <w:left w:val="single" w:sz="10" w:space="0" w:color="D2D2D2"/>
              <w:right w:val="single" w:sz="13" w:space="0" w:color="D2D2D2"/>
            </w:tcBorders>
          </w:tcPr>
          <w:p>
            <w:pPr/>
          </w:p>
        </w:tc>
        <w:tc>
          <w:tcPr>
            <w:tcW w:w="1306" w:type="dxa"/>
            <w:gridSpan w:val="2"/>
            <w:vMerge/>
            <w:tcBorders>
              <w:left w:val="single" w:sz="4" w:space="0" w:color="000000"/>
              <w:right w:val="single" w:sz="4" w:space="0" w:color="000000"/>
            </w:tcBorders>
            <w:shd w:val="clear" w:color="auto" w:fill="D2D2D2"/>
          </w:tcPr>
          <w:p>
            <w:pPr/>
          </w:p>
        </w:tc>
        <w:tc>
          <w:tcPr>
            <w:tcW w:w="513" w:type="dxa"/>
            <w:vMerge/>
            <w:tcBorders>
              <w:left w:val="single" w:sz="13" w:space="0" w:color="D2D2D2"/>
              <w:right w:val="nil" w:sz="6" w:space="0" w:color="auto"/>
            </w:tcBorders>
          </w:tcPr>
          <w:p>
            <w:pPr/>
          </w:p>
        </w:tc>
        <w:tc>
          <w:tcPr>
            <w:tcW w:w="558" w:type="dxa"/>
            <w:tcBorders>
              <w:top w:val="nil" w:sz="6" w:space="0" w:color="auto"/>
              <w:left w:val="nil" w:sz="6" w:space="0" w:color="auto"/>
              <w:bottom w:val="nil" w:sz="6" w:space="0" w:color="auto"/>
              <w:right w:val="single" w:sz="4" w:space="0" w:color="000000"/>
            </w:tcBorders>
          </w:tcPr>
          <w:p>
            <w:pPr/>
          </w:p>
        </w:tc>
      </w:tr>
      <w:tr>
        <w:trPr>
          <w:trHeight w:val="166" w:hRule="exact"/>
        </w:trPr>
        <w:tc>
          <w:tcPr>
            <w:tcW w:w="1335" w:type="dxa"/>
            <w:vMerge/>
            <w:tcBorders>
              <w:left w:val="single" w:sz="4" w:space="0" w:color="000000"/>
              <w:bottom w:val="single" w:sz="4" w:space="0" w:color="000000"/>
              <w:right w:val="single" w:sz="4" w:space="0" w:color="000000"/>
            </w:tcBorders>
            <w:shd w:val="clear" w:color="auto" w:fill="D2D2D2"/>
          </w:tcPr>
          <w:p>
            <w:pPr/>
          </w:p>
        </w:tc>
        <w:tc>
          <w:tcPr>
            <w:tcW w:w="807" w:type="dxa"/>
            <w:gridSpan w:val="2"/>
            <w:vMerge/>
            <w:tcBorders>
              <w:left w:val="single" w:sz="9" w:space="0" w:color="D2D2D2"/>
              <w:bottom w:val="single" w:sz="4" w:space="0" w:color="000000"/>
              <w:right w:val="single" w:sz="9" w:space="0" w:color="D2D2D2"/>
            </w:tcBorders>
          </w:tcPr>
          <w:p>
            <w:pPr/>
          </w:p>
        </w:tc>
        <w:tc>
          <w:tcPr>
            <w:tcW w:w="1483" w:type="dxa"/>
            <w:gridSpan w:val="2"/>
            <w:vMerge/>
            <w:tcBorders>
              <w:left w:val="single" w:sz="4" w:space="0" w:color="000000"/>
              <w:bottom w:val="single" w:sz="4" w:space="0" w:color="000000"/>
              <w:right w:val="single" w:sz="4" w:space="0" w:color="000000"/>
            </w:tcBorders>
            <w:shd w:val="clear" w:color="auto" w:fill="D2D2D2"/>
          </w:tcPr>
          <w:p>
            <w:pPr/>
          </w:p>
        </w:tc>
        <w:tc>
          <w:tcPr>
            <w:tcW w:w="1174" w:type="dxa"/>
            <w:gridSpan w:val="2"/>
            <w:vMerge/>
            <w:tcBorders>
              <w:left w:val="single" w:sz="9" w:space="0" w:color="D2D2D2"/>
              <w:bottom w:val="single" w:sz="4" w:space="0" w:color="000000"/>
              <w:right w:val="single" w:sz="9" w:space="0" w:color="D2D2D2"/>
            </w:tcBorders>
          </w:tcPr>
          <w:p>
            <w:pPr/>
          </w:p>
        </w:tc>
        <w:tc>
          <w:tcPr>
            <w:tcW w:w="1268" w:type="dxa"/>
            <w:gridSpan w:val="2"/>
            <w:tcBorders>
              <w:top w:val="nil" w:sz="6" w:space="0" w:color="auto"/>
              <w:left w:val="single" w:sz="4" w:space="0" w:color="000000"/>
              <w:bottom w:val="single" w:sz="4" w:space="0" w:color="000000"/>
              <w:right w:val="single" w:sz="4" w:space="0" w:color="000000"/>
            </w:tcBorders>
            <w:shd w:val="clear" w:color="auto" w:fill="D2D2D2"/>
          </w:tcPr>
          <w:p>
            <w:pPr/>
          </w:p>
        </w:tc>
        <w:tc>
          <w:tcPr>
            <w:tcW w:w="1125" w:type="dxa"/>
            <w:gridSpan w:val="2"/>
            <w:vMerge/>
            <w:tcBorders>
              <w:left w:val="single" w:sz="10" w:space="0" w:color="D2D2D2"/>
              <w:bottom w:val="single" w:sz="4" w:space="0" w:color="000000"/>
              <w:right w:val="single" w:sz="13" w:space="0" w:color="D2D2D2"/>
            </w:tcBorders>
          </w:tcPr>
          <w:p>
            <w:pPr/>
          </w:p>
        </w:tc>
        <w:tc>
          <w:tcPr>
            <w:tcW w:w="1306" w:type="dxa"/>
            <w:gridSpan w:val="2"/>
            <w:vMerge/>
            <w:tcBorders>
              <w:left w:val="single" w:sz="4" w:space="0" w:color="000000"/>
              <w:bottom w:val="single" w:sz="4" w:space="0" w:color="000000"/>
              <w:right w:val="single" w:sz="4" w:space="0" w:color="000000"/>
            </w:tcBorders>
            <w:shd w:val="clear" w:color="auto" w:fill="D2D2D2"/>
          </w:tcPr>
          <w:p>
            <w:pPr/>
          </w:p>
        </w:tc>
        <w:tc>
          <w:tcPr>
            <w:tcW w:w="513" w:type="dxa"/>
            <w:vMerge/>
            <w:tcBorders>
              <w:left w:val="single" w:sz="13" w:space="0" w:color="D2D2D2"/>
              <w:bottom w:val="single" w:sz="4" w:space="0" w:color="000000"/>
              <w:right w:val="nil" w:sz="6" w:space="0" w:color="auto"/>
            </w:tcBorders>
          </w:tcPr>
          <w:p>
            <w:pPr/>
          </w:p>
        </w:tc>
        <w:tc>
          <w:tcPr>
            <w:tcW w:w="558" w:type="dxa"/>
            <w:tcBorders>
              <w:top w:val="nil" w:sz="6" w:space="0" w:color="auto"/>
              <w:left w:val="nil" w:sz="6" w:space="0" w:color="auto"/>
              <w:bottom w:val="single" w:sz="4" w:space="0" w:color="000000"/>
              <w:right w:val="single" w:sz="4" w:space="0" w:color="000000"/>
            </w:tcBorders>
          </w:tcPr>
          <w:p>
            <w:pPr/>
          </w:p>
        </w:tc>
      </w:tr>
      <w:tr>
        <w:trPr>
          <w:trHeight w:val="392" w:hRule="exact"/>
        </w:trPr>
        <w:tc>
          <w:tcPr>
            <w:tcW w:w="9569" w:type="dxa"/>
            <w:gridSpan w:val="1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3061" w:right="0"/>
              <w:jc w:val="left"/>
              <w:rPr>
                <w:rFonts w:ascii="宋体" w:hAnsi="宋体" w:cs="宋体" w:eastAsia="宋体" w:hint="default"/>
                <w:sz w:val="18"/>
                <w:szCs w:val="18"/>
              </w:rPr>
            </w:pPr>
            <w:r>
              <w:rPr>
                <w:rFonts w:ascii="宋体" w:hAnsi="宋体" w:cs="宋体" w:eastAsia="宋体" w:hint="default"/>
                <w:sz w:val="18"/>
                <w:szCs w:val="18"/>
              </w:rPr>
              <w:t>持股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以上的股东或前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名股东持股情况</w:t>
            </w:r>
          </w:p>
        </w:tc>
      </w:tr>
      <w:tr>
        <w:trPr>
          <w:trHeight w:val="166" w:hRule="exact"/>
        </w:trPr>
        <w:tc>
          <w:tcPr>
            <w:tcW w:w="1469" w:type="dxa"/>
            <w:gridSpan w:val="2"/>
            <w:vMerge w:val="restart"/>
            <w:tcBorders>
              <w:top w:val="single" w:sz="4" w:space="0" w:color="000000"/>
              <w:left w:val="single" w:sz="4" w:space="0" w:color="000000"/>
              <w:right w:val="single" w:sz="4" w:space="0" w:color="000000"/>
            </w:tcBorders>
            <w:shd w:val="clear" w:color="auto" w:fill="D2D2D2"/>
          </w:tcPr>
          <w:p>
            <w:pPr/>
          </w:p>
        </w:tc>
        <w:tc>
          <w:tcPr>
            <w:tcW w:w="1411" w:type="dxa"/>
            <w:gridSpan w:val="2"/>
            <w:vMerge w:val="restart"/>
            <w:tcBorders>
              <w:top w:val="single" w:sz="4" w:space="0" w:color="000000"/>
              <w:left w:val="single" w:sz="4" w:space="0" w:color="000000"/>
              <w:right w:val="single" w:sz="4" w:space="0" w:color="000000"/>
            </w:tcBorders>
            <w:shd w:val="clear" w:color="auto" w:fill="D2D2D2"/>
          </w:tcPr>
          <w:p>
            <w:pPr/>
          </w:p>
        </w:tc>
        <w:tc>
          <w:tcPr>
            <w:tcW w:w="744" w:type="dxa"/>
            <w:vMerge w:val="restart"/>
            <w:tcBorders>
              <w:top w:val="single" w:sz="4" w:space="0" w:color="000000"/>
              <w:left w:val="single" w:sz="4" w:space="0" w:color="000000"/>
              <w:right w:val="single" w:sz="4" w:space="0" w:color="000000"/>
            </w:tcBorders>
            <w:shd w:val="clear" w:color="auto" w:fill="D2D2D2"/>
          </w:tcPr>
          <w:p>
            <w:pPr/>
          </w:p>
        </w:tc>
        <w:tc>
          <w:tcPr>
            <w:tcW w:w="830" w:type="dxa"/>
            <w:tcBorders>
              <w:top w:val="single" w:sz="4" w:space="0" w:color="000000"/>
              <w:left w:val="single" w:sz="4" w:space="0" w:color="000000"/>
              <w:bottom w:val="nil" w:sz="6" w:space="0" w:color="auto"/>
              <w:right w:val="single" w:sz="4" w:space="0" w:color="000000"/>
            </w:tcBorders>
            <w:shd w:val="clear" w:color="auto" w:fill="D2D2D2"/>
          </w:tcPr>
          <w:p>
            <w:pPr/>
          </w:p>
        </w:tc>
        <w:tc>
          <w:tcPr>
            <w:tcW w:w="788"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6"/>
              <w:ind w:left="28" w:right="29"/>
              <w:jc w:val="center"/>
              <w:rPr>
                <w:rFonts w:ascii="宋体" w:hAnsi="宋体" w:cs="宋体" w:eastAsia="宋体" w:hint="default"/>
                <w:sz w:val="18"/>
                <w:szCs w:val="18"/>
              </w:rPr>
            </w:pPr>
            <w:r>
              <w:rPr>
                <w:rFonts w:ascii="宋体" w:hAnsi="宋体" w:cs="宋体" w:eastAsia="宋体" w:hint="default"/>
                <w:sz w:val="18"/>
                <w:szCs w:val="18"/>
              </w:rPr>
              <w:t>报告期内 增减变动 情况</w:t>
            </w:r>
          </w:p>
        </w:tc>
        <w:tc>
          <w:tcPr>
            <w:tcW w:w="824"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6"/>
              <w:ind w:left="27" w:right="64"/>
              <w:jc w:val="both"/>
              <w:rPr>
                <w:rFonts w:ascii="宋体" w:hAnsi="宋体" w:cs="宋体" w:eastAsia="宋体" w:hint="default"/>
                <w:sz w:val="18"/>
                <w:szCs w:val="18"/>
              </w:rPr>
            </w:pPr>
            <w:r>
              <w:rPr>
                <w:rFonts w:ascii="宋体" w:hAnsi="宋体" w:cs="宋体" w:eastAsia="宋体" w:hint="default"/>
                <w:sz w:val="18"/>
                <w:szCs w:val="18"/>
              </w:rPr>
              <w:t>持有有限 售条件的 股份数量</w:t>
            </w:r>
          </w:p>
        </w:tc>
        <w:tc>
          <w:tcPr>
            <w:tcW w:w="802"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6"/>
              <w:ind w:left="16" w:right="54"/>
              <w:jc w:val="both"/>
              <w:rPr>
                <w:rFonts w:ascii="宋体" w:hAnsi="宋体" w:cs="宋体" w:eastAsia="宋体" w:hint="default"/>
                <w:sz w:val="18"/>
                <w:szCs w:val="18"/>
              </w:rPr>
            </w:pPr>
            <w:r>
              <w:rPr>
                <w:rFonts w:ascii="宋体" w:hAnsi="宋体" w:cs="宋体" w:eastAsia="宋体" w:hint="default"/>
                <w:sz w:val="18"/>
                <w:szCs w:val="18"/>
              </w:rPr>
              <w:t>持有无限 售条件的 股份数量</w:t>
            </w:r>
          </w:p>
        </w:tc>
        <w:tc>
          <w:tcPr>
            <w:tcW w:w="2699" w:type="dxa"/>
            <w:gridSpan w:val="5"/>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714" w:right="0"/>
              <w:jc w:val="left"/>
              <w:rPr>
                <w:rFonts w:ascii="宋体" w:hAnsi="宋体" w:cs="宋体" w:eastAsia="宋体" w:hint="default"/>
                <w:sz w:val="18"/>
                <w:szCs w:val="18"/>
              </w:rPr>
            </w:pPr>
            <w:r>
              <w:rPr>
                <w:rFonts w:ascii="宋体" w:hAnsi="宋体" w:cs="宋体" w:eastAsia="宋体" w:hint="default"/>
                <w:sz w:val="18"/>
                <w:szCs w:val="18"/>
              </w:rPr>
              <w:t>质押或冻结情况</w:t>
            </w:r>
          </w:p>
        </w:tc>
      </w:tr>
      <w:tr>
        <w:trPr>
          <w:trHeight w:val="156" w:hRule="exact"/>
        </w:trPr>
        <w:tc>
          <w:tcPr>
            <w:tcW w:w="1469" w:type="dxa"/>
            <w:gridSpan w:val="2"/>
            <w:vMerge/>
            <w:tcBorders>
              <w:left w:val="single" w:sz="4" w:space="0" w:color="000000"/>
              <w:bottom w:val="nil" w:sz="6" w:space="0" w:color="auto"/>
              <w:right w:val="single" w:sz="4" w:space="0" w:color="000000"/>
            </w:tcBorders>
            <w:shd w:val="clear" w:color="auto" w:fill="D2D2D2"/>
          </w:tcPr>
          <w:p>
            <w:pPr/>
          </w:p>
        </w:tc>
        <w:tc>
          <w:tcPr>
            <w:tcW w:w="1411" w:type="dxa"/>
            <w:gridSpan w:val="2"/>
            <w:vMerge/>
            <w:tcBorders>
              <w:left w:val="single" w:sz="4" w:space="0" w:color="000000"/>
              <w:bottom w:val="nil" w:sz="6" w:space="0" w:color="auto"/>
              <w:right w:val="single" w:sz="4" w:space="0" w:color="000000"/>
            </w:tcBorders>
            <w:shd w:val="clear" w:color="auto" w:fill="D2D2D2"/>
          </w:tcPr>
          <w:p>
            <w:pPr/>
          </w:p>
        </w:tc>
        <w:tc>
          <w:tcPr>
            <w:tcW w:w="744" w:type="dxa"/>
            <w:vMerge/>
            <w:tcBorders>
              <w:left w:val="single" w:sz="4" w:space="0" w:color="000000"/>
              <w:bottom w:val="nil" w:sz="6" w:space="0" w:color="auto"/>
              <w:right w:val="single" w:sz="4" w:space="0" w:color="000000"/>
            </w:tcBorders>
            <w:shd w:val="clear" w:color="auto" w:fill="D2D2D2"/>
          </w:tcPr>
          <w:p>
            <w:pPr/>
          </w:p>
        </w:tc>
        <w:tc>
          <w:tcPr>
            <w:tcW w:w="830"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71" w:right="27"/>
              <w:jc w:val="left"/>
              <w:rPr>
                <w:rFonts w:ascii="宋体" w:hAnsi="宋体" w:cs="宋体" w:eastAsia="宋体" w:hint="default"/>
                <w:sz w:val="18"/>
                <w:szCs w:val="18"/>
              </w:rPr>
            </w:pPr>
            <w:r>
              <w:rPr>
                <w:rFonts w:ascii="宋体" w:hAnsi="宋体" w:cs="宋体" w:eastAsia="宋体" w:hint="default"/>
                <w:sz w:val="18"/>
                <w:szCs w:val="18"/>
              </w:rPr>
              <w:t>报告期末 持股数量</w:t>
            </w:r>
          </w:p>
        </w:tc>
        <w:tc>
          <w:tcPr>
            <w:tcW w:w="788" w:type="dxa"/>
            <w:gridSpan w:val="2"/>
            <w:vMerge/>
            <w:tcBorders>
              <w:left w:val="single" w:sz="4" w:space="0" w:color="000000"/>
              <w:right w:val="single" w:sz="4" w:space="0" w:color="000000"/>
            </w:tcBorders>
            <w:shd w:val="clear" w:color="auto" w:fill="D2D2D2"/>
          </w:tcPr>
          <w:p>
            <w:pPr/>
          </w:p>
        </w:tc>
        <w:tc>
          <w:tcPr>
            <w:tcW w:w="824" w:type="dxa"/>
            <w:vMerge/>
            <w:tcBorders>
              <w:left w:val="single" w:sz="4" w:space="0" w:color="000000"/>
              <w:right w:val="single" w:sz="4" w:space="0" w:color="000000"/>
            </w:tcBorders>
            <w:shd w:val="clear" w:color="auto" w:fill="D2D2D2"/>
          </w:tcPr>
          <w:p>
            <w:pPr/>
          </w:p>
        </w:tc>
        <w:tc>
          <w:tcPr>
            <w:tcW w:w="802" w:type="dxa"/>
            <w:vMerge/>
            <w:tcBorders>
              <w:left w:val="single" w:sz="4" w:space="0" w:color="000000"/>
              <w:right w:val="single" w:sz="4" w:space="0" w:color="000000"/>
            </w:tcBorders>
            <w:shd w:val="clear" w:color="auto" w:fill="D2D2D2"/>
          </w:tcPr>
          <w:p>
            <w:pPr/>
          </w:p>
        </w:tc>
        <w:tc>
          <w:tcPr>
            <w:tcW w:w="2699" w:type="dxa"/>
            <w:gridSpan w:val="5"/>
            <w:vMerge/>
            <w:tcBorders>
              <w:left w:val="single" w:sz="4" w:space="0" w:color="000000"/>
              <w:right w:val="single" w:sz="4" w:space="0" w:color="000000"/>
            </w:tcBorders>
            <w:shd w:val="clear" w:color="auto" w:fill="D2D2D2"/>
          </w:tcPr>
          <w:p>
            <w:pPr/>
          </w:p>
        </w:tc>
      </w:tr>
      <w:tr>
        <w:trPr>
          <w:trHeight w:val="140" w:hRule="exact"/>
        </w:trPr>
        <w:tc>
          <w:tcPr>
            <w:tcW w:w="1469" w:type="dxa"/>
            <w:gridSpan w:val="2"/>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368" w:right="0"/>
              <w:jc w:val="left"/>
              <w:rPr>
                <w:rFonts w:ascii="宋体" w:hAnsi="宋体" w:cs="宋体" w:eastAsia="宋体" w:hint="default"/>
                <w:sz w:val="18"/>
                <w:szCs w:val="18"/>
              </w:rPr>
            </w:pPr>
            <w:r>
              <w:rPr>
                <w:rFonts w:ascii="宋体" w:hAnsi="宋体" w:cs="宋体" w:eastAsia="宋体" w:hint="default"/>
                <w:sz w:val="18"/>
                <w:szCs w:val="18"/>
              </w:rPr>
              <w:t>股东名称</w:t>
            </w:r>
          </w:p>
        </w:tc>
        <w:tc>
          <w:tcPr>
            <w:tcW w:w="1411" w:type="dxa"/>
            <w:gridSpan w:val="2"/>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339" w:right="0"/>
              <w:jc w:val="left"/>
              <w:rPr>
                <w:rFonts w:ascii="宋体" w:hAnsi="宋体" w:cs="宋体" w:eastAsia="宋体" w:hint="default"/>
                <w:sz w:val="18"/>
                <w:szCs w:val="18"/>
              </w:rPr>
            </w:pPr>
            <w:r>
              <w:rPr>
                <w:rFonts w:ascii="宋体" w:hAnsi="宋体" w:cs="宋体" w:eastAsia="宋体" w:hint="default"/>
                <w:sz w:val="18"/>
                <w:szCs w:val="18"/>
              </w:rPr>
              <w:t>股东性质</w:t>
            </w:r>
          </w:p>
        </w:tc>
        <w:tc>
          <w:tcPr>
            <w:tcW w:w="74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28" w:right="-15"/>
              <w:jc w:val="left"/>
              <w:rPr>
                <w:rFonts w:ascii="宋体" w:hAnsi="宋体" w:cs="宋体" w:eastAsia="宋体" w:hint="default"/>
                <w:sz w:val="18"/>
                <w:szCs w:val="18"/>
              </w:rPr>
            </w:pPr>
            <w:r>
              <w:rPr>
                <w:rFonts w:ascii="宋体" w:hAnsi="宋体" w:cs="宋体" w:eastAsia="宋体" w:hint="default"/>
                <w:sz w:val="18"/>
                <w:szCs w:val="18"/>
              </w:rPr>
              <w:t>持股比例</w:t>
            </w:r>
          </w:p>
        </w:tc>
        <w:tc>
          <w:tcPr>
            <w:tcW w:w="830" w:type="dxa"/>
            <w:vMerge/>
            <w:tcBorders>
              <w:left w:val="single" w:sz="4" w:space="0" w:color="000000"/>
              <w:right w:val="single" w:sz="4" w:space="0" w:color="000000"/>
            </w:tcBorders>
            <w:shd w:val="clear" w:color="auto" w:fill="D2D2D2"/>
          </w:tcPr>
          <w:p>
            <w:pPr/>
          </w:p>
        </w:tc>
        <w:tc>
          <w:tcPr>
            <w:tcW w:w="788" w:type="dxa"/>
            <w:gridSpan w:val="2"/>
            <w:vMerge/>
            <w:tcBorders>
              <w:left w:val="single" w:sz="4" w:space="0" w:color="000000"/>
              <w:right w:val="single" w:sz="4" w:space="0" w:color="000000"/>
            </w:tcBorders>
            <w:shd w:val="clear" w:color="auto" w:fill="D2D2D2"/>
          </w:tcPr>
          <w:p>
            <w:pPr/>
          </w:p>
        </w:tc>
        <w:tc>
          <w:tcPr>
            <w:tcW w:w="824" w:type="dxa"/>
            <w:vMerge/>
            <w:tcBorders>
              <w:left w:val="single" w:sz="4" w:space="0" w:color="000000"/>
              <w:right w:val="single" w:sz="4" w:space="0" w:color="000000"/>
            </w:tcBorders>
            <w:shd w:val="clear" w:color="auto" w:fill="D2D2D2"/>
          </w:tcPr>
          <w:p>
            <w:pPr/>
          </w:p>
        </w:tc>
        <w:tc>
          <w:tcPr>
            <w:tcW w:w="802" w:type="dxa"/>
            <w:vMerge/>
            <w:tcBorders>
              <w:left w:val="single" w:sz="4" w:space="0" w:color="000000"/>
              <w:right w:val="single" w:sz="4" w:space="0" w:color="000000"/>
            </w:tcBorders>
            <w:shd w:val="clear" w:color="auto" w:fill="D2D2D2"/>
          </w:tcPr>
          <w:p>
            <w:pPr/>
          </w:p>
        </w:tc>
        <w:tc>
          <w:tcPr>
            <w:tcW w:w="2699" w:type="dxa"/>
            <w:gridSpan w:val="5"/>
            <w:vMerge/>
            <w:tcBorders>
              <w:left w:val="single" w:sz="4" w:space="0" w:color="000000"/>
              <w:bottom w:val="single" w:sz="4" w:space="0" w:color="000000"/>
              <w:right w:val="single" w:sz="4" w:space="0" w:color="000000"/>
            </w:tcBorders>
            <w:shd w:val="clear" w:color="auto" w:fill="D2D2D2"/>
          </w:tcPr>
          <w:p>
            <w:pPr/>
          </w:p>
        </w:tc>
      </w:tr>
      <w:tr>
        <w:trPr>
          <w:trHeight w:val="252" w:hRule="exact"/>
        </w:trPr>
        <w:tc>
          <w:tcPr>
            <w:tcW w:w="1469" w:type="dxa"/>
            <w:gridSpan w:val="2"/>
            <w:vMerge/>
            <w:tcBorders>
              <w:left w:val="single" w:sz="4" w:space="0" w:color="000000"/>
              <w:bottom w:val="nil" w:sz="6" w:space="0" w:color="auto"/>
              <w:right w:val="single" w:sz="4" w:space="0" w:color="000000"/>
            </w:tcBorders>
            <w:shd w:val="clear" w:color="auto" w:fill="D2D2D2"/>
          </w:tcPr>
          <w:p>
            <w:pPr/>
          </w:p>
        </w:tc>
        <w:tc>
          <w:tcPr>
            <w:tcW w:w="1411" w:type="dxa"/>
            <w:gridSpan w:val="2"/>
            <w:vMerge/>
            <w:tcBorders>
              <w:left w:val="single" w:sz="4" w:space="0" w:color="000000"/>
              <w:bottom w:val="nil" w:sz="6" w:space="0" w:color="auto"/>
              <w:right w:val="single" w:sz="4" w:space="0" w:color="000000"/>
            </w:tcBorders>
            <w:shd w:val="clear" w:color="auto" w:fill="D2D2D2"/>
          </w:tcPr>
          <w:p>
            <w:pPr/>
          </w:p>
        </w:tc>
        <w:tc>
          <w:tcPr>
            <w:tcW w:w="744" w:type="dxa"/>
            <w:vMerge/>
            <w:tcBorders>
              <w:left w:val="single" w:sz="4" w:space="0" w:color="000000"/>
              <w:bottom w:val="nil" w:sz="6" w:space="0" w:color="auto"/>
              <w:right w:val="single" w:sz="4" w:space="0" w:color="000000"/>
            </w:tcBorders>
            <w:shd w:val="clear" w:color="auto" w:fill="D2D2D2"/>
          </w:tcPr>
          <w:p>
            <w:pPr/>
          </w:p>
        </w:tc>
        <w:tc>
          <w:tcPr>
            <w:tcW w:w="830" w:type="dxa"/>
            <w:vMerge/>
            <w:tcBorders>
              <w:left w:val="single" w:sz="4" w:space="0" w:color="000000"/>
              <w:right w:val="single" w:sz="4" w:space="0" w:color="000000"/>
            </w:tcBorders>
            <w:shd w:val="clear" w:color="auto" w:fill="D2D2D2"/>
          </w:tcPr>
          <w:p>
            <w:pPr/>
          </w:p>
        </w:tc>
        <w:tc>
          <w:tcPr>
            <w:tcW w:w="788" w:type="dxa"/>
            <w:gridSpan w:val="2"/>
            <w:vMerge/>
            <w:tcBorders>
              <w:left w:val="single" w:sz="4" w:space="0" w:color="000000"/>
              <w:right w:val="single" w:sz="4" w:space="0" w:color="000000"/>
            </w:tcBorders>
            <w:shd w:val="clear" w:color="auto" w:fill="D2D2D2"/>
          </w:tcPr>
          <w:p>
            <w:pPr/>
          </w:p>
        </w:tc>
        <w:tc>
          <w:tcPr>
            <w:tcW w:w="824" w:type="dxa"/>
            <w:vMerge/>
            <w:tcBorders>
              <w:left w:val="single" w:sz="4" w:space="0" w:color="000000"/>
              <w:right w:val="single" w:sz="4" w:space="0" w:color="000000"/>
            </w:tcBorders>
            <w:shd w:val="clear" w:color="auto" w:fill="D2D2D2"/>
          </w:tcPr>
          <w:p>
            <w:pPr/>
          </w:p>
        </w:tc>
        <w:tc>
          <w:tcPr>
            <w:tcW w:w="802" w:type="dxa"/>
            <w:vMerge/>
            <w:tcBorders>
              <w:left w:val="single" w:sz="4" w:space="0" w:color="000000"/>
              <w:right w:val="single" w:sz="4" w:space="0" w:color="000000"/>
            </w:tcBorders>
            <w:shd w:val="clear" w:color="auto" w:fill="D2D2D2"/>
          </w:tcPr>
          <w:p>
            <w:pPr/>
          </w:p>
        </w:tc>
        <w:tc>
          <w:tcPr>
            <w:tcW w:w="1349"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06"/>
              <w:ind w:left="308" w:right="0"/>
              <w:jc w:val="left"/>
              <w:rPr>
                <w:rFonts w:ascii="宋体" w:hAnsi="宋体" w:cs="宋体" w:eastAsia="宋体" w:hint="default"/>
                <w:sz w:val="18"/>
                <w:szCs w:val="18"/>
              </w:rPr>
            </w:pPr>
            <w:r>
              <w:rPr>
                <w:rFonts w:ascii="宋体" w:hAnsi="宋体" w:cs="宋体" w:eastAsia="宋体" w:hint="default"/>
                <w:sz w:val="18"/>
                <w:szCs w:val="18"/>
              </w:rPr>
              <w:t>股份状态</w:t>
            </w:r>
          </w:p>
        </w:tc>
        <w:tc>
          <w:tcPr>
            <w:tcW w:w="1350"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06"/>
              <w:ind w:right="1"/>
              <w:jc w:val="center"/>
              <w:rPr>
                <w:rFonts w:ascii="宋体" w:hAnsi="宋体" w:cs="宋体" w:eastAsia="宋体" w:hint="default"/>
                <w:sz w:val="18"/>
                <w:szCs w:val="18"/>
              </w:rPr>
            </w:pPr>
            <w:r>
              <w:rPr>
                <w:rFonts w:ascii="宋体" w:hAnsi="宋体" w:cs="宋体" w:eastAsia="宋体" w:hint="default"/>
                <w:sz w:val="18"/>
                <w:szCs w:val="18"/>
              </w:rPr>
              <w:t>数量</w:t>
            </w:r>
          </w:p>
        </w:tc>
      </w:tr>
      <w:tr>
        <w:trPr>
          <w:trHeight w:val="156" w:hRule="exact"/>
        </w:trPr>
        <w:tc>
          <w:tcPr>
            <w:tcW w:w="1469" w:type="dxa"/>
            <w:gridSpan w:val="2"/>
            <w:vMerge w:val="restart"/>
            <w:tcBorders>
              <w:top w:val="nil" w:sz="6" w:space="0" w:color="auto"/>
              <w:left w:val="single" w:sz="4" w:space="0" w:color="000000"/>
              <w:right w:val="single" w:sz="4" w:space="0" w:color="000000"/>
            </w:tcBorders>
            <w:shd w:val="clear" w:color="auto" w:fill="D2D2D2"/>
          </w:tcPr>
          <w:p>
            <w:pPr/>
          </w:p>
        </w:tc>
        <w:tc>
          <w:tcPr>
            <w:tcW w:w="1411" w:type="dxa"/>
            <w:gridSpan w:val="2"/>
            <w:vMerge w:val="restart"/>
            <w:tcBorders>
              <w:top w:val="nil" w:sz="6" w:space="0" w:color="auto"/>
              <w:left w:val="single" w:sz="4" w:space="0" w:color="000000"/>
              <w:right w:val="single" w:sz="4" w:space="0" w:color="000000"/>
            </w:tcBorders>
            <w:shd w:val="clear" w:color="auto" w:fill="D2D2D2"/>
          </w:tcPr>
          <w:p>
            <w:pPr/>
          </w:p>
        </w:tc>
        <w:tc>
          <w:tcPr>
            <w:tcW w:w="744" w:type="dxa"/>
            <w:vMerge w:val="restart"/>
            <w:tcBorders>
              <w:top w:val="nil" w:sz="6" w:space="0" w:color="auto"/>
              <w:left w:val="single" w:sz="4" w:space="0" w:color="000000"/>
              <w:right w:val="single" w:sz="4" w:space="0" w:color="000000"/>
            </w:tcBorders>
            <w:shd w:val="clear" w:color="auto" w:fill="D2D2D2"/>
          </w:tcPr>
          <w:p>
            <w:pPr/>
          </w:p>
        </w:tc>
        <w:tc>
          <w:tcPr>
            <w:tcW w:w="830" w:type="dxa"/>
            <w:vMerge/>
            <w:tcBorders>
              <w:left w:val="single" w:sz="4" w:space="0" w:color="000000"/>
              <w:bottom w:val="nil" w:sz="6" w:space="0" w:color="auto"/>
              <w:right w:val="single" w:sz="4" w:space="0" w:color="000000"/>
            </w:tcBorders>
            <w:shd w:val="clear" w:color="auto" w:fill="D2D2D2"/>
          </w:tcPr>
          <w:p>
            <w:pPr/>
          </w:p>
        </w:tc>
        <w:tc>
          <w:tcPr>
            <w:tcW w:w="788" w:type="dxa"/>
            <w:gridSpan w:val="2"/>
            <w:vMerge/>
            <w:tcBorders>
              <w:left w:val="single" w:sz="4" w:space="0" w:color="000000"/>
              <w:right w:val="single" w:sz="4" w:space="0" w:color="000000"/>
            </w:tcBorders>
            <w:shd w:val="clear" w:color="auto" w:fill="D2D2D2"/>
          </w:tcPr>
          <w:p>
            <w:pPr/>
          </w:p>
        </w:tc>
        <w:tc>
          <w:tcPr>
            <w:tcW w:w="824" w:type="dxa"/>
            <w:vMerge/>
            <w:tcBorders>
              <w:left w:val="single" w:sz="4" w:space="0" w:color="000000"/>
              <w:right w:val="single" w:sz="4" w:space="0" w:color="000000"/>
            </w:tcBorders>
            <w:shd w:val="clear" w:color="auto" w:fill="D2D2D2"/>
          </w:tcPr>
          <w:p>
            <w:pPr/>
          </w:p>
        </w:tc>
        <w:tc>
          <w:tcPr>
            <w:tcW w:w="802" w:type="dxa"/>
            <w:vMerge/>
            <w:tcBorders>
              <w:left w:val="single" w:sz="4" w:space="0" w:color="000000"/>
              <w:right w:val="single" w:sz="4" w:space="0" w:color="000000"/>
            </w:tcBorders>
            <w:shd w:val="clear" w:color="auto" w:fill="D2D2D2"/>
          </w:tcPr>
          <w:p>
            <w:pPr/>
          </w:p>
        </w:tc>
        <w:tc>
          <w:tcPr>
            <w:tcW w:w="1349" w:type="dxa"/>
            <w:gridSpan w:val="2"/>
            <w:vMerge/>
            <w:tcBorders>
              <w:left w:val="single" w:sz="4" w:space="0" w:color="000000"/>
              <w:right w:val="single" w:sz="4" w:space="0" w:color="000000"/>
            </w:tcBorders>
            <w:shd w:val="clear" w:color="auto" w:fill="D2D2D2"/>
          </w:tcPr>
          <w:p>
            <w:pPr/>
          </w:p>
        </w:tc>
        <w:tc>
          <w:tcPr>
            <w:tcW w:w="1350" w:type="dxa"/>
            <w:gridSpan w:val="3"/>
            <w:vMerge/>
            <w:tcBorders>
              <w:left w:val="single" w:sz="4" w:space="0" w:color="000000"/>
              <w:right w:val="single" w:sz="4" w:space="0" w:color="000000"/>
            </w:tcBorders>
            <w:shd w:val="clear" w:color="auto" w:fill="D2D2D2"/>
          </w:tcPr>
          <w:p>
            <w:pPr/>
          </w:p>
        </w:tc>
      </w:tr>
      <w:tr>
        <w:trPr>
          <w:trHeight w:val="161" w:hRule="exact"/>
        </w:trPr>
        <w:tc>
          <w:tcPr>
            <w:tcW w:w="1469" w:type="dxa"/>
            <w:gridSpan w:val="2"/>
            <w:vMerge/>
            <w:tcBorders>
              <w:left w:val="single" w:sz="4" w:space="0" w:color="000000"/>
              <w:bottom w:val="single" w:sz="4" w:space="0" w:color="000000"/>
              <w:right w:val="single" w:sz="4" w:space="0" w:color="000000"/>
            </w:tcBorders>
            <w:shd w:val="clear" w:color="auto" w:fill="D2D2D2"/>
          </w:tcPr>
          <w:p>
            <w:pPr/>
          </w:p>
        </w:tc>
        <w:tc>
          <w:tcPr>
            <w:tcW w:w="1411" w:type="dxa"/>
            <w:gridSpan w:val="2"/>
            <w:vMerge/>
            <w:tcBorders>
              <w:left w:val="single" w:sz="4" w:space="0" w:color="000000"/>
              <w:bottom w:val="single" w:sz="4" w:space="0" w:color="000000"/>
              <w:right w:val="single" w:sz="4" w:space="0" w:color="000000"/>
            </w:tcBorders>
            <w:shd w:val="clear" w:color="auto" w:fill="D2D2D2"/>
          </w:tcPr>
          <w:p>
            <w:pPr/>
          </w:p>
        </w:tc>
        <w:tc>
          <w:tcPr>
            <w:tcW w:w="744" w:type="dxa"/>
            <w:vMerge/>
            <w:tcBorders>
              <w:left w:val="single" w:sz="4" w:space="0" w:color="000000"/>
              <w:bottom w:val="single" w:sz="4" w:space="0" w:color="000000"/>
              <w:right w:val="single" w:sz="4" w:space="0" w:color="000000"/>
            </w:tcBorders>
            <w:shd w:val="clear" w:color="auto" w:fill="D2D2D2"/>
          </w:tcPr>
          <w:p>
            <w:pPr/>
          </w:p>
        </w:tc>
        <w:tc>
          <w:tcPr>
            <w:tcW w:w="830" w:type="dxa"/>
            <w:tcBorders>
              <w:top w:val="nil" w:sz="6" w:space="0" w:color="auto"/>
              <w:left w:val="single" w:sz="4" w:space="0" w:color="000000"/>
              <w:bottom w:val="single" w:sz="4" w:space="0" w:color="000000"/>
              <w:right w:val="single" w:sz="4" w:space="0" w:color="000000"/>
            </w:tcBorders>
            <w:shd w:val="clear" w:color="auto" w:fill="D2D2D2"/>
          </w:tcPr>
          <w:p>
            <w:pPr/>
          </w:p>
        </w:tc>
        <w:tc>
          <w:tcPr>
            <w:tcW w:w="788" w:type="dxa"/>
            <w:gridSpan w:val="2"/>
            <w:vMerge/>
            <w:tcBorders>
              <w:left w:val="single" w:sz="4" w:space="0" w:color="000000"/>
              <w:bottom w:val="single" w:sz="4" w:space="0" w:color="000000"/>
              <w:right w:val="single" w:sz="4" w:space="0" w:color="000000"/>
            </w:tcBorders>
            <w:shd w:val="clear" w:color="auto" w:fill="D2D2D2"/>
          </w:tcPr>
          <w:p>
            <w:pPr/>
          </w:p>
        </w:tc>
        <w:tc>
          <w:tcPr>
            <w:tcW w:w="824" w:type="dxa"/>
            <w:vMerge/>
            <w:tcBorders>
              <w:left w:val="single" w:sz="4" w:space="0" w:color="000000"/>
              <w:bottom w:val="single" w:sz="4" w:space="0" w:color="000000"/>
              <w:right w:val="single" w:sz="4" w:space="0" w:color="000000"/>
            </w:tcBorders>
            <w:shd w:val="clear" w:color="auto" w:fill="D2D2D2"/>
          </w:tcPr>
          <w:p>
            <w:pPr/>
          </w:p>
        </w:tc>
        <w:tc>
          <w:tcPr>
            <w:tcW w:w="802" w:type="dxa"/>
            <w:vMerge/>
            <w:tcBorders>
              <w:left w:val="single" w:sz="4" w:space="0" w:color="000000"/>
              <w:bottom w:val="single" w:sz="4" w:space="0" w:color="000000"/>
              <w:right w:val="single" w:sz="4" w:space="0" w:color="000000"/>
            </w:tcBorders>
            <w:shd w:val="clear" w:color="auto" w:fill="D2D2D2"/>
          </w:tcPr>
          <w:p>
            <w:pPr/>
          </w:p>
        </w:tc>
        <w:tc>
          <w:tcPr>
            <w:tcW w:w="1349" w:type="dxa"/>
            <w:gridSpan w:val="2"/>
            <w:vMerge/>
            <w:tcBorders>
              <w:left w:val="single" w:sz="4" w:space="0" w:color="000000"/>
              <w:bottom w:val="single" w:sz="4" w:space="0" w:color="000000"/>
              <w:right w:val="single" w:sz="4" w:space="0" w:color="000000"/>
            </w:tcBorders>
            <w:shd w:val="clear" w:color="auto" w:fill="D2D2D2"/>
          </w:tcPr>
          <w:p>
            <w:pPr/>
          </w:p>
        </w:tc>
        <w:tc>
          <w:tcPr>
            <w:tcW w:w="1350" w:type="dxa"/>
            <w:gridSpan w:val="3"/>
            <w:vMerge/>
            <w:tcBorders>
              <w:left w:val="single" w:sz="4" w:space="0" w:color="000000"/>
              <w:bottom w:val="single" w:sz="4" w:space="0" w:color="000000"/>
              <w:right w:val="single" w:sz="4" w:space="0" w:color="000000"/>
            </w:tcBorders>
            <w:shd w:val="clear" w:color="auto" w:fill="D2D2D2"/>
          </w:tcPr>
          <w:p>
            <w:pPr/>
          </w:p>
        </w:tc>
      </w:tr>
      <w:tr>
        <w:trPr>
          <w:trHeight w:val="714" w:hRule="exact"/>
        </w:trPr>
        <w:tc>
          <w:tcPr>
            <w:tcW w:w="146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杨维国</w:t>
            </w:r>
          </w:p>
        </w:tc>
        <w:tc>
          <w:tcPr>
            <w:tcW w:w="14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7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19.57%</w:t>
            </w:r>
          </w:p>
        </w:tc>
        <w:tc>
          <w:tcPr>
            <w:tcW w:w="8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94,159,10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8</w:t>
            </w:r>
          </w:p>
        </w:tc>
        <w:tc>
          <w:tcPr>
            <w:tcW w:w="78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-5,181,20</w:t>
            </w:r>
          </w:p>
          <w:p>
            <w:pPr>
              <w:pStyle w:val="TableParagraph"/>
              <w:spacing w:line="240" w:lineRule="auto" w:before="105"/>
              <w:ind w:left="22" w:right="0"/>
              <w:jc w:val="left"/>
              <w:rPr>
                <w:rFonts w:ascii="Times New Roman" w:hAnsi="Times New Roman" w:cs="Times New Roman" w:eastAsia="Times New Roman" w:hint="default"/>
                <w:sz w:val="18"/>
                <w:szCs w:val="18"/>
              </w:rPr>
            </w:pPr>
            <w:r>
              <w:rPr>
                <w:rFonts w:ascii="Times New Roman"/>
                <w:sz w:val="18"/>
              </w:rPr>
              <w:t>0</w:t>
            </w:r>
          </w:p>
        </w:tc>
        <w:tc>
          <w:tcPr>
            <w:tcW w:w="8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59"/>
              <w:jc w:val="right"/>
              <w:rPr>
                <w:rFonts w:ascii="Times New Roman" w:hAnsi="Times New Roman" w:cs="Times New Roman" w:eastAsia="Times New Roman" w:hint="default"/>
                <w:sz w:val="18"/>
                <w:szCs w:val="18"/>
              </w:rPr>
            </w:pPr>
            <w:r>
              <w:rPr>
                <w:rFonts w:ascii="Times New Roman"/>
                <w:sz w:val="18"/>
              </w:rPr>
              <w:t>74,505,23</w:t>
            </w:r>
          </w:p>
          <w:p>
            <w:pPr>
              <w:pStyle w:val="TableParagraph"/>
              <w:spacing w:line="240" w:lineRule="auto" w:before="105"/>
              <w:ind w:right="59"/>
              <w:jc w:val="right"/>
              <w:rPr>
                <w:rFonts w:ascii="Times New Roman" w:hAnsi="Times New Roman" w:cs="Times New Roman" w:eastAsia="Times New Roman" w:hint="default"/>
                <w:sz w:val="18"/>
                <w:szCs w:val="18"/>
              </w:rPr>
            </w:pPr>
            <w:r>
              <w:rPr>
                <w:rFonts w:ascii="Times New Roman"/>
                <w:sz w:val="18"/>
              </w:rPr>
              <w:t>1</w:t>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19,653,87</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7</w:t>
            </w:r>
          </w:p>
        </w:tc>
        <w:tc>
          <w:tcPr>
            <w:tcW w:w="1349" w:type="dxa"/>
            <w:gridSpan w:val="2"/>
            <w:tcBorders>
              <w:top w:val="single" w:sz="45" w:space="0" w:color="D2D2D2"/>
              <w:left w:val="single" w:sz="4" w:space="0" w:color="000000"/>
              <w:bottom w:val="single" w:sz="4" w:space="0" w:color="000000"/>
              <w:right w:val="single" w:sz="4" w:space="0" w:color="000000"/>
            </w:tcBorders>
          </w:tcPr>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质押</w:t>
            </w:r>
          </w:p>
        </w:tc>
        <w:tc>
          <w:tcPr>
            <w:tcW w:w="1350" w:type="dxa"/>
            <w:gridSpan w:val="3"/>
            <w:tcBorders>
              <w:top w:val="single" w:sz="45" w:space="0" w:color="D2D2D2"/>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left="506" w:right="0"/>
              <w:jc w:val="left"/>
              <w:rPr>
                <w:rFonts w:ascii="Times New Roman" w:hAnsi="Times New Roman" w:cs="Times New Roman" w:eastAsia="Times New Roman" w:hint="default"/>
                <w:sz w:val="18"/>
                <w:szCs w:val="18"/>
              </w:rPr>
            </w:pPr>
            <w:r>
              <w:rPr>
                <w:rFonts w:ascii="Times New Roman"/>
                <w:sz w:val="18"/>
              </w:rPr>
              <w:t>36,500,365</w:t>
            </w:r>
          </w:p>
        </w:tc>
      </w:tr>
      <w:tr>
        <w:trPr>
          <w:trHeight w:val="714" w:hRule="exact"/>
        </w:trPr>
        <w:tc>
          <w:tcPr>
            <w:tcW w:w="146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尚卫国</w:t>
            </w:r>
          </w:p>
        </w:tc>
        <w:tc>
          <w:tcPr>
            <w:tcW w:w="14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7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3.92%</w:t>
            </w:r>
          </w:p>
        </w:tc>
        <w:tc>
          <w:tcPr>
            <w:tcW w:w="8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18,840,86</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w:t>
            </w:r>
          </w:p>
        </w:tc>
        <w:tc>
          <w:tcPr>
            <w:tcW w:w="788" w:type="dxa"/>
            <w:gridSpan w:val="2"/>
            <w:tcBorders>
              <w:top w:val="single" w:sz="4" w:space="0" w:color="000000"/>
              <w:left w:val="single" w:sz="4" w:space="0" w:color="000000"/>
              <w:bottom w:val="single" w:sz="4" w:space="0" w:color="000000"/>
              <w:right w:val="single" w:sz="4" w:space="0" w:color="000000"/>
            </w:tcBorders>
          </w:tcPr>
          <w:p>
            <w:pPr/>
          </w:p>
        </w:tc>
        <w:tc>
          <w:tcPr>
            <w:tcW w:w="8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59"/>
              <w:jc w:val="right"/>
              <w:rPr>
                <w:rFonts w:ascii="Times New Roman" w:hAnsi="Times New Roman" w:cs="Times New Roman" w:eastAsia="Times New Roman" w:hint="default"/>
                <w:sz w:val="18"/>
                <w:szCs w:val="18"/>
              </w:rPr>
            </w:pPr>
            <w:r>
              <w:rPr>
                <w:rFonts w:ascii="Times New Roman"/>
                <w:sz w:val="18"/>
              </w:rPr>
              <w:t>14,130,64</w:t>
            </w:r>
          </w:p>
          <w:p>
            <w:pPr>
              <w:pStyle w:val="TableParagraph"/>
              <w:spacing w:line="240" w:lineRule="auto" w:before="105"/>
              <w:ind w:right="59"/>
              <w:jc w:val="right"/>
              <w:rPr>
                <w:rFonts w:ascii="Times New Roman" w:hAnsi="Times New Roman" w:cs="Times New Roman" w:eastAsia="Times New Roman" w:hint="default"/>
                <w:sz w:val="18"/>
                <w:szCs w:val="18"/>
              </w:rPr>
            </w:pPr>
            <w:r>
              <w:rPr>
                <w:rFonts w:ascii="Times New Roman"/>
                <w:sz w:val="18"/>
              </w:rPr>
              <w:t>5</w:t>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4,710,215</w:t>
            </w:r>
          </w:p>
        </w:tc>
        <w:tc>
          <w:tcPr>
            <w:tcW w:w="1349" w:type="dxa"/>
            <w:gridSpan w:val="2"/>
            <w:tcBorders>
              <w:top w:val="single" w:sz="4" w:space="0" w:color="000000"/>
              <w:left w:val="single" w:sz="4" w:space="0" w:color="000000"/>
              <w:bottom w:val="single" w:sz="4" w:space="0" w:color="000000"/>
              <w:right w:val="single" w:sz="4" w:space="0" w:color="000000"/>
            </w:tcBorders>
          </w:tcPr>
          <w:p>
            <w:pPr/>
          </w:p>
        </w:tc>
        <w:tc>
          <w:tcPr>
            <w:tcW w:w="1350" w:type="dxa"/>
            <w:gridSpan w:val="3"/>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6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付秋生</w:t>
            </w:r>
          </w:p>
        </w:tc>
        <w:tc>
          <w:tcPr>
            <w:tcW w:w="14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7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3.47%</w:t>
            </w:r>
          </w:p>
        </w:tc>
        <w:tc>
          <w:tcPr>
            <w:tcW w:w="8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16,700,75</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9</w:t>
            </w:r>
          </w:p>
        </w:tc>
        <w:tc>
          <w:tcPr>
            <w:tcW w:w="788" w:type="dxa"/>
            <w:gridSpan w:val="2"/>
            <w:tcBorders>
              <w:top w:val="single" w:sz="4" w:space="0" w:color="000000"/>
              <w:left w:val="single" w:sz="4" w:space="0" w:color="000000"/>
              <w:bottom w:val="single" w:sz="4" w:space="0" w:color="000000"/>
              <w:right w:val="single" w:sz="4" w:space="0" w:color="000000"/>
            </w:tcBorders>
          </w:tcPr>
          <w:p>
            <w:pPr/>
          </w:p>
        </w:tc>
        <w:tc>
          <w:tcPr>
            <w:tcW w:w="8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59"/>
              <w:jc w:val="right"/>
              <w:rPr>
                <w:rFonts w:ascii="Times New Roman" w:hAnsi="Times New Roman" w:cs="Times New Roman" w:eastAsia="Times New Roman" w:hint="default"/>
                <w:sz w:val="18"/>
                <w:szCs w:val="18"/>
              </w:rPr>
            </w:pPr>
            <w:r>
              <w:rPr>
                <w:rFonts w:ascii="Times New Roman"/>
                <w:sz w:val="18"/>
              </w:rPr>
              <w:t>12,525,56</w:t>
            </w:r>
          </w:p>
          <w:p>
            <w:pPr>
              <w:pStyle w:val="TableParagraph"/>
              <w:spacing w:line="240" w:lineRule="auto" w:before="105"/>
              <w:ind w:right="59"/>
              <w:jc w:val="right"/>
              <w:rPr>
                <w:rFonts w:ascii="Times New Roman" w:hAnsi="Times New Roman" w:cs="Times New Roman" w:eastAsia="Times New Roman" w:hint="default"/>
                <w:sz w:val="18"/>
                <w:szCs w:val="18"/>
              </w:rPr>
            </w:pPr>
            <w:r>
              <w:rPr>
                <w:rFonts w:ascii="Times New Roman"/>
                <w:sz w:val="18"/>
              </w:rPr>
              <w:t>9</w:t>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4,175,190</w:t>
            </w:r>
          </w:p>
        </w:tc>
        <w:tc>
          <w:tcPr>
            <w:tcW w:w="134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质押</w:t>
            </w:r>
          </w:p>
        </w:tc>
        <w:tc>
          <w:tcPr>
            <w:tcW w:w="135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06" w:right="0"/>
              <w:jc w:val="left"/>
              <w:rPr>
                <w:rFonts w:ascii="Times New Roman" w:hAnsi="Times New Roman" w:cs="Times New Roman" w:eastAsia="Times New Roman" w:hint="default"/>
                <w:sz w:val="18"/>
                <w:szCs w:val="18"/>
              </w:rPr>
            </w:pPr>
            <w:r>
              <w:rPr>
                <w:rFonts w:ascii="Times New Roman"/>
                <w:sz w:val="18"/>
              </w:rPr>
              <w:t>15,003,104</w:t>
            </w:r>
          </w:p>
        </w:tc>
      </w:tr>
      <w:tr>
        <w:trPr>
          <w:trHeight w:val="714" w:hRule="exact"/>
        </w:trPr>
        <w:tc>
          <w:tcPr>
            <w:tcW w:w="146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华梦阳</w:t>
            </w:r>
          </w:p>
        </w:tc>
        <w:tc>
          <w:tcPr>
            <w:tcW w:w="14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7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3.39%</w:t>
            </w:r>
          </w:p>
        </w:tc>
        <w:tc>
          <w:tcPr>
            <w:tcW w:w="8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16,325,36</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7</w:t>
            </w:r>
          </w:p>
        </w:tc>
        <w:tc>
          <w:tcPr>
            <w:tcW w:w="788" w:type="dxa"/>
            <w:gridSpan w:val="2"/>
            <w:tcBorders>
              <w:top w:val="single" w:sz="4" w:space="0" w:color="000000"/>
              <w:left w:val="single" w:sz="4" w:space="0" w:color="000000"/>
              <w:bottom w:val="single" w:sz="4" w:space="0" w:color="000000"/>
              <w:right w:val="single" w:sz="4" w:space="0" w:color="000000"/>
            </w:tcBorders>
          </w:tcPr>
          <w:p>
            <w:pPr/>
          </w:p>
        </w:tc>
        <w:tc>
          <w:tcPr>
            <w:tcW w:w="8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59"/>
              <w:jc w:val="right"/>
              <w:rPr>
                <w:rFonts w:ascii="Times New Roman" w:hAnsi="Times New Roman" w:cs="Times New Roman" w:eastAsia="Times New Roman" w:hint="default"/>
                <w:sz w:val="18"/>
                <w:szCs w:val="18"/>
              </w:rPr>
            </w:pPr>
            <w:r>
              <w:rPr>
                <w:rFonts w:ascii="Times New Roman"/>
                <w:sz w:val="18"/>
              </w:rPr>
              <w:t>12,244,02</w:t>
            </w:r>
          </w:p>
          <w:p>
            <w:pPr>
              <w:pStyle w:val="TableParagraph"/>
              <w:spacing w:line="240" w:lineRule="auto" w:before="105"/>
              <w:ind w:right="59"/>
              <w:jc w:val="right"/>
              <w:rPr>
                <w:rFonts w:ascii="Times New Roman" w:hAnsi="Times New Roman" w:cs="Times New Roman" w:eastAsia="Times New Roman" w:hint="default"/>
                <w:sz w:val="18"/>
                <w:szCs w:val="18"/>
              </w:rPr>
            </w:pPr>
            <w:r>
              <w:rPr>
                <w:rFonts w:ascii="Times New Roman"/>
                <w:sz w:val="18"/>
              </w:rPr>
              <w:t>5</w:t>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4,081,342</w:t>
            </w:r>
          </w:p>
        </w:tc>
        <w:tc>
          <w:tcPr>
            <w:tcW w:w="134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质押</w:t>
            </w:r>
          </w:p>
        </w:tc>
        <w:tc>
          <w:tcPr>
            <w:tcW w:w="135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03" w:right="0"/>
              <w:jc w:val="left"/>
              <w:rPr>
                <w:rFonts w:ascii="Times New Roman" w:hAnsi="Times New Roman" w:cs="Times New Roman" w:eastAsia="Times New Roman" w:hint="default"/>
                <w:sz w:val="18"/>
                <w:szCs w:val="18"/>
              </w:rPr>
            </w:pPr>
            <w:r>
              <w:rPr>
                <w:rFonts w:ascii="Times New Roman"/>
                <w:sz w:val="18"/>
              </w:rPr>
              <w:t>5,692,411</w:t>
            </w:r>
          </w:p>
        </w:tc>
      </w:tr>
      <w:tr>
        <w:trPr>
          <w:trHeight w:val="714" w:hRule="exact"/>
        </w:trPr>
        <w:tc>
          <w:tcPr>
            <w:tcW w:w="146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葛晓阁</w:t>
            </w:r>
          </w:p>
        </w:tc>
        <w:tc>
          <w:tcPr>
            <w:tcW w:w="14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7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3.24%</w:t>
            </w:r>
          </w:p>
        </w:tc>
        <w:tc>
          <w:tcPr>
            <w:tcW w:w="8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15,570,95</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9</w:t>
            </w:r>
          </w:p>
        </w:tc>
        <w:tc>
          <w:tcPr>
            <w:tcW w:w="788" w:type="dxa"/>
            <w:gridSpan w:val="2"/>
            <w:tcBorders>
              <w:top w:val="single" w:sz="4" w:space="0" w:color="000000"/>
              <w:left w:val="single" w:sz="4" w:space="0" w:color="000000"/>
              <w:bottom w:val="single" w:sz="4" w:space="0" w:color="000000"/>
              <w:right w:val="single" w:sz="4" w:space="0" w:color="000000"/>
            </w:tcBorders>
          </w:tcPr>
          <w:p>
            <w:pPr/>
          </w:p>
        </w:tc>
        <w:tc>
          <w:tcPr>
            <w:tcW w:w="8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59"/>
              <w:jc w:val="right"/>
              <w:rPr>
                <w:rFonts w:ascii="Times New Roman" w:hAnsi="Times New Roman" w:cs="Times New Roman" w:eastAsia="Times New Roman" w:hint="default"/>
                <w:sz w:val="18"/>
                <w:szCs w:val="18"/>
              </w:rPr>
            </w:pPr>
            <w:r>
              <w:rPr>
                <w:rFonts w:ascii="Times New Roman"/>
                <w:sz w:val="18"/>
              </w:rPr>
              <w:t>0</w:t>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15,570,95</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9</w:t>
            </w:r>
          </w:p>
        </w:tc>
        <w:tc>
          <w:tcPr>
            <w:tcW w:w="134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质押</w:t>
            </w:r>
          </w:p>
        </w:tc>
        <w:tc>
          <w:tcPr>
            <w:tcW w:w="135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06" w:right="0"/>
              <w:jc w:val="left"/>
              <w:rPr>
                <w:rFonts w:ascii="Times New Roman" w:hAnsi="Times New Roman" w:cs="Times New Roman" w:eastAsia="Times New Roman" w:hint="default"/>
                <w:sz w:val="18"/>
                <w:szCs w:val="18"/>
              </w:rPr>
            </w:pPr>
            <w:r>
              <w:rPr>
                <w:rFonts w:ascii="Times New Roman"/>
                <w:sz w:val="18"/>
              </w:rPr>
              <w:t>13,263,616</w:t>
            </w:r>
          </w:p>
        </w:tc>
      </w:tr>
      <w:tr>
        <w:trPr>
          <w:trHeight w:val="714" w:hRule="exact"/>
        </w:trPr>
        <w:tc>
          <w:tcPr>
            <w:tcW w:w="146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傅常顺</w:t>
            </w:r>
          </w:p>
        </w:tc>
        <w:tc>
          <w:tcPr>
            <w:tcW w:w="14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7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3.14%</w:t>
            </w:r>
          </w:p>
        </w:tc>
        <w:tc>
          <w:tcPr>
            <w:tcW w:w="8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15,118,31</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5</w:t>
            </w:r>
          </w:p>
        </w:tc>
        <w:tc>
          <w:tcPr>
            <w:tcW w:w="788" w:type="dxa"/>
            <w:gridSpan w:val="2"/>
            <w:tcBorders>
              <w:top w:val="single" w:sz="4" w:space="0" w:color="000000"/>
              <w:left w:val="single" w:sz="4" w:space="0" w:color="000000"/>
              <w:bottom w:val="single" w:sz="4" w:space="0" w:color="000000"/>
              <w:right w:val="single" w:sz="4" w:space="0" w:color="000000"/>
            </w:tcBorders>
          </w:tcPr>
          <w:p>
            <w:pPr/>
          </w:p>
        </w:tc>
        <w:tc>
          <w:tcPr>
            <w:tcW w:w="8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59"/>
              <w:jc w:val="right"/>
              <w:rPr>
                <w:rFonts w:ascii="Times New Roman" w:hAnsi="Times New Roman" w:cs="Times New Roman" w:eastAsia="Times New Roman" w:hint="default"/>
                <w:sz w:val="18"/>
                <w:szCs w:val="18"/>
              </w:rPr>
            </w:pPr>
            <w:r>
              <w:rPr>
                <w:rFonts w:ascii="Times New Roman"/>
                <w:spacing w:val="-1"/>
                <w:sz w:val="18"/>
              </w:rPr>
              <w:t>11,338,73</w:t>
            </w:r>
          </w:p>
          <w:p>
            <w:pPr>
              <w:pStyle w:val="TableParagraph"/>
              <w:spacing w:line="240" w:lineRule="auto" w:before="105"/>
              <w:ind w:right="59"/>
              <w:jc w:val="right"/>
              <w:rPr>
                <w:rFonts w:ascii="Times New Roman" w:hAnsi="Times New Roman" w:cs="Times New Roman" w:eastAsia="Times New Roman" w:hint="default"/>
                <w:sz w:val="18"/>
                <w:szCs w:val="18"/>
              </w:rPr>
            </w:pPr>
            <w:r>
              <w:rPr>
                <w:rFonts w:ascii="Times New Roman"/>
                <w:sz w:val="18"/>
              </w:rPr>
              <w:t>6</w:t>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3,779,579</w:t>
            </w:r>
          </w:p>
        </w:tc>
        <w:tc>
          <w:tcPr>
            <w:tcW w:w="1349" w:type="dxa"/>
            <w:gridSpan w:val="2"/>
            <w:tcBorders>
              <w:top w:val="single" w:sz="4" w:space="0" w:color="000000"/>
              <w:left w:val="single" w:sz="4" w:space="0" w:color="000000"/>
              <w:bottom w:val="single" w:sz="4" w:space="0" w:color="000000"/>
              <w:right w:val="single" w:sz="4" w:space="0" w:color="000000"/>
            </w:tcBorders>
          </w:tcPr>
          <w:p>
            <w:pPr/>
          </w:p>
        </w:tc>
        <w:tc>
          <w:tcPr>
            <w:tcW w:w="1350" w:type="dxa"/>
            <w:gridSpan w:val="3"/>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6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赵利宾</w:t>
            </w:r>
          </w:p>
        </w:tc>
        <w:tc>
          <w:tcPr>
            <w:tcW w:w="14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7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3.14%</w:t>
            </w:r>
          </w:p>
        </w:tc>
        <w:tc>
          <w:tcPr>
            <w:tcW w:w="8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15,118,31</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5</w:t>
            </w:r>
          </w:p>
        </w:tc>
        <w:tc>
          <w:tcPr>
            <w:tcW w:w="788" w:type="dxa"/>
            <w:gridSpan w:val="2"/>
            <w:tcBorders>
              <w:top w:val="single" w:sz="4" w:space="0" w:color="000000"/>
              <w:left w:val="single" w:sz="4" w:space="0" w:color="000000"/>
              <w:bottom w:val="single" w:sz="4" w:space="0" w:color="000000"/>
              <w:right w:val="single" w:sz="4" w:space="0" w:color="000000"/>
            </w:tcBorders>
          </w:tcPr>
          <w:p>
            <w:pPr/>
          </w:p>
        </w:tc>
        <w:tc>
          <w:tcPr>
            <w:tcW w:w="8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59"/>
              <w:jc w:val="right"/>
              <w:rPr>
                <w:rFonts w:ascii="Times New Roman" w:hAnsi="Times New Roman" w:cs="Times New Roman" w:eastAsia="Times New Roman" w:hint="default"/>
                <w:sz w:val="18"/>
                <w:szCs w:val="18"/>
              </w:rPr>
            </w:pPr>
            <w:r>
              <w:rPr>
                <w:rFonts w:ascii="Times New Roman"/>
                <w:spacing w:val="-1"/>
                <w:sz w:val="18"/>
              </w:rPr>
              <w:t>11,338,73</w:t>
            </w:r>
          </w:p>
          <w:p>
            <w:pPr>
              <w:pStyle w:val="TableParagraph"/>
              <w:spacing w:line="240" w:lineRule="auto" w:before="105"/>
              <w:ind w:right="59"/>
              <w:jc w:val="right"/>
              <w:rPr>
                <w:rFonts w:ascii="Times New Roman" w:hAnsi="Times New Roman" w:cs="Times New Roman" w:eastAsia="Times New Roman" w:hint="default"/>
                <w:sz w:val="18"/>
                <w:szCs w:val="18"/>
              </w:rPr>
            </w:pPr>
            <w:r>
              <w:rPr>
                <w:rFonts w:ascii="Times New Roman"/>
                <w:sz w:val="18"/>
              </w:rPr>
              <w:t>6</w:t>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3,779,579</w:t>
            </w:r>
          </w:p>
        </w:tc>
        <w:tc>
          <w:tcPr>
            <w:tcW w:w="134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质押</w:t>
            </w:r>
          </w:p>
        </w:tc>
        <w:tc>
          <w:tcPr>
            <w:tcW w:w="135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06" w:right="0"/>
              <w:jc w:val="left"/>
              <w:rPr>
                <w:rFonts w:ascii="Times New Roman" w:hAnsi="Times New Roman" w:cs="Times New Roman" w:eastAsia="Times New Roman" w:hint="default"/>
                <w:sz w:val="18"/>
                <w:szCs w:val="18"/>
              </w:rPr>
            </w:pPr>
            <w:r>
              <w:rPr>
                <w:rFonts w:ascii="Times New Roman"/>
                <w:sz w:val="18"/>
              </w:rPr>
              <w:t>13,543,304</w:t>
            </w:r>
          </w:p>
        </w:tc>
      </w:tr>
      <w:tr>
        <w:trPr>
          <w:trHeight w:val="714" w:hRule="exact"/>
        </w:trPr>
        <w:tc>
          <w:tcPr>
            <w:tcW w:w="146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杜建平</w:t>
            </w:r>
          </w:p>
        </w:tc>
        <w:tc>
          <w:tcPr>
            <w:tcW w:w="14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7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3.14%</w:t>
            </w:r>
          </w:p>
        </w:tc>
        <w:tc>
          <w:tcPr>
            <w:tcW w:w="8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15,118,31</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5</w:t>
            </w:r>
          </w:p>
        </w:tc>
        <w:tc>
          <w:tcPr>
            <w:tcW w:w="788" w:type="dxa"/>
            <w:gridSpan w:val="2"/>
            <w:tcBorders>
              <w:top w:val="single" w:sz="4" w:space="0" w:color="000000"/>
              <w:left w:val="single" w:sz="4" w:space="0" w:color="000000"/>
              <w:bottom w:val="single" w:sz="4" w:space="0" w:color="000000"/>
              <w:right w:val="single" w:sz="4" w:space="0" w:color="000000"/>
            </w:tcBorders>
          </w:tcPr>
          <w:p>
            <w:pPr/>
          </w:p>
        </w:tc>
        <w:tc>
          <w:tcPr>
            <w:tcW w:w="8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59"/>
              <w:jc w:val="right"/>
              <w:rPr>
                <w:rFonts w:ascii="Times New Roman" w:hAnsi="Times New Roman" w:cs="Times New Roman" w:eastAsia="Times New Roman" w:hint="default"/>
                <w:sz w:val="18"/>
                <w:szCs w:val="18"/>
              </w:rPr>
            </w:pPr>
            <w:r>
              <w:rPr>
                <w:rFonts w:ascii="Times New Roman"/>
                <w:spacing w:val="-1"/>
                <w:sz w:val="18"/>
              </w:rPr>
              <w:t>11,338,73</w:t>
            </w:r>
          </w:p>
          <w:p>
            <w:pPr>
              <w:pStyle w:val="TableParagraph"/>
              <w:spacing w:line="240" w:lineRule="auto" w:before="105"/>
              <w:ind w:right="59"/>
              <w:jc w:val="right"/>
              <w:rPr>
                <w:rFonts w:ascii="Times New Roman" w:hAnsi="Times New Roman" w:cs="Times New Roman" w:eastAsia="Times New Roman" w:hint="default"/>
                <w:sz w:val="18"/>
                <w:szCs w:val="18"/>
              </w:rPr>
            </w:pPr>
            <w:r>
              <w:rPr>
                <w:rFonts w:ascii="Times New Roman"/>
                <w:sz w:val="18"/>
              </w:rPr>
              <w:t>7</w:t>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3,779,578</w:t>
            </w:r>
          </w:p>
        </w:tc>
        <w:tc>
          <w:tcPr>
            <w:tcW w:w="134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质押</w:t>
            </w:r>
          </w:p>
        </w:tc>
        <w:tc>
          <w:tcPr>
            <w:tcW w:w="135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96" w:right="0"/>
              <w:jc w:val="left"/>
              <w:rPr>
                <w:rFonts w:ascii="Times New Roman" w:hAnsi="Times New Roman" w:cs="Times New Roman" w:eastAsia="Times New Roman" w:hint="default"/>
                <w:sz w:val="18"/>
                <w:szCs w:val="18"/>
              </w:rPr>
            </w:pPr>
            <w:r>
              <w:rPr>
                <w:rFonts w:ascii="Times New Roman"/>
                <w:sz w:val="18"/>
              </w:rPr>
              <w:t>7,010,430</w:t>
            </w:r>
          </w:p>
        </w:tc>
      </w:tr>
      <w:tr>
        <w:trPr>
          <w:trHeight w:val="714" w:hRule="exact"/>
        </w:trPr>
        <w:tc>
          <w:tcPr>
            <w:tcW w:w="146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刘恩臣</w:t>
            </w:r>
          </w:p>
        </w:tc>
        <w:tc>
          <w:tcPr>
            <w:tcW w:w="14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7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2.99%</w:t>
            </w:r>
          </w:p>
        </w:tc>
        <w:tc>
          <w:tcPr>
            <w:tcW w:w="8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14,363,90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8</w:t>
            </w:r>
          </w:p>
        </w:tc>
        <w:tc>
          <w:tcPr>
            <w:tcW w:w="788" w:type="dxa"/>
            <w:gridSpan w:val="2"/>
            <w:tcBorders>
              <w:top w:val="single" w:sz="4" w:space="0" w:color="000000"/>
              <w:left w:val="single" w:sz="4" w:space="0" w:color="000000"/>
              <w:bottom w:val="single" w:sz="4" w:space="0" w:color="000000"/>
              <w:right w:val="single" w:sz="4" w:space="0" w:color="000000"/>
            </w:tcBorders>
          </w:tcPr>
          <w:p>
            <w:pPr/>
          </w:p>
        </w:tc>
        <w:tc>
          <w:tcPr>
            <w:tcW w:w="8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59"/>
              <w:jc w:val="right"/>
              <w:rPr>
                <w:rFonts w:ascii="Times New Roman" w:hAnsi="Times New Roman" w:cs="Times New Roman" w:eastAsia="Times New Roman" w:hint="default"/>
                <w:sz w:val="18"/>
                <w:szCs w:val="18"/>
              </w:rPr>
            </w:pPr>
            <w:r>
              <w:rPr>
                <w:rFonts w:ascii="Times New Roman"/>
                <w:sz w:val="18"/>
              </w:rPr>
              <w:t>10,772,93</w:t>
            </w:r>
          </w:p>
          <w:p>
            <w:pPr>
              <w:pStyle w:val="TableParagraph"/>
              <w:spacing w:line="240" w:lineRule="auto" w:before="105"/>
              <w:ind w:right="59"/>
              <w:jc w:val="right"/>
              <w:rPr>
                <w:rFonts w:ascii="Times New Roman" w:hAnsi="Times New Roman" w:cs="Times New Roman" w:eastAsia="Times New Roman" w:hint="default"/>
                <w:sz w:val="18"/>
                <w:szCs w:val="18"/>
              </w:rPr>
            </w:pPr>
            <w:r>
              <w:rPr>
                <w:rFonts w:ascii="Times New Roman"/>
                <w:sz w:val="18"/>
              </w:rPr>
              <w:t>1</w:t>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3,590,977</w:t>
            </w:r>
          </w:p>
        </w:tc>
        <w:tc>
          <w:tcPr>
            <w:tcW w:w="134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质押</w:t>
            </w:r>
          </w:p>
        </w:tc>
        <w:tc>
          <w:tcPr>
            <w:tcW w:w="135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96" w:right="0"/>
              <w:jc w:val="left"/>
              <w:rPr>
                <w:rFonts w:ascii="Times New Roman" w:hAnsi="Times New Roman" w:cs="Times New Roman" w:eastAsia="Times New Roman" w:hint="default"/>
                <w:sz w:val="18"/>
                <w:szCs w:val="18"/>
              </w:rPr>
            </w:pPr>
            <w:r>
              <w:rPr>
                <w:rFonts w:ascii="Times New Roman"/>
                <w:sz w:val="18"/>
              </w:rPr>
              <w:t>3,949,920</w:t>
            </w:r>
          </w:p>
        </w:tc>
      </w:tr>
      <w:tr>
        <w:trPr>
          <w:trHeight w:val="713" w:hRule="exact"/>
        </w:trPr>
        <w:tc>
          <w:tcPr>
            <w:tcW w:w="146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郎金文</w:t>
            </w:r>
          </w:p>
        </w:tc>
        <w:tc>
          <w:tcPr>
            <w:tcW w:w="14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7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2.89%</w:t>
            </w:r>
          </w:p>
        </w:tc>
        <w:tc>
          <w:tcPr>
            <w:tcW w:w="8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13,911,26</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4</w:t>
            </w:r>
          </w:p>
        </w:tc>
        <w:tc>
          <w:tcPr>
            <w:tcW w:w="788" w:type="dxa"/>
            <w:gridSpan w:val="2"/>
            <w:tcBorders>
              <w:top w:val="single" w:sz="4" w:space="0" w:color="000000"/>
              <w:left w:val="single" w:sz="4" w:space="0" w:color="000000"/>
              <w:bottom w:val="single" w:sz="4" w:space="0" w:color="000000"/>
              <w:right w:val="single" w:sz="4" w:space="0" w:color="000000"/>
            </w:tcBorders>
          </w:tcPr>
          <w:p>
            <w:pPr/>
          </w:p>
        </w:tc>
        <w:tc>
          <w:tcPr>
            <w:tcW w:w="8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59"/>
              <w:jc w:val="right"/>
              <w:rPr>
                <w:rFonts w:ascii="Times New Roman" w:hAnsi="Times New Roman" w:cs="Times New Roman" w:eastAsia="Times New Roman" w:hint="default"/>
                <w:sz w:val="18"/>
                <w:szCs w:val="18"/>
              </w:rPr>
            </w:pPr>
            <w:r>
              <w:rPr>
                <w:rFonts w:ascii="Times New Roman"/>
                <w:sz w:val="18"/>
              </w:rPr>
              <w:t>0</w:t>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13,911,26</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4</w:t>
            </w:r>
          </w:p>
        </w:tc>
        <w:tc>
          <w:tcPr>
            <w:tcW w:w="134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质押</w:t>
            </w:r>
          </w:p>
        </w:tc>
        <w:tc>
          <w:tcPr>
            <w:tcW w:w="135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96" w:right="0"/>
              <w:jc w:val="left"/>
              <w:rPr>
                <w:rFonts w:ascii="Times New Roman" w:hAnsi="Times New Roman" w:cs="Times New Roman" w:eastAsia="Times New Roman" w:hint="default"/>
                <w:sz w:val="18"/>
                <w:szCs w:val="18"/>
              </w:rPr>
            </w:pPr>
            <w:r>
              <w:rPr>
                <w:rFonts w:ascii="Times New Roman"/>
                <w:sz w:val="18"/>
              </w:rPr>
              <w:t>9,369,730</w:t>
            </w:r>
          </w:p>
        </w:tc>
      </w:tr>
      <w:tr>
        <w:trPr>
          <w:trHeight w:val="674" w:hRule="exact"/>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22" w:right="20"/>
              <w:jc w:val="left"/>
              <w:rPr>
                <w:rFonts w:ascii="宋体" w:hAnsi="宋体" w:cs="宋体" w:eastAsia="宋体" w:hint="default"/>
                <w:sz w:val="18"/>
                <w:szCs w:val="18"/>
              </w:rPr>
            </w:pPr>
            <w:r>
              <w:rPr>
                <w:rFonts w:ascii="宋体" w:hAnsi="宋体" w:cs="宋体" w:eastAsia="宋体" w:hint="default"/>
                <w:sz w:val="18"/>
                <w:szCs w:val="18"/>
              </w:rPr>
              <w:t>战略投资者或一般法人因配售新股 成为前</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4"/>
                <w:sz w:val="18"/>
                <w:szCs w:val="18"/>
              </w:rPr>
              <w:t> </w:t>
            </w:r>
            <w:r>
              <w:rPr>
                <w:rFonts w:ascii="宋体" w:hAnsi="宋体" w:cs="宋体" w:eastAsia="宋体" w:hint="default"/>
                <w:spacing w:val="-13"/>
                <w:sz w:val="18"/>
                <w:szCs w:val="18"/>
              </w:rPr>
              <w:t>名股东的情况（如有）（参</w:t>
            </w:r>
          </w:p>
        </w:tc>
        <w:tc>
          <w:tcPr>
            <w:tcW w:w="6688" w:type="dxa"/>
            <w:gridSpan w:val="11"/>
            <w:tcBorders>
              <w:top w:val="single" w:sz="4" w:space="0" w:color="000000"/>
              <w:left w:val="single" w:sz="9" w:space="0" w:color="D2D2D2"/>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16" w:right="0"/>
              <w:jc w:val="left"/>
              <w:rPr>
                <w:rFonts w:ascii="宋体" w:hAnsi="宋体" w:cs="宋体" w:eastAsia="宋体" w:hint="default"/>
                <w:sz w:val="18"/>
                <w:szCs w:val="18"/>
              </w:rPr>
            </w:pPr>
            <w:r>
              <w:rPr>
                <w:rFonts w:ascii="宋体" w:hAnsi="宋体" w:cs="宋体" w:eastAsia="宋体" w:hint="default"/>
                <w:sz w:val="18"/>
                <w:szCs w:val="18"/>
              </w:rPr>
              <w:t>不适用</w:t>
            </w:r>
          </w:p>
        </w:tc>
      </w:tr>
    </w:tbl>
    <w:p>
      <w:pPr>
        <w:spacing w:after="0" w:line="240" w:lineRule="auto"/>
        <w:jc w:val="left"/>
        <w:rPr>
          <w:rFonts w:ascii="宋体" w:hAnsi="宋体" w:cs="宋体" w:eastAsia="宋体" w:hint="default"/>
          <w:sz w:val="18"/>
          <w:szCs w:val="18"/>
        </w:rPr>
        <w:sectPr>
          <w:pgSz w:w="11910" w:h="16840"/>
          <w:pgMar w:header="877" w:footer="979" w:top="110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6"/>
          <w:szCs w:val="16"/>
        </w:rPr>
      </w:pPr>
    </w:p>
    <w:p>
      <w:pPr>
        <w:spacing w:before="0"/>
        <w:ind w:left="0" w:right="1139" w:firstLine="0"/>
        <w:jc w:val="right"/>
        <w:rPr>
          <w:rFonts w:ascii="宋体" w:hAnsi="宋体" w:cs="宋体" w:eastAsia="宋体" w:hint="default"/>
          <w:sz w:val="18"/>
          <w:szCs w:val="18"/>
        </w:rPr>
      </w:pPr>
      <w:r>
        <w:rPr/>
        <w:pict>
          <v:shape style="position:absolute;margin-left:56.459999pt;margin-top:-21.168291pt;width:479.2pt;height:480.65pt;mso-position-horizontal-relative:page;mso-position-vertical-relative:paragraph;z-index:260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875"/>
                    <w:gridCol w:w="3995"/>
                    <w:gridCol w:w="1349"/>
                    <w:gridCol w:w="1350"/>
                  </w:tblGrid>
                  <w:tr>
                    <w:trPr>
                      <w:trHeight w:val="362" w:hRule="exact"/>
                    </w:trPr>
                    <w:tc>
                      <w:tcPr>
                        <w:tcW w:w="287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见注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w:t>
                        </w:r>
                        <w:r>
                          <w:rPr>
                            <w:rFonts w:ascii="宋体" w:hAnsi="宋体" w:cs="宋体" w:eastAsia="宋体" w:hint="default"/>
                            <w:sz w:val="18"/>
                            <w:szCs w:val="18"/>
                          </w:rPr>
                          <w:t>）</w:t>
                        </w:r>
                      </w:p>
                    </w:tc>
                    <w:tc>
                      <w:tcPr>
                        <w:tcW w:w="6694" w:type="dxa"/>
                        <w:gridSpan w:val="3"/>
                        <w:tcBorders>
                          <w:top w:val="single" w:sz="4" w:space="0" w:color="000000"/>
                          <w:left w:val="single" w:sz="9" w:space="0" w:color="D2D2D2"/>
                          <w:bottom w:val="single" w:sz="4" w:space="0" w:color="000000"/>
                          <w:right w:val="single" w:sz="4" w:space="0" w:color="000000"/>
                        </w:tcBorders>
                      </w:tcPr>
                      <w:p>
                        <w:pPr/>
                      </w:p>
                    </w:tc>
                  </w:tr>
                  <w:tr>
                    <w:trPr>
                      <w:trHeight w:val="161" w:hRule="exact"/>
                    </w:trPr>
                    <w:tc>
                      <w:tcPr>
                        <w:tcW w:w="2875" w:type="dxa"/>
                        <w:tcBorders>
                          <w:top w:val="single" w:sz="4" w:space="0" w:color="000000"/>
                          <w:left w:val="single" w:sz="4" w:space="0" w:color="000000"/>
                          <w:bottom w:val="nil" w:sz="6" w:space="0" w:color="auto"/>
                          <w:right w:val="single" w:sz="4" w:space="0" w:color="000000"/>
                        </w:tcBorders>
                        <w:shd w:val="clear" w:color="auto" w:fill="D2D2D2"/>
                      </w:tcPr>
                      <w:p>
                        <w:pPr/>
                      </w:p>
                    </w:tc>
                    <w:tc>
                      <w:tcPr>
                        <w:tcW w:w="6694" w:type="dxa"/>
                        <w:gridSpan w:val="3"/>
                        <w:vMerge w:val="restart"/>
                        <w:tcBorders>
                          <w:top w:val="single" w:sz="4" w:space="0" w:color="000000"/>
                          <w:left w:val="single" w:sz="9" w:space="0" w:color="D2D2D2"/>
                          <w:right w:val="single" w:sz="4" w:space="0" w:color="000000"/>
                        </w:tcBorders>
                      </w:tcPr>
                      <w:p>
                        <w:pPr>
                          <w:pStyle w:val="TableParagraph"/>
                          <w:spacing w:line="316" w:lineRule="auto" w:before="51"/>
                          <w:ind w:left="21" w:right="23"/>
                          <w:jc w:val="left"/>
                          <w:rPr>
                            <w:rFonts w:ascii="Times New Roman" w:hAnsi="Times New Roman" w:cs="Times New Roman" w:eastAsia="Times New Roman" w:hint="default"/>
                            <w:sz w:val="18"/>
                            <w:szCs w:val="18"/>
                          </w:rPr>
                        </w:pPr>
                        <w:r>
                          <w:rPr>
                            <w:rFonts w:ascii="宋体" w:hAnsi="宋体" w:cs="宋体" w:eastAsia="宋体" w:hint="default"/>
                            <w:spacing w:val="-4"/>
                            <w:sz w:val="18"/>
                            <w:szCs w:val="18"/>
                          </w:rPr>
                          <w:t>前十名股东中杨维国、尚卫国、付秋生、华梦阳、葛晓阁、傅常顺、赵利宾、杜建平</w:t>
                        </w:r>
                        <w:r>
                          <w:rPr>
                            <w:rFonts w:ascii="宋体" w:hAnsi="宋体" w:cs="宋体" w:eastAsia="宋体" w:hint="default"/>
                            <w:spacing w:val="-61"/>
                            <w:sz w:val="18"/>
                            <w:szCs w:val="18"/>
                          </w:rPr>
                          <w:t> </w:t>
                        </w:r>
                        <w:r>
                          <w:rPr>
                            <w:rFonts w:ascii="宋体" w:hAnsi="宋体" w:cs="宋体" w:eastAsia="宋体" w:hint="default"/>
                            <w:spacing w:val="-61"/>
                            <w:sz w:val="18"/>
                            <w:szCs w:val="18"/>
                          </w:rPr>
                        </w:r>
                        <w:r>
                          <w:rPr>
                            <w:rFonts w:ascii="宋体" w:hAnsi="宋体" w:cs="宋体" w:eastAsia="宋体" w:hint="default"/>
                            <w:spacing w:val="-4"/>
                            <w:sz w:val="18"/>
                            <w:szCs w:val="18"/>
                          </w:rPr>
                          <w:t>刘恩臣、郎金文系一致行动人，前述十名股东合计持有公司 </w:t>
                        </w:r>
                        <w:r>
                          <w:rPr>
                            <w:rFonts w:ascii="Times New Roman" w:hAnsi="Times New Roman" w:cs="Times New Roman" w:eastAsia="Times New Roman" w:hint="default"/>
                            <w:spacing w:val="-4"/>
                            <w:sz w:val="18"/>
                            <w:szCs w:val="18"/>
                          </w:rPr>
                          <w:t>48.89%</w:t>
                        </w:r>
                        <w:r>
                          <w:rPr>
                            <w:rFonts w:ascii="宋体" w:hAnsi="宋体" w:cs="宋体" w:eastAsia="宋体" w:hint="default"/>
                            <w:spacing w:val="-4"/>
                            <w:sz w:val="18"/>
                            <w:szCs w:val="18"/>
                          </w:rPr>
                          <w:t>的股份。截至</w:t>
                        </w:r>
                        <w:r>
                          <w:rPr>
                            <w:rFonts w:ascii="宋体" w:hAnsi="宋体" w:cs="宋体" w:eastAsia="宋体" w:hint="default"/>
                            <w:spacing w:val="-71"/>
                            <w:sz w:val="18"/>
                            <w:szCs w:val="18"/>
                          </w:rPr>
                          <w:t> </w:t>
                        </w:r>
                        <w:r>
                          <w:rPr>
                            <w:rFonts w:ascii="Times New Roman" w:hAnsi="Times New Roman" w:cs="Times New Roman" w:eastAsia="Times New Roman" w:hint="default"/>
                            <w:sz w:val="18"/>
                            <w:szCs w:val="18"/>
                          </w:rPr>
                          <w:t>2018</w:t>
                        </w:r>
                      </w:p>
                      <w:p>
                        <w:pPr>
                          <w:pStyle w:val="TableParagraph"/>
                          <w:spacing w:line="240" w:lineRule="auto"/>
                          <w:ind w:left="21" w:right="0"/>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日，前述十名股东的一致行动协议期限已届满。</w:t>
                        </w:r>
                      </w:p>
                    </w:tc>
                  </w:tr>
                  <w:tr>
                    <w:trPr>
                      <w:trHeight w:val="704" w:hRule="exact"/>
                    </w:trPr>
                    <w:tc>
                      <w:tcPr>
                        <w:tcW w:w="287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6" w:lineRule="auto" w:before="51"/>
                          <w:ind w:left="22" w:right="140"/>
                          <w:jc w:val="left"/>
                          <w:rPr>
                            <w:rFonts w:ascii="宋体" w:hAnsi="宋体" w:cs="宋体" w:eastAsia="宋体" w:hint="default"/>
                            <w:sz w:val="18"/>
                            <w:szCs w:val="18"/>
                          </w:rPr>
                        </w:pPr>
                        <w:r>
                          <w:rPr>
                            <w:rFonts w:ascii="宋体" w:hAnsi="宋体" w:cs="宋体" w:eastAsia="宋体" w:hint="default"/>
                            <w:sz w:val="18"/>
                            <w:szCs w:val="18"/>
                          </w:rPr>
                          <w:t>上述股东关联关系或一致行动的说 明</w:t>
                        </w:r>
                      </w:p>
                    </w:tc>
                    <w:tc>
                      <w:tcPr>
                        <w:tcW w:w="6694" w:type="dxa"/>
                        <w:gridSpan w:val="3"/>
                        <w:vMerge/>
                        <w:tcBorders>
                          <w:left w:val="single" w:sz="9" w:space="0" w:color="D2D2D2"/>
                          <w:right w:val="single" w:sz="4" w:space="0" w:color="000000"/>
                        </w:tcBorders>
                      </w:tcPr>
                      <w:p>
                        <w:pPr/>
                      </w:p>
                    </w:tc>
                  </w:tr>
                  <w:tr>
                    <w:trPr>
                      <w:trHeight w:val="161" w:hRule="exact"/>
                    </w:trPr>
                    <w:tc>
                      <w:tcPr>
                        <w:tcW w:w="2875" w:type="dxa"/>
                        <w:tcBorders>
                          <w:top w:val="nil" w:sz="6" w:space="0" w:color="auto"/>
                          <w:left w:val="single" w:sz="4" w:space="0" w:color="000000"/>
                          <w:bottom w:val="single" w:sz="4" w:space="0" w:color="000000"/>
                          <w:right w:val="single" w:sz="4" w:space="0" w:color="000000"/>
                        </w:tcBorders>
                        <w:shd w:val="clear" w:color="auto" w:fill="D2D2D2"/>
                      </w:tcPr>
                      <w:p>
                        <w:pPr/>
                      </w:p>
                    </w:tc>
                    <w:tc>
                      <w:tcPr>
                        <w:tcW w:w="6694" w:type="dxa"/>
                        <w:gridSpan w:val="3"/>
                        <w:vMerge/>
                        <w:tcBorders>
                          <w:left w:val="single" w:sz="9" w:space="0" w:color="D2D2D2"/>
                          <w:bottom w:val="single" w:sz="4" w:space="0" w:color="000000"/>
                          <w:right w:val="single" w:sz="4" w:space="0" w:color="000000"/>
                        </w:tcBorders>
                      </w:tcPr>
                      <w:p>
                        <w:pPr/>
                      </w:p>
                    </w:tc>
                  </w:tr>
                  <w:tr>
                    <w:trPr>
                      <w:trHeight w:val="402" w:hRule="exact"/>
                    </w:trPr>
                    <w:tc>
                      <w:tcPr>
                        <w:tcW w:w="9569"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名无限售条件股东持股情况</w:t>
                        </w:r>
                      </w:p>
                    </w:tc>
                  </w:tr>
                  <w:tr>
                    <w:trPr>
                      <w:trHeight w:val="205" w:hRule="exact"/>
                    </w:trPr>
                    <w:tc>
                      <w:tcPr>
                        <w:tcW w:w="2875" w:type="dxa"/>
                        <w:tcBorders>
                          <w:top w:val="single" w:sz="4" w:space="0" w:color="000000"/>
                          <w:left w:val="single" w:sz="4" w:space="0" w:color="000000"/>
                          <w:bottom w:val="nil" w:sz="6" w:space="0" w:color="auto"/>
                          <w:right w:val="single" w:sz="4" w:space="0" w:color="000000"/>
                        </w:tcBorders>
                        <w:shd w:val="clear" w:color="auto" w:fill="D2D2D2"/>
                      </w:tcPr>
                      <w:p>
                        <w:pPr/>
                      </w:p>
                    </w:tc>
                    <w:tc>
                      <w:tcPr>
                        <w:tcW w:w="3995" w:type="dxa"/>
                        <w:tcBorders>
                          <w:top w:val="single" w:sz="4" w:space="0" w:color="000000"/>
                          <w:left w:val="single" w:sz="4" w:space="0" w:color="000000"/>
                          <w:bottom w:val="nil" w:sz="6" w:space="0" w:color="auto"/>
                          <w:right w:val="single" w:sz="4" w:space="0" w:color="000000"/>
                        </w:tcBorders>
                        <w:shd w:val="clear" w:color="auto" w:fill="D2D2D2"/>
                      </w:tcPr>
                      <w:p>
                        <w:pPr/>
                      </w:p>
                    </w:tc>
                    <w:tc>
                      <w:tcPr>
                        <w:tcW w:w="2699"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股份种类</w:t>
                        </w:r>
                      </w:p>
                    </w:tc>
                  </w:tr>
                  <w:tr>
                    <w:trPr>
                      <w:trHeight w:val="192" w:hRule="exact"/>
                    </w:trPr>
                    <w:tc>
                      <w:tcPr>
                        <w:tcW w:w="2875"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3" w:right="0"/>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3995"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644" w:right="0"/>
                          <w:jc w:val="left"/>
                          <w:rPr>
                            <w:rFonts w:ascii="宋体" w:hAnsi="宋体" w:cs="宋体" w:eastAsia="宋体" w:hint="default"/>
                            <w:sz w:val="18"/>
                            <w:szCs w:val="18"/>
                          </w:rPr>
                        </w:pPr>
                        <w:r>
                          <w:rPr>
                            <w:rFonts w:ascii="宋体" w:hAnsi="宋体" w:cs="宋体" w:eastAsia="宋体" w:hint="default"/>
                            <w:sz w:val="18"/>
                            <w:szCs w:val="18"/>
                          </w:rPr>
                          <w:t>报告期末持有无限售条件股份数量</w:t>
                        </w:r>
                      </w:p>
                    </w:tc>
                    <w:tc>
                      <w:tcPr>
                        <w:tcW w:w="2699" w:type="dxa"/>
                        <w:gridSpan w:val="2"/>
                        <w:vMerge/>
                        <w:tcBorders>
                          <w:left w:val="single" w:sz="4" w:space="0" w:color="000000"/>
                          <w:bottom w:val="single" w:sz="4" w:space="0" w:color="000000"/>
                          <w:right w:val="single" w:sz="4" w:space="0" w:color="000000"/>
                        </w:tcBorders>
                        <w:shd w:val="clear" w:color="auto" w:fill="D2D2D2"/>
                      </w:tcPr>
                      <w:p>
                        <w:pPr/>
                      </w:p>
                    </w:tc>
                  </w:tr>
                  <w:tr>
                    <w:trPr>
                      <w:trHeight w:val="200" w:hRule="exact"/>
                    </w:trPr>
                    <w:tc>
                      <w:tcPr>
                        <w:tcW w:w="2875" w:type="dxa"/>
                        <w:vMerge/>
                        <w:tcBorders>
                          <w:left w:val="single" w:sz="4" w:space="0" w:color="000000"/>
                          <w:bottom w:val="nil" w:sz="6" w:space="0" w:color="auto"/>
                          <w:right w:val="single" w:sz="4" w:space="0" w:color="000000"/>
                        </w:tcBorders>
                        <w:shd w:val="clear" w:color="auto" w:fill="D2D2D2"/>
                      </w:tcPr>
                      <w:p>
                        <w:pPr/>
                      </w:p>
                    </w:tc>
                    <w:tc>
                      <w:tcPr>
                        <w:tcW w:w="3995" w:type="dxa"/>
                        <w:vMerge/>
                        <w:tcBorders>
                          <w:left w:val="single" w:sz="4" w:space="0" w:color="000000"/>
                          <w:bottom w:val="nil" w:sz="6" w:space="0" w:color="auto"/>
                          <w:right w:val="single" w:sz="4" w:space="0" w:color="000000"/>
                        </w:tcBorders>
                        <w:shd w:val="clear" w:color="auto" w:fill="D2D2D2"/>
                      </w:tcPr>
                      <w:p>
                        <w:pPr/>
                      </w:p>
                    </w:tc>
                    <w:tc>
                      <w:tcPr>
                        <w:tcW w:w="134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08" w:right="0"/>
                          <w:jc w:val="left"/>
                          <w:rPr>
                            <w:rFonts w:ascii="宋体" w:hAnsi="宋体" w:cs="宋体" w:eastAsia="宋体" w:hint="default"/>
                            <w:sz w:val="18"/>
                            <w:szCs w:val="18"/>
                          </w:rPr>
                        </w:pPr>
                        <w:r>
                          <w:rPr>
                            <w:rFonts w:ascii="宋体" w:hAnsi="宋体" w:cs="宋体" w:eastAsia="宋体" w:hint="default"/>
                            <w:sz w:val="18"/>
                            <w:szCs w:val="18"/>
                          </w:rPr>
                          <w:t>股份种类</w:t>
                        </w:r>
                      </w:p>
                    </w:tc>
                    <w:tc>
                      <w:tcPr>
                        <w:tcW w:w="135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数量</w:t>
                        </w:r>
                      </w:p>
                    </w:tc>
                  </w:tr>
                  <w:tr>
                    <w:trPr>
                      <w:trHeight w:val="206" w:hRule="exact"/>
                    </w:trPr>
                    <w:tc>
                      <w:tcPr>
                        <w:tcW w:w="2875" w:type="dxa"/>
                        <w:tcBorders>
                          <w:top w:val="nil" w:sz="6" w:space="0" w:color="auto"/>
                          <w:left w:val="single" w:sz="4" w:space="0" w:color="000000"/>
                          <w:bottom w:val="single" w:sz="4" w:space="0" w:color="000000"/>
                          <w:right w:val="single" w:sz="4" w:space="0" w:color="000000"/>
                        </w:tcBorders>
                        <w:shd w:val="clear" w:color="auto" w:fill="D2D2D2"/>
                      </w:tcPr>
                      <w:p>
                        <w:pPr/>
                      </w:p>
                    </w:tc>
                    <w:tc>
                      <w:tcPr>
                        <w:tcW w:w="3995" w:type="dxa"/>
                        <w:tcBorders>
                          <w:top w:val="nil" w:sz="6" w:space="0" w:color="auto"/>
                          <w:left w:val="single" w:sz="4" w:space="0" w:color="000000"/>
                          <w:bottom w:val="single" w:sz="4" w:space="0" w:color="000000"/>
                          <w:right w:val="single" w:sz="4" w:space="0" w:color="000000"/>
                        </w:tcBorders>
                        <w:shd w:val="clear" w:color="auto" w:fill="D2D2D2"/>
                      </w:tcPr>
                      <w:p>
                        <w:pPr/>
                      </w:p>
                    </w:tc>
                    <w:tc>
                      <w:tcPr>
                        <w:tcW w:w="1349" w:type="dxa"/>
                        <w:vMerge/>
                        <w:tcBorders>
                          <w:left w:val="single" w:sz="4" w:space="0" w:color="000000"/>
                          <w:bottom w:val="single" w:sz="4" w:space="0" w:color="000000"/>
                          <w:right w:val="single" w:sz="4" w:space="0" w:color="000000"/>
                        </w:tcBorders>
                        <w:shd w:val="clear" w:color="auto" w:fill="D2D2D2"/>
                      </w:tcPr>
                      <w:p>
                        <w:pPr/>
                      </w:p>
                    </w:tc>
                    <w:tc>
                      <w:tcPr>
                        <w:tcW w:w="1350"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28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22" w:right="0"/>
                          <w:jc w:val="left"/>
                          <w:rPr>
                            <w:rFonts w:ascii="宋体" w:hAnsi="宋体" w:cs="宋体" w:eastAsia="宋体" w:hint="default"/>
                            <w:sz w:val="19"/>
                            <w:szCs w:val="19"/>
                          </w:rPr>
                        </w:pPr>
                        <w:r>
                          <w:rPr>
                            <w:rFonts w:ascii="宋体" w:hAnsi="宋体" w:cs="宋体" w:eastAsia="宋体" w:hint="default"/>
                            <w:sz w:val="19"/>
                            <w:szCs w:val="19"/>
                          </w:rPr>
                          <w:t>杨维国</w:t>
                        </w:r>
                      </w:p>
                    </w:tc>
                    <w:tc>
                      <w:tcPr>
                        <w:tcW w:w="39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z w:val="18"/>
                          </w:rPr>
                          <w:t>19,653,877</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19,653,877</w:t>
                        </w:r>
                      </w:p>
                    </w:tc>
                  </w:tr>
                  <w:tr>
                    <w:trPr>
                      <w:trHeight w:val="402" w:hRule="exact"/>
                    </w:trPr>
                    <w:tc>
                      <w:tcPr>
                        <w:tcW w:w="28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left="22" w:right="0"/>
                          <w:jc w:val="left"/>
                          <w:rPr>
                            <w:rFonts w:ascii="宋体" w:hAnsi="宋体" w:cs="宋体" w:eastAsia="宋体" w:hint="default"/>
                            <w:sz w:val="19"/>
                            <w:szCs w:val="19"/>
                          </w:rPr>
                        </w:pPr>
                        <w:r>
                          <w:rPr>
                            <w:rFonts w:ascii="宋体" w:hAnsi="宋体" w:cs="宋体" w:eastAsia="宋体" w:hint="default"/>
                            <w:sz w:val="19"/>
                            <w:szCs w:val="19"/>
                          </w:rPr>
                          <w:t>葛晓阁</w:t>
                        </w:r>
                      </w:p>
                    </w:tc>
                    <w:tc>
                      <w:tcPr>
                        <w:tcW w:w="39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z w:val="18"/>
                          </w:rPr>
                          <w:t>15,570,959</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15,570,959</w:t>
                        </w:r>
                      </w:p>
                    </w:tc>
                  </w:tr>
                  <w:tr>
                    <w:trPr>
                      <w:trHeight w:val="402" w:hRule="exact"/>
                    </w:trPr>
                    <w:tc>
                      <w:tcPr>
                        <w:tcW w:w="28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left="22" w:right="0"/>
                          <w:jc w:val="left"/>
                          <w:rPr>
                            <w:rFonts w:ascii="宋体" w:hAnsi="宋体" w:cs="宋体" w:eastAsia="宋体" w:hint="default"/>
                            <w:sz w:val="19"/>
                            <w:szCs w:val="19"/>
                          </w:rPr>
                        </w:pPr>
                        <w:r>
                          <w:rPr>
                            <w:rFonts w:ascii="宋体" w:hAnsi="宋体" w:cs="宋体" w:eastAsia="宋体" w:hint="default"/>
                            <w:sz w:val="19"/>
                            <w:szCs w:val="19"/>
                          </w:rPr>
                          <w:t>郎金文</w:t>
                        </w:r>
                      </w:p>
                    </w:tc>
                    <w:tc>
                      <w:tcPr>
                        <w:tcW w:w="39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13,911,264</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13,911,264</w:t>
                        </w:r>
                      </w:p>
                    </w:tc>
                  </w:tr>
                  <w:tr>
                    <w:trPr>
                      <w:trHeight w:val="1026" w:hRule="exact"/>
                    </w:trPr>
                    <w:tc>
                      <w:tcPr>
                        <w:tcW w:w="28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left="22" w:right="0"/>
                          <w:jc w:val="left"/>
                          <w:rPr>
                            <w:rFonts w:ascii="宋体" w:hAnsi="宋体" w:cs="宋体" w:eastAsia="宋体" w:hint="default"/>
                            <w:sz w:val="19"/>
                            <w:szCs w:val="19"/>
                          </w:rPr>
                        </w:pPr>
                        <w:r>
                          <w:rPr>
                            <w:rFonts w:ascii="宋体" w:hAnsi="宋体" w:cs="宋体" w:eastAsia="宋体" w:hint="default"/>
                            <w:spacing w:val="11"/>
                            <w:sz w:val="19"/>
                            <w:szCs w:val="19"/>
                          </w:rPr>
                          <w:t>江西和信融智资产管理有限公司</w:t>
                        </w:r>
                      </w:p>
                      <w:p>
                        <w:pPr>
                          <w:pStyle w:val="TableParagraph"/>
                          <w:spacing w:line="285" w:lineRule="auto" w:before="62"/>
                          <w:ind w:left="22" w:right="17"/>
                          <w:jc w:val="left"/>
                          <w:rPr>
                            <w:rFonts w:ascii="宋体" w:hAnsi="宋体" w:cs="宋体" w:eastAsia="宋体" w:hint="default"/>
                            <w:sz w:val="19"/>
                            <w:szCs w:val="19"/>
                          </w:rPr>
                        </w:pPr>
                        <w:r>
                          <w:rPr>
                            <w:rFonts w:ascii="宋体" w:hAnsi="宋体" w:cs="宋体" w:eastAsia="宋体" w:hint="default"/>
                            <w:sz w:val="19"/>
                            <w:szCs w:val="19"/>
                          </w:rPr>
                          <w:t>－和信融智 </w:t>
                        </w:r>
                        <w:r>
                          <w:rPr>
                            <w:rFonts w:ascii="Times New Roman" w:hAnsi="Times New Roman" w:cs="Times New Roman" w:eastAsia="Times New Roman" w:hint="default"/>
                            <w:sz w:val="19"/>
                            <w:szCs w:val="19"/>
                          </w:rPr>
                          <w:t>PIPE16</w:t>
                        </w:r>
                        <w:r>
                          <w:rPr>
                            <w:rFonts w:ascii="Times New Roman" w:hAnsi="Times New Roman" w:cs="Times New Roman" w:eastAsia="Times New Roman" w:hint="default"/>
                            <w:spacing w:val="6"/>
                            <w:sz w:val="19"/>
                            <w:szCs w:val="19"/>
                          </w:rPr>
                          <w:t> </w:t>
                        </w:r>
                        <w:r>
                          <w:rPr>
                            <w:rFonts w:ascii="宋体" w:hAnsi="宋体" w:cs="宋体" w:eastAsia="宋体" w:hint="default"/>
                            <w:sz w:val="19"/>
                            <w:szCs w:val="19"/>
                          </w:rPr>
                          <w:t>号私募投资基</w:t>
                        </w:r>
                        <w:r>
                          <w:rPr>
                            <w:rFonts w:ascii="宋体" w:hAnsi="宋体" w:cs="宋体" w:eastAsia="宋体" w:hint="default"/>
                            <w:w w:val="99"/>
                            <w:sz w:val="19"/>
                            <w:szCs w:val="19"/>
                          </w:rPr>
                          <w:t> </w:t>
                        </w:r>
                        <w:r>
                          <w:rPr>
                            <w:rFonts w:ascii="宋体" w:hAnsi="宋体" w:cs="宋体" w:eastAsia="宋体" w:hint="default"/>
                            <w:sz w:val="19"/>
                            <w:szCs w:val="19"/>
                          </w:rPr>
                          <w:t>金</w:t>
                        </w:r>
                      </w:p>
                    </w:tc>
                    <w:tc>
                      <w:tcPr>
                        <w:tcW w:w="39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12,235,723</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12,235,723</w:t>
                        </w:r>
                      </w:p>
                    </w:tc>
                  </w:tr>
                  <w:tr>
                    <w:trPr>
                      <w:trHeight w:val="402" w:hRule="exact"/>
                    </w:trPr>
                    <w:tc>
                      <w:tcPr>
                        <w:tcW w:w="28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left="22" w:right="0"/>
                          <w:jc w:val="left"/>
                          <w:rPr>
                            <w:rFonts w:ascii="宋体" w:hAnsi="宋体" w:cs="宋体" w:eastAsia="宋体" w:hint="default"/>
                            <w:sz w:val="19"/>
                            <w:szCs w:val="19"/>
                          </w:rPr>
                        </w:pPr>
                        <w:r>
                          <w:rPr>
                            <w:rFonts w:ascii="宋体" w:hAnsi="宋体" w:cs="宋体" w:eastAsia="宋体" w:hint="default"/>
                            <w:sz w:val="19"/>
                            <w:szCs w:val="19"/>
                          </w:rPr>
                          <w:t>马明海</w:t>
                        </w:r>
                      </w:p>
                    </w:tc>
                    <w:tc>
                      <w:tcPr>
                        <w:tcW w:w="39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z w:val="18"/>
                          </w:rPr>
                          <w:t>10,587,949</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10,587,949</w:t>
                        </w:r>
                      </w:p>
                    </w:tc>
                  </w:tr>
                  <w:tr>
                    <w:trPr>
                      <w:trHeight w:val="402" w:hRule="exact"/>
                    </w:trPr>
                    <w:tc>
                      <w:tcPr>
                        <w:tcW w:w="28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left="22" w:right="0"/>
                          <w:jc w:val="left"/>
                          <w:rPr>
                            <w:rFonts w:ascii="宋体" w:hAnsi="宋体" w:cs="宋体" w:eastAsia="宋体" w:hint="default"/>
                            <w:sz w:val="19"/>
                            <w:szCs w:val="19"/>
                          </w:rPr>
                        </w:pPr>
                        <w:r>
                          <w:rPr>
                            <w:rFonts w:ascii="宋体" w:hAnsi="宋体" w:cs="宋体" w:eastAsia="宋体" w:hint="default"/>
                            <w:sz w:val="19"/>
                            <w:szCs w:val="19"/>
                          </w:rPr>
                          <w:t>丛伟滋</w:t>
                        </w:r>
                      </w:p>
                    </w:tc>
                    <w:tc>
                      <w:tcPr>
                        <w:tcW w:w="39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z w:val="18"/>
                          </w:rPr>
                          <w:t>7,520,966</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7,520,966</w:t>
                        </w:r>
                      </w:p>
                    </w:tc>
                  </w:tr>
                  <w:tr>
                    <w:trPr>
                      <w:trHeight w:val="714" w:hRule="exact"/>
                    </w:trPr>
                    <w:tc>
                      <w:tcPr>
                        <w:tcW w:w="2875"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43"/>
                          <w:ind w:left="22" w:right="18"/>
                          <w:jc w:val="left"/>
                          <w:rPr>
                            <w:rFonts w:ascii="宋体" w:hAnsi="宋体" w:cs="宋体" w:eastAsia="宋体" w:hint="default"/>
                            <w:sz w:val="19"/>
                            <w:szCs w:val="19"/>
                          </w:rPr>
                        </w:pPr>
                        <w:r>
                          <w:rPr>
                            <w:rFonts w:ascii="宋体" w:hAnsi="宋体" w:cs="宋体" w:eastAsia="宋体" w:hint="default"/>
                            <w:spacing w:val="-2"/>
                            <w:sz w:val="19"/>
                            <w:szCs w:val="19"/>
                          </w:rPr>
                          <w:t>郑州佳辰企业管理咨询中心（有限</w:t>
                        </w:r>
                        <w:r>
                          <w:rPr>
                            <w:rFonts w:ascii="宋体" w:hAnsi="宋体" w:cs="宋体" w:eastAsia="宋体" w:hint="default"/>
                            <w:w w:val="99"/>
                            <w:sz w:val="19"/>
                            <w:szCs w:val="19"/>
                          </w:rPr>
                          <w:t> </w:t>
                        </w:r>
                        <w:r>
                          <w:rPr>
                            <w:rFonts w:ascii="宋体" w:hAnsi="宋体" w:cs="宋体" w:eastAsia="宋体" w:hint="default"/>
                            <w:sz w:val="19"/>
                            <w:szCs w:val="19"/>
                          </w:rPr>
                          <w:t>合伙）</w:t>
                        </w:r>
                      </w:p>
                    </w:tc>
                    <w:tc>
                      <w:tcPr>
                        <w:tcW w:w="39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5,696,651</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5,696,651</w:t>
                        </w:r>
                      </w:p>
                    </w:tc>
                  </w:tr>
                  <w:tr>
                    <w:trPr>
                      <w:trHeight w:val="402" w:hRule="exact"/>
                    </w:trPr>
                    <w:tc>
                      <w:tcPr>
                        <w:tcW w:w="28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left="22" w:right="0"/>
                          <w:jc w:val="left"/>
                          <w:rPr>
                            <w:rFonts w:ascii="宋体" w:hAnsi="宋体" w:cs="宋体" w:eastAsia="宋体" w:hint="default"/>
                            <w:sz w:val="19"/>
                            <w:szCs w:val="19"/>
                          </w:rPr>
                        </w:pPr>
                        <w:r>
                          <w:rPr>
                            <w:rFonts w:ascii="宋体" w:hAnsi="宋体" w:cs="宋体" w:eastAsia="宋体" w:hint="default"/>
                            <w:sz w:val="19"/>
                            <w:szCs w:val="19"/>
                          </w:rPr>
                          <w:t>尚卫国</w:t>
                        </w:r>
                      </w:p>
                    </w:tc>
                    <w:tc>
                      <w:tcPr>
                        <w:tcW w:w="39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z w:val="18"/>
                          </w:rPr>
                          <w:t>4,710,215</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4,710,215</w:t>
                        </w:r>
                      </w:p>
                    </w:tc>
                  </w:tr>
                  <w:tr>
                    <w:trPr>
                      <w:trHeight w:val="402" w:hRule="exact"/>
                    </w:trPr>
                    <w:tc>
                      <w:tcPr>
                        <w:tcW w:w="28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left="22" w:right="0"/>
                          <w:jc w:val="left"/>
                          <w:rPr>
                            <w:rFonts w:ascii="宋体" w:hAnsi="宋体" w:cs="宋体" w:eastAsia="宋体" w:hint="default"/>
                            <w:sz w:val="19"/>
                            <w:szCs w:val="19"/>
                          </w:rPr>
                        </w:pPr>
                        <w:r>
                          <w:rPr>
                            <w:rFonts w:ascii="宋体" w:hAnsi="宋体" w:cs="宋体" w:eastAsia="宋体" w:hint="default"/>
                            <w:sz w:val="19"/>
                            <w:szCs w:val="19"/>
                          </w:rPr>
                          <w:t>付秋生</w:t>
                        </w:r>
                      </w:p>
                    </w:tc>
                    <w:tc>
                      <w:tcPr>
                        <w:tcW w:w="39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z w:val="18"/>
                          </w:rPr>
                          <w:t>4,175,190</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4,175,190</w:t>
                        </w:r>
                      </w:p>
                    </w:tc>
                  </w:tr>
                  <w:tr>
                    <w:trPr>
                      <w:trHeight w:val="402" w:hRule="exact"/>
                    </w:trPr>
                    <w:tc>
                      <w:tcPr>
                        <w:tcW w:w="28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left="22" w:right="0"/>
                          <w:jc w:val="left"/>
                          <w:rPr>
                            <w:rFonts w:ascii="宋体" w:hAnsi="宋体" w:cs="宋体" w:eastAsia="宋体" w:hint="default"/>
                            <w:sz w:val="19"/>
                            <w:szCs w:val="19"/>
                          </w:rPr>
                        </w:pPr>
                        <w:r>
                          <w:rPr>
                            <w:rFonts w:ascii="宋体" w:hAnsi="宋体" w:cs="宋体" w:eastAsia="宋体" w:hint="default"/>
                            <w:sz w:val="19"/>
                            <w:szCs w:val="19"/>
                          </w:rPr>
                          <w:t>华梦阳</w:t>
                        </w:r>
                      </w:p>
                    </w:tc>
                    <w:tc>
                      <w:tcPr>
                        <w:tcW w:w="39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z w:val="18"/>
                          </w:rPr>
                          <w:t>4,081,342</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4,081,342</w:t>
                        </w:r>
                      </w:p>
                    </w:tc>
                  </w:tr>
                  <w:tr>
                    <w:trPr>
                      <w:trHeight w:val="1338" w:hRule="exact"/>
                    </w:trPr>
                    <w:tc>
                      <w:tcPr>
                        <w:tcW w:w="287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名无限售流通股股东之间，以</w:t>
                        </w:r>
                      </w:p>
                      <w:p>
                        <w:pPr>
                          <w:pStyle w:val="TableParagraph"/>
                          <w:spacing w:line="309" w:lineRule="auto" w:before="61"/>
                          <w:ind w:left="22" w:right="16"/>
                          <w:jc w:val="left"/>
                          <w:rPr>
                            <w:rFonts w:ascii="宋体" w:hAnsi="宋体" w:cs="宋体" w:eastAsia="宋体" w:hint="default"/>
                            <w:sz w:val="18"/>
                            <w:szCs w:val="18"/>
                          </w:rPr>
                        </w:pPr>
                        <w:r>
                          <w:rPr>
                            <w:rFonts w:ascii="宋体" w:hAnsi="宋体" w:cs="宋体" w:eastAsia="宋体" w:hint="default"/>
                            <w:sz w:val="18"/>
                            <w:szCs w:val="18"/>
                          </w:rPr>
                          <w:t>及前</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名无限售流通股股东和前</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名股东之间关联关系或一致行动的 说明</w:t>
                        </w:r>
                      </w:p>
                    </w:tc>
                    <w:tc>
                      <w:tcPr>
                        <w:tcW w:w="6694" w:type="dxa"/>
                        <w:gridSpan w:val="3"/>
                        <w:tcBorders>
                          <w:top w:val="single" w:sz="4" w:space="0" w:color="000000"/>
                          <w:left w:val="single" w:sz="9" w:space="0" w:color="D2D2D2"/>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00" w:lineRule="auto"/>
                          <w:ind w:left="21" w:right="23"/>
                          <w:jc w:val="both"/>
                          <w:rPr>
                            <w:rFonts w:ascii="宋体" w:hAnsi="宋体" w:cs="宋体" w:eastAsia="宋体" w:hint="default"/>
                            <w:sz w:val="18"/>
                            <w:szCs w:val="18"/>
                          </w:rPr>
                        </w:pPr>
                        <w:r>
                          <w:rPr>
                            <w:rFonts w:ascii="宋体" w:hAnsi="宋体" w:cs="宋体" w:eastAsia="宋体" w:hint="default"/>
                            <w:sz w:val="18"/>
                            <w:szCs w:val="18"/>
                          </w:rPr>
                          <w:t>前十名股东中杨维国、葛晓阁、郎金文、尚卫国、付秋生、华梦阳</w:t>
                        </w:r>
                        <w:r>
                          <w:rPr>
                            <w:rFonts w:ascii="宋体" w:hAnsi="宋体" w:cs="宋体" w:eastAsia="宋体" w:hint="default"/>
                            <w:spacing w:val="-58"/>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名自然人与傅常 </w:t>
                        </w:r>
                        <w:r>
                          <w:rPr>
                            <w:rFonts w:ascii="宋体" w:hAnsi="宋体" w:cs="宋体" w:eastAsia="宋体" w:hint="default"/>
                            <w:spacing w:val="-3"/>
                            <w:sz w:val="18"/>
                            <w:szCs w:val="18"/>
                          </w:rPr>
                          <w:t>顺、赵利宾、杜建平、刘恩臣系一致行动人，前述十名股东合计持有公司</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48.89%</w:t>
                        </w:r>
                        <w:r>
                          <w:rPr>
                            <w:rFonts w:ascii="宋体" w:hAnsi="宋体" w:cs="宋体" w:eastAsia="宋体" w:hint="default"/>
                            <w:sz w:val="18"/>
                            <w:szCs w:val="18"/>
                          </w:rPr>
                          <w:t>的股 份。截至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日，前述十名股东的一致行动协议期限已届满。</w:t>
                        </w:r>
                      </w:p>
                    </w:tc>
                  </w:tr>
                  <w:tr>
                    <w:trPr>
                      <w:trHeight w:val="714" w:hRule="exact"/>
                    </w:trPr>
                    <w:tc>
                      <w:tcPr>
                        <w:tcW w:w="287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16"/>
                          <w:jc w:val="left"/>
                          <w:rPr>
                            <w:rFonts w:ascii="宋体" w:hAnsi="宋体" w:cs="宋体" w:eastAsia="宋体" w:hint="default"/>
                            <w:sz w:val="18"/>
                            <w:szCs w:val="18"/>
                          </w:rPr>
                        </w:pPr>
                        <w:r>
                          <w:rPr>
                            <w:rFonts w:ascii="宋体" w:hAnsi="宋体" w:cs="宋体" w:eastAsia="宋体" w:hint="default"/>
                            <w:spacing w:val="-4"/>
                            <w:sz w:val="18"/>
                            <w:szCs w:val="18"/>
                          </w:rPr>
                          <w:t>参与融资融券业务股东情况说明（如</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pacing w:val="-15"/>
                            <w:sz w:val="18"/>
                            <w:szCs w:val="18"/>
                          </w:rPr>
                          <w:t>有）（参见注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w:t>
                        </w:r>
                      </w:p>
                    </w:tc>
                    <w:tc>
                      <w:tcPr>
                        <w:tcW w:w="6694" w:type="dxa"/>
                        <w:gridSpan w:val="3"/>
                        <w:tcBorders>
                          <w:top w:val="single" w:sz="4" w:space="0" w:color="000000"/>
                          <w:left w:val="single" w:sz="9" w:space="0" w:color="D2D2D2"/>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1" w:right="0"/>
                          <w:jc w:val="left"/>
                          <w:rPr>
                            <w:rFonts w:ascii="宋体" w:hAnsi="宋体" w:cs="宋体" w:eastAsia="宋体" w:hint="default"/>
                            <w:sz w:val="18"/>
                            <w:szCs w:val="18"/>
                          </w:rPr>
                        </w:pPr>
                        <w:r>
                          <w:rPr>
                            <w:rFonts w:ascii="宋体" w:hAnsi="宋体" w:cs="宋体" w:eastAsia="宋体" w:hint="default"/>
                            <w:sz w:val="18"/>
                            <w:szCs w:val="18"/>
                          </w:rPr>
                          <w:t>不适用</w:t>
                        </w:r>
                      </w:p>
                    </w:tc>
                  </w:tr>
                </w:tbl>
                <w:p>
                  <w:pPr/>
                </w:p>
              </w:txbxContent>
            </v:textbox>
            <w10:wrap type="none"/>
          </v:shape>
        </w:pict>
      </w:r>
      <w:r>
        <w:rPr>
          <w:rFonts w:ascii="宋体" w:hAnsi="宋体" w:cs="宋体" w:eastAsia="宋体" w:hint="default"/>
          <w:sz w:val="18"/>
          <w:szCs w:val="18"/>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4"/>
          <w:szCs w:val="24"/>
        </w:rPr>
      </w:pPr>
    </w:p>
    <w:p>
      <w:pPr>
        <w:spacing w:before="44"/>
        <w:ind w:left="154" w:right="1117" w:firstLine="0"/>
        <w:jc w:val="left"/>
        <w:rPr>
          <w:rFonts w:ascii="宋体" w:hAnsi="宋体" w:cs="宋体" w:eastAsia="宋体" w:hint="default"/>
          <w:sz w:val="18"/>
          <w:szCs w:val="18"/>
        </w:rPr>
      </w:pPr>
      <w:r>
        <w:rPr>
          <w:rFonts w:ascii="宋体" w:hAnsi="宋体" w:cs="宋体" w:eastAsia="宋体" w:hint="default"/>
          <w:sz w:val="18"/>
          <w:szCs w:val="18"/>
        </w:rPr>
        <w:t>公司前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名普通股股东、前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名无限售条件普通股股东在报告期内是否进行约定购回交易</w:t>
      </w:r>
    </w:p>
    <w:p>
      <w:pPr>
        <w:spacing w:before="103"/>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是</w:t>
      </w:r>
      <w:r>
        <w:rPr>
          <w:rFonts w:ascii="Times New Roman" w:hAnsi="Times New Roman" w:cs="Times New Roman" w:eastAsia="Times New Roman" w:hint="default"/>
          <w:sz w:val="18"/>
          <w:szCs w:val="18"/>
        </w:rPr>
        <w:t>√</w:t>
      </w:r>
      <w:r>
        <w:rPr>
          <w:rFonts w:ascii="宋体" w:hAnsi="宋体" w:cs="宋体" w:eastAsia="宋体" w:hint="default"/>
          <w:sz w:val="18"/>
          <w:szCs w:val="18"/>
        </w:rPr>
        <w:t>否</w:t>
      </w:r>
    </w:p>
    <w:p>
      <w:pPr>
        <w:spacing w:before="102"/>
        <w:ind w:left="154" w:right="1117" w:firstLine="0"/>
        <w:jc w:val="left"/>
        <w:rPr>
          <w:rFonts w:ascii="宋体" w:hAnsi="宋体" w:cs="宋体" w:eastAsia="宋体" w:hint="default"/>
          <w:sz w:val="18"/>
          <w:szCs w:val="18"/>
        </w:rPr>
      </w:pPr>
      <w:r>
        <w:rPr>
          <w:rFonts w:ascii="宋体" w:hAnsi="宋体" w:cs="宋体" w:eastAsia="宋体" w:hint="default"/>
          <w:sz w:val="18"/>
          <w:szCs w:val="18"/>
        </w:rPr>
        <w:t>公司前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名普通股股东、前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名无限售条件普通股股东在报告期内未进行约定购回交易。</w:t>
      </w:r>
    </w:p>
    <w:p>
      <w:pPr>
        <w:spacing w:line="240" w:lineRule="auto" w:before="9"/>
        <w:rPr>
          <w:rFonts w:ascii="宋体" w:hAnsi="宋体" w:cs="宋体" w:eastAsia="宋体" w:hint="default"/>
          <w:sz w:val="25"/>
          <w:szCs w:val="25"/>
        </w:rPr>
      </w:pPr>
    </w:p>
    <w:p>
      <w:pPr>
        <w:pStyle w:val="Heading4"/>
        <w:spacing w:line="240" w:lineRule="auto"/>
        <w:ind w:right="1117"/>
        <w:jc w:val="left"/>
        <w:rPr>
          <w:b w:val="0"/>
          <w:bCs w:val="0"/>
        </w:rPr>
      </w:pPr>
      <w:bookmarkStart w:name="2、公司控股股东情况" w:id="117"/>
      <w:bookmarkEnd w:id="117"/>
      <w:r>
        <w:rPr>
          <w:b w:val="0"/>
          <w:bCs w:val="0"/>
        </w:rPr>
      </w:r>
      <w:r>
        <w:rPr>
          <w:rFonts w:ascii="Times New Roman" w:hAnsi="Times New Roman" w:cs="Times New Roman" w:eastAsia="Times New Roman" w:hint="default"/>
        </w:rPr>
        <w:t>2</w:t>
      </w:r>
      <w:r>
        <w:rPr/>
        <w:t>、公司控股股东情况</w:t>
      </w:r>
      <w:r>
        <w:rPr>
          <w:b w:val="0"/>
          <w:bCs w:val="0"/>
        </w:rPr>
      </w:r>
    </w:p>
    <w:p>
      <w:pPr>
        <w:spacing w:line="240" w:lineRule="auto" w:before="9"/>
        <w:rPr>
          <w:rFonts w:ascii="宋体" w:hAnsi="宋体" w:cs="宋体" w:eastAsia="宋体" w:hint="default"/>
          <w:b/>
          <w:bCs/>
          <w:sz w:val="26"/>
          <w:szCs w:val="26"/>
        </w:rPr>
      </w:pPr>
    </w:p>
    <w:p>
      <w:pPr>
        <w:spacing w:line="357" w:lineRule="auto" w:before="0"/>
        <w:ind w:left="154" w:right="8592" w:firstLine="0"/>
        <w:jc w:val="left"/>
        <w:rPr>
          <w:rFonts w:ascii="宋体" w:hAnsi="宋体" w:cs="宋体" w:eastAsia="宋体" w:hint="default"/>
          <w:sz w:val="18"/>
          <w:szCs w:val="18"/>
        </w:rPr>
      </w:pPr>
      <w:r>
        <w:rPr>
          <w:rFonts w:ascii="宋体" w:hAnsi="宋体" w:cs="宋体" w:eastAsia="宋体" w:hint="default"/>
          <w:sz w:val="18"/>
          <w:szCs w:val="18"/>
        </w:rPr>
        <w:t>控股股东性质：自然人控股 控股股东类型：自然人</w:t>
      </w:r>
    </w:p>
    <w:tbl>
      <w:tblPr>
        <w:tblW w:w="0" w:type="auto"/>
        <w:jc w:val="left"/>
        <w:tblInd w:w="149" w:type="dxa"/>
        <w:tblLayout w:type="fixed"/>
        <w:tblCellMar>
          <w:top w:w="0" w:type="dxa"/>
          <w:left w:w="0" w:type="dxa"/>
          <w:bottom w:w="0" w:type="dxa"/>
          <w:right w:w="0" w:type="dxa"/>
        </w:tblCellMar>
        <w:tblLook w:val="01E0"/>
      </w:tblPr>
      <w:tblGrid>
        <w:gridCol w:w="3418"/>
        <w:gridCol w:w="2030"/>
        <w:gridCol w:w="4121"/>
      </w:tblGrid>
      <w:tr>
        <w:trPr>
          <w:trHeight w:val="402" w:hRule="exact"/>
        </w:trPr>
        <w:tc>
          <w:tcPr>
            <w:tcW w:w="3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控股股东姓名</w:t>
            </w:r>
          </w:p>
        </w:tc>
        <w:tc>
          <w:tcPr>
            <w:tcW w:w="20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国籍</w:t>
            </w:r>
          </w:p>
        </w:tc>
        <w:tc>
          <w:tcPr>
            <w:tcW w:w="41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94" w:right="0"/>
              <w:jc w:val="left"/>
              <w:rPr>
                <w:rFonts w:ascii="宋体" w:hAnsi="宋体" w:cs="宋体" w:eastAsia="宋体" w:hint="default"/>
                <w:sz w:val="18"/>
                <w:szCs w:val="18"/>
              </w:rPr>
            </w:pPr>
            <w:r>
              <w:rPr>
                <w:rFonts w:ascii="宋体" w:hAnsi="宋体" w:cs="宋体" w:eastAsia="宋体" w:hint="default"/>
                <w:sz w:val="18"/>
                <w:szCs w:val="18"/>
              </w:rPr>
              <w:t>是否取得其他国家或地区居留权</w:t>
            </w:r>
          </w:p>
        </w:tc>
      </w:tr>
      <w:tr>
        <w:trPr>
          <w:trHeight w:val="402" w:hRule="exact"/>
        </w:trPr>
        <w:tc>
          <w:tcPr>
            <w:tcW w:w="3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杨维国</w:t>
            </w:r>
          </w:p>
        </w:tc>
        <w:tc>
          <w:tcPr>
            <w:tcW w:w="20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中国</w:t>
            </w:r>
          </w:p>
        </w:tc>
        <w:tc>
          <w:tcPr>
            <w:tcW w:w="4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3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主要职业及职务</w:t>
            </w:r>
          </w:p>
        </w:tc>
        <w:tc>
          <w:tcPr>
            <w:tcW w:w="615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杨维国先生简历请见本报告</w:t>
            </w:r>
            <w:r>
              <w:rPr>
                <w:rFonts w:ascii="Times New Roman" w:hAnsi="Times New Roman" w:cs="Times New Roman" w:eastAsia="Times New Roman" w:hint="default"/>
                <w:sz w:val="18"/>
                <w:szCs w:val="18"/>
              </w:rPr>
              <w:t>“</w:t>
            </w:r>
            <w:r>
              <w:rPr>
                <w:rFonts w:ascii="宋体" w:hAnsi="宋体" w:cs="宋体" w:eastAsia="宋体" w:hint="default"/>
                <w:sz w:val="18"/>
                <w:szCs w:val="18"/>
              </w:rPr>
              <w:t>第八节董事、监事、高级管理人员和员工情况</w:t>
            </w:r>
            <w:r>
              <w:rPr>
                <w:rFonts w:ascii="Times New Roman" w:hAnsi="Times New Roman" w:cs="Times New Roman" w:eastAsia="Times New Roman" w:hint="default"/>
                <w:sz w:val="18"/>
                <w:szCs w:val="18"/>
              </w:rPr>
              <w:t>”</w:t>
            </w:r>
            <w:r>
              <w:rPr>
                <w:rFonts w:ascii="宋体" w:hAnsi="宋体" w:cs="宋体" w:eastAsia="宋体" w:hint="default"/>
                <w:sz w:val="18"/>
                <w:szCs w:val="18"/>
              </w:rPr>
              <w:t>之</w:t>
            </w:r>
          </w:p>
          <w:p>
            <w:pPr>
              <w:pStyle w:val="TableParagraph"/>
              <w:spacing w:line="240" w:lineRule="auto" w:before="63"/>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三、任职情况</w:t>
            </w:r>
            <w:r>
              <w:rPr>
                <w:rFonts w:ascii="Times New Roman" w:hAnsi="Times New Roman" w:cs="Times New Roman" w:eastAsia="Times New Roman" w:hint="default"/>
                <w:sz w:val="18"/>
                <w:szCs w:val="18"/>
              </w:rPr>
              <w:t>”</w:t>
            </w:r>
          </w:p>
        </w:tc>
      </w:tr>
    </w:tbl>
    <w:p>
      <w:pPr>
        <w:spacing w:after="0" w:line="240" w:lineRule="auto"/>
        <w:jc w:val="left"/>
        <w:rPr>
          <w:rFonts w:ascii="Times New Roman" w:hAnsi="Times New Roman" w:cs="Times New Roman" w:eastAsia="Times New Roman" w:hint="default"/>
          <w:sz w:val="18"/>
          <w:szCs w:val="18"/>
        </w:rPr>
        <w:sectPr>
          <w:pgSz w:w="11910" w:h="16840"/>
          <w:pgMar w:header="877" w:footer="979" w:top="1100" w:bottom="1160" w:left="980" w:right="0"/>
        </w:sectPr>
      </w:pPr>
    </w:p>
    <w:p>
      <w:pPr>
        <w:spacing w:line="240" w:lineRule="auto" w:before="6"/>
        <w:rPr>
          <w:rFonts w:ascii="宋体" w:hAnsi="宋体" w:cs="宋体" w:eastAsia="宋体" w:hint="default"/>
          <w:sz w:val="3"/>
          <w:szCs w:val="3"/>
        </w:rPr>
      </w:pPr>
    </w:p>
    <w:tbl>
      <w:tblPr>
        <w:tblW w:w="0" w:type="auto"/>
        <w:jc w:val="left"/>
        <w:tblInd w:w="149" w:type="dxa"/>
        <w:tblLayout w:type="fixed"/>
        <w:tblCellMar>
          <w:top w:w="0" w:type="dxa"/>
          <w:left w:w="0" w:type="dxa"/>
          <w:bottom w:w="0" w:type="dxa"/>
          <w:right w:w="0" w:type="dxa"/>
        </w:tblCellMar>
        <w:tblLook w:val="01E0"/>
      </w:tblPr>
      <w:tblGrid>
        <w:gridCol w:w="3417"/>
        <w:gridCol w:w="6151"/>
      </w:tblGrid>
      <w:tr>
        <w:trPr>
          <w:trHeight w:val="332" w:hRule="exact"/>
        </w:trPr>
        <w:tc>
          <w:tcPr>
            <w:tcW w:w="3417" w:type="dxa"/>
            <w:tcBorders>
              <w:top w:val="nil" w:sz="6" w:space="0" w:color="auto"/>
              <w:left w:val="nil" w:sz="6" w:space="0" w:color="auto"/>
              <w:bottom w:val="single" w:sz="4" w:space="0" w:color="000000"/>
              <w:right w:val="nil" w:sz="6" w:space="0" w:color="auto"/>
            </w:tcBorders>
          </w:tcPr>
          <w:p>
            <w:pPr/>
          </w:p>
        </w:tc>
        <w:tc>
          <w:tcPr>
            <w:tcW w:w="6151" w:type="dxa"/>
            <w:tcBorders>
              <w:top w:val="nil" w:sz="6" w:space="0" w:color="auto"/>
              <w:left w:val="nil" w:sz="6" w:space="0" w:color="auto"/>
              <w:bottom w:val="single" w:sz="4" w:space="0" w:color="000000"/>
              <w:right w:val="nil" w:sz="6" w:space="0" w:color="auto"/>
            </w:tcBorders>
          </w:tcPr>
          <w:p>
            <w:pPr/>
          </w:p>
        </w:tc>
      </w:tr>
      <w:tr>
        <w:trPr>
          <w:trHeight w:val="714" w:hRule="exact"/>
        </w:trPr>
        <w:tc>
          <w:tcPr>
            <w:tcW w:w="34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144"/>
              <w:jc w:val="left"/>
              <w:rPr>
                <w:rFonts w:ascii="宋体" w:hAnsi="宋体" w:cs="宋体" w:eastAsia="宋体" w:hint="default"/>
                <w:sz w:val="18"/>
                <w:szCs w:val="18"/>
              </w:rPr>
            </w:pPr>
            <w:r>
              <w:rPr>
                <w:rFonts w:ascii="宋体" w:hAnsi="宋体" w:cs="宋体" w:eastAsia="宋体" w:hint="default"/>
                <w:sz w:val="18"/>
                <w:szCs w:val="18"/>
              </w:rPr>
              <w:t>报告期内控股和参股的其他境内外上市公 司的股权情况</w:t>
            </w:r>
          </w:p>
        </w:tc>
        <w:tc>
          <w:tcPr>
            <w:tcW w:w="61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不适用</w:t>
            </w:r>
          </w:p>
        </w:tc>
      </w:tr>
    </w:tbl>
    <w:p>
      <w:pPr>
        <w:spacing w:before="51"/>
        <w:ind w:left="154" w:right="1117" w:firstLine="0"/>
        <w:jc w:val="left"/>
        <w:rPr>
          <w:rFonts w:ascii="宋体" w:hAnsi="宋体" w:cs="宋体" w:eastAsia="宋体" w:hint="default"/>
          <w:sz w:val="18"/>
          <w:szCs w:val="18"/>
        </w:rPr>
      </w:pPr>
      <w:r>
        <w:rPr/>
        <w:pict>
          <v:group style="position:absolute;margin-left:55.200001pt;margin-top:-52.578308pt;width:485pt;height:.1pt;mso-position-horizontal-relative:page;mso-position-vertical-relative:paragraph;z-index:-1221568" coordorigin="1104,-1052" coordsize="9700,2">
            <v:shape style="position:absolute;left:1104;top:-1052;width:9700;height:2" coordorigin="1104,-1052" coordsize="9700,0" path="m1104,-1052l10804,-1052e" filled="false" stroked="true" strokeweight=".72pt" strokecolor="#000000">
              <v:path arrowok="t"/>
            </v:shape>
            <w10:wrap type="none"/>
          </v:group>
        </w:pict>
      </w:r>
      <w:r>
        <w:rPr>
          <w:rFonts w:ascii="宋体" w:hAnsi="宋体" w:cs="宋体" w:eastAsia="宋体" w:hint="default"/>
          <w:sz w:val="18"/>
          <w:szCs w:val="18"/>
        </w:rPr>
        <w:t>控股股东报告期内变更</w:t>
      </w:r>
    </w:p>
    <w:p>
      <w:pPr>
        <w:spacing w:line="338" w:lineRule="auto" w:before="117"/>
        <w:ind w:left="154" w:right="769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适用</w:t>
      </w:r>
      <w:r>
        <w:rPr>
          <w:rFonts w:ascii="Times New Roman" w:hAnsi="Times New Roman" w:cs="Times New Roman" w:eastAsia="Times New Roman" w:hint="default"/>
          <w:sz w:val="18"/>
          <w:szCs w:val="18"/>
        </w:rPr>
        <w:t>√</w:t>
      </w:r>
      <w:r>
        <w:rPr>
          <w:rFonts w:ascii="宋体" w:hAnsi="宋体" w:cs="宋体" w:eastAsia="宋体" w:hint="default"/>
          <w:sz w:val="18"/>
          <w:szCs w:val="18"/>
        </w:rPr>
        <w:t>不适用 公司报告期控股股东未发生变更。</w:t>
      </w:r>
    </w:p>
    <w:p>
      <w:pPr>
        <w:spacing w:line="240" w:lineRule="auto" w:before="2"/>
        <w:rPr>
          <w:rFonts w:ascii="宋体" w:hAnsi="宋体" w:cs="宋体" w:eastAsia="宋体" w:hint="default"/>
          <w:sz w:val="21"/>
          <w:szCs w:val="21"/>
        </w:rPr>
      </w:pPr>
    </w:p>
    <w:p>
      <w:pPr>
        <w:pStyle w:val="Heading4"/>
        <w:spacing w:line="240" w:lineRule="auto"/>
        <w:ind w:right="1117"/>
        <w:jc w:val="left"/>
        <w:rPr>
          <w:b w:val="0"/>
          <w:bCs w:val="0"/>
        </w:rPr>
      </w:pPr>
      <w:bookmarkStart w:name="3、公司实际控制人及其一致行动人" w:id="118"/>
      <w:bookmarkEnd w:id="118"/>
      <w:r>
        <w:rPr>
          <w:b w:val="0"/>
          <w:bCs w:val="0"/>
        </w:rPr>
      </w:r>
      <w:r>
        <w:rPr>
          <w:rFonts w:ascii="Times New Roman" w:hAnsi="Times New Roman" w:cs="Times New Roman" w:eastAsia="Times New Roman" w:hint="default"/>
        </w:rPr>
        <w:t>3</w:t>
      </w:r>
      <w:r>
        <w:rPr/>
        <w:t>、公司实际控制人及其一致行动人</w:t>
      </w:r>
      <w:r>
        <w:rPr>
          <w:b w:val="0"/>
          <w:bCs w:val="0"/>
        </w:rPr>
      </w:r>
    </w:p>
    <w:p>
      <w:pPr>
        <w:spacing w:line="240" w:lineRule="auto" w:before="8"/>
        <w:rPr>
          <w:rFonts w:ascii="宋体" w:hAnsi="宋体" w:cs="宋体" w:eastAsia="宋体" w:hint="default"/>
          <w:b/>
          <w:bCs/>
          <w:sz w:val="26"/>
          <w:szCs w:val="26"/>
        </w:rPr>
      </w:pPr>
    </w:p>
    <w:p>
      <w:pPr>
        <w:spacing w:line="360" w:lineRule="auto" w:before="0"/>
        <w:ind w:left="154" w:right="8412" w:firstLine="0"/>
        <w:jc w:val="left"/>
        <w:rPr>
          <w:rFonts w:ascii="宋体" w:hAnsi="宋体" w:cs="宋体" w:eastAsia="宋体" w:hint="default"/>
          <w:sz w:val="18"/>
          <w:szCs w:val="18"/>
        </w:rPr>
      </w:pPr>
      <w:r>
        <w:rPr>
          <w:rFonts w:ascii="宋体" w:hAnsi="宋体" w:cs="宋体" w:eastAsia="宋体" w:hint="default"/>
          <w:sz w:val="18"/>
          <w:szCs w:val="18"/>
        </w:rPr>
        <w:t>实际控制人性质：境内自然人 实际控制人类型：自然人</w:t>
      </w:r>
    </w:p>
    <w:tbl>
      <w:tblPr>
        <w:tblW w:w="0" w:type="auto"/>
        <w:jc w:val="left"/>
        <w:tblInd w:w="149" w:type="dxa"/>
        <w:tblLayout w:type="fixed"/>
        <w:tblCellMar>
          <w:top w:w="0" w:type="dxa"/>
          <w:left w:w="0" w:type="dxa"/>
          <w:bottom w:w="0" w:type="dxa"/>
          <w:right w:w="0" w:type="dxa"/>
        </w:tblCellMar>
        <w:tblLook w:val="01E0"/>
      </w:tblPr>
      <w:tblGrid>
        <w:gridCol w:w="2392"/>
        <w:gridCol w:w="2393"/>
        <w:gridCol w:w="2392"/>
        <w:gridCol w:w="2392"/>
      </w:tblGrid>
      <w:tr>
        <w:trPr>
          <w:trHeight w:val="714"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60" w:right="0"/>
              <w:jc w:val="left"/>
              <w:rPr>
                <w:rFonts w:ascii="宋体" w:hAnsi="宋体" w:cs="宋体" w:eastAsia="宋体" w:hint="default"/>
                <w:sz w:val="18"/>
                <w:szCs w:val="18"/>
              </w:rPr>
            </w:pPr>
            <w:r>
              <w:rPr>
                <w:rFonts w:ascii="宋体" w:hAnsi="宋体" w:cs="宋体" w:eastAsia="宋体" w:hint="default"/>
                <w:sz w:val="18"/>
                <w:szCs w:val="18"/>
              </w:rPr>
              <w:t>实际控制人姓名</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71" w:right="0"/>
              <w:jc w:val="left"/>
              <w:rPr>
                <w:rFonts w:ascii="宋体" w:hAnsi="宋体" w:cs="宋体" w:eastAsia="宋体" w:hint="default"/>
                <w:sz w:val="18"/>
                <w:szCs w:val="18"/>
              </w:rPr>
            </w:pPr>
            <w:r>
              <w:rPr>
                <w:rFonts w:ascii="宋体" w:hAnsi="宋体" w:cs="宋体" w:eastAsia="宋体" w:hint="default"/>
                <w:sz w:val="18"/>
                <w:szCs w:val="18"/>
              </w:rPr>
              <w:t>与实际控制人关系</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国籍</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10" w:right="109" w:hanging="900"/>
              <w:jc w:val="left"/>
              <w:rPr>
                <w:rFonts w:ascii="宋体" w:hAnsi="宋体" w:cs="宋体" w:eastAsia="宋体" w:hint="default"/>
                <w:sz w:val="18"/>
                <w:szCs w:val="18"/>
              </w:rPr>
            </w:pPr>
            <w:r>
              <w:rPr>
                <w:rFonts w:ascii="宋体" w:hAnsi="宋体" w:cs="宋体" w:eastAsia="宋体" w:hint="default"/>
                <w:sz w:val="18"/>
                <w:szCs w:val="18"/>
              </w:rPr>
              <w:t>是否取得其他国家或地区居 留权</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杨维国</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本人</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中国</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主要职业及职务</w:t>
            </w:r>
          </w:p>
        </w:tc>
        <w:tc>
          <w:tcPr>
            <w:tcW w:w="7177" w:type="dxa"/>
            <w:gridSpan w:val="3"/>
            <w:tcBorders>
              <w:top w:val="single" w:sz="4" w:space="0" w:color="000000"/>
              <w:left w:val="single" w:sz="4" w:space="0" w:color="000000"/>
              <w:bottom w:val="single" w:sz="4" w:space="0" w:color="000000"/>
              <w:right w:val="single" w:sz="4" w:space="0" w:color="000000"/>
            </w:tcBorders>
          </w:tcPr>
          <w:p>
            <w:pPr>
              <w:pStyle w:val="TableParagraph"/>
              <w:spacing w:line="302" w:lineRule="auto" w:before="51"/>
              <w:ind w:left="23" w:right="60"/>
              <w:jc w:val="left"/>
              <w:rPr>
                <w:rFonts w:ascii="Times New Roman" w:hAnsi="Times New Roman" w:cs="Times New Roman" w:eastAsia="Times New Roman" w:hint="default"/>
                <w:sz w:val="18"/>
                <w:szCs w:val="18"/>
              </w:rPr>
            </w:pPr>
            <w:r>
              <w:rPr>
                <w:rFonts w:ascii="宋体" w:hAnsi="宋体" w:cs="宋体" w:eastAsia="宋体" w:hint="default"/>
                <w:sz w:val="18"/>
                <w:szCs w:val="18"/>
              </w:rPr>
              <w:t>杨维国先生简历请见本报告</w:t>
            </w:r>
            <w:r>
              <w:rPr>
                <w:rFonts w:ascii="Times New Roman" w:hAnsi="Times New Roman" w:cs="Times New Roman" w:eastAsia="Times New Roman" w:hint="default"/>
                <w:sz w:val="18"/>
                <w:szCs w:val="18"/>
              </w:rPr>
              <w:t>“</w:t>
            </w:r>
            <w:r>
              <w:rPr>
                <w:rFonts w:ascii="宋体" w:hAnsi="宋体" w:cs="宋体" w:eastAsia="宋体" w:hint="default"/>
                <w:sz w:val="18"/>
                <w:szCs w:val="18"/>
              </w:rPr>
              <w:t>第八节董事、监事、高级管理人员和员工情况</w:t>
            </w:r>
            <w:r>
              <w:rPr>
                <w:rFonts w:ascii="Times New Roman" w:hAnsi="Times New Roman" w:cs="Times New Roman" w:eastAsia="Times New Roman" w:hint="default"/>
                <w:sz w:val="18"/>
                <w:szCs w:val="18"/>
              </w:rPr>
              <w:t>”</w:t>
            </w:r>
            <w:r>
              <w:rPr>
                <w:rFonts w:ascii="宋体" w:hAnsi="宋体" w:cs="宋体" w:eastAsia="宋体" w:hint="default"/>
                <w:sz w:val="18"/>
                <w:szCs w:val="18"/>
              </w:rPr>
              <w:t>之</w:t>
            </w:r>
            <w:r>
              <w:rPr>
                <w:rFonts w:ascii="Times New Roman" w:hAnsi="Times New Roman" w:cs="Times New Roman" w:eastAsia="Times New Roman" w:hint="default"/>
                <w:sz w:val="18"/>
                <w:szCs w:val="18"/>
              </w:rPr>
              <w:t>“</w:t>
            </w:r>
            <w:r>
              <w:rPr>
                <w:rFonts w:ascii="宋体" w:hAnsi="宋体" w:cs="宋体" w:eastAsia="宋体" w:hint="default"/>
                <w:sz w:val="18"/>
                <w:szCs w:val="18"/>
              </w:rPr>
              <w:t>三、任职情 况</w:t>
            </w:r>
            <w:r>
              <w:rPr>
                <w:rFonts w:ascii="Times New Roman" w:hAnsi="Times New Roman" w:cs="Times New Roman" w:eastAsia="Times New Roman" w:hint="default"/>
                <w:sz w:val="18"/>
                <w:szCs w:val="18"/>
              </w:rPr>
              <w:t>”</w:t>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107"/>
              <w:jc w:val="left"/>
              <w:rPr>
                <w:rFonts w:ascii="宋体" w:hAnsi="宋体" w:cs="宋体" w:eastAsia="宋体" w:hint="default"/>
                <w:sz w:val="18"/>
                <w:szCs w:val="18"/>
              </w:rPr>
            </w:pPr>
            <w:r>
              <w:rPr>
                <w:rFonts w:ascii="宋体" w:hAnsi="宋体" w:cs="宋体" w:eastAsia="宋体" w:hint="default"/>
                <w:sz w:val="18"/>
                <w:szCs w:val="18"/>
              </w:rPr>
              <w:t>过去</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年曾控股的境内外上 市公司情况</w:t>
            </w:r>
          </w:p>
        </w:tc>
        <w:tc>
          <w:tcPr>
            <w:tcW w:w="7177"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不适用</w:t>
            </w:r>
          </w:p>
        </w:tc>
      </w:tr>
    </w:tbl>
    <w:p>
      <w:pPr>
        <w:spacing w:before="65"/>
        <w:ind w:left="154" w:right="1117" w:firstLine="0"/>
        <w:jc w:val="left"/>
        <w:rPr>
          <w:rFonts w:ascii="宋体" w:hAnsi="宋体" w:cs="宋体" w:eastAsia="宋体" w:hint="default"/>
          <w:sz w:val="18"/>
          <w:szCs w:val="18"/>
        </w:rPr>
      </w:pPr>
      <w:r>
        <w:rPr>
          <w:rFonts w:ascii="宋体" w:hAnsi="宋体" w:cs="宋体" w:eastAsia="宋体" w:hint="default"/>
          <w:sz w:val="18"/>
          <w:szCs w:val="18"/>
        </w:rPr>
        <w:t>实际控制人报告期内变更</w:t>
      </w:r>
    </w:p>
    <w:p>
      <w:pPr>
        <w:spacing w:line="350" w:lineRule="auto" w:before="117"/>
        <w:ind w:left="154" w:right="679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适用</w:t>
      </w:r>
      <w:r>
        <w:rPr>
          <w:rFonts w:ascii="Times New Roman" w:hAnsi="Times New Roman" w:cs="Times New Roman" w:eastAsia="Times New Roman" w:hint="default"/>
          <w:sz w:val="18"/>
          <w:szCs w:val="18"/>
        </w:rPr>
        <w:t>√</w:t>
      </w:r>
      <w:r>
        <w:rPr>
          <w:rFonts w:ascii="宋体" w:hAnsi="宋体" w:cs="宋体" w:eastAsia="宋体" w:hint="default"/>
          <w:sz w:val="18"/>
          <w:szCs w:val="18"/>
        </w:rPr>
        <w:t>不适用 公司报告期实际控制人未发生变更。 公司与实际控制人之间的产权及控制关系的方框图</w:t>
      </w:r>
    </w:p>
    <w:p>
      <w:pPr>
        <w:spacing w:line="240" w:lineRule="auto" w:before="6"/>
        <w:rPr>
          <w:rFonts w:ascii="宋体" w:hAnsi="宋体" w:cs="宋体" w:eastAsia="宋体" w:hint="default"/>
          <w:sz w:val="14"/>
          <w:szCs w:val="14"/>
        </w:rPr>
      </w:pPr>
    </w:p>
    <w:p>
      <w:pPr>
        <w:spacing w:line="4335" w:lineRule="exact"/>
        <w:ind w:left="1358" w:right="0" w:firstLine="0"/>
        <w:rPr>
          <w:rFonts w:ascii="宋体" w:hAnsi="宋体" w:cs="宋体" w:eastAsia="宋体" w:hint="default"/>
          <w:sz w:val="20"/>
          <w:szCs w:val="20"/>
        </w:rPr>
      </w:pPr>
      <w:r>
        <w:rPr>
          <w:rFonts w:ascii="宋体" w:hAnsi="宋体" w:cs="宋体" w:eastAsia="宋体" w:hint="default"/>
          <w:position w:val="-86"/>
          <w:sz w:val="20"/>
          <w:szCs w:val="20"/>
        </w:rPr>
        <w:drawing>
          <wp:inline distT="0" distB="0" distL="0" distR="0">
            <wp:extent cx="4591050" cy="2752725"/>
            <wp:effectExtent l="0" t="0" r="0" b="0"/>
            <wp:docPr id="39" name="image21.jpeg" descr=""/>
            <wp:cNvGraphicFramePr>
              <a:graphicFrameLocks noChangeAspect="1"/>
            </wp:cNvGraphicFramePr>
            <a:graphic>
              <a:graphicData uri="http://schemas.openxmlformats.org/drawingml/2006/picture">
                <pic:pic>
                  <pic:nvPicPr>
                    <pic:cNvPr id="40" name="image21.jpeg"/>
                    <pic:cNvPicPr/>
                  </pic:nvPicPr>
                  <pic:blipFill>
                    <a:blip r:embed="rId41" cstate="print"/>
                    <a:stretch>
                      <a:fillRect/>
                    </a:stretch>
                  </pic:blipFill>
                  <pic:spPr>
                    <a:xfrm>
                      <a:off x="0" y="0"/>
                      <a:ext cx="4591050" cy="2752725"/>
                    </a:xfrm>
                    <a:prstGeom prst="rect">
                      <a:avLst/>
                    </a:prstGeom>
                  </pic:spPr>
                </pic:pic>
              </a:graphicData>
            </a:graphic>
          </wp:inline>
        </w:drawing>
      </w:r>
      <w:r>
        <w:rPr>
          <w:rFonts w:ascii="宋体" w:hAnsi="宋体" w:cs="宋体" w:eastAsia="宋体" w:hint="default"/>
          <w:position w:val="-86"/>
          <w:sz w:val="20"/>
          <w:szCs w:val="20"/>
        </w:rPr>
      </w:r>
    </w:p>
    <w:p>
      <w:pPr>
        <w:spacing w:line="240" w:lineRule="auto" w:before="2"/>
        <w:rPr>
          <w:rFonts w:ascii="宋体" w:hAnsi="宋体" w:cs="宋体" w:eastAsia="宋体" w:hint="default"/>
          <w:sz w:val="14"/>
          <w:szCs w:val="14"/>
        </w:rPr>
      </w:pPr>
    </w:p>
    <w:p>
      <w:pPr>
        <w:pStyle w:val="Heading3"/>
        <w:spacing w:line="240" w:lineRule="auto" w:before="0"/>
        <w:ind w:right="1117"/>
        <w:jc w:val="left"/>
      </w:pPr>
      <w:r>
        <w:rPr/>
        <w:t>实际控制人通过信托或其他资产管理方式控制公司</w:t>
      </w:r>
    </w:p>
    <w:p>
      <w:pPr>
        <w:spacing w:line="240" w:lineRule="auto" w:before="1"/>
        <w:rPr>
          <w:rFonts w:ascii="宋体" w:hAnsi="宋体" w:cs="宋体" w:eastAsia="宋体" w:hint="default"/>
          <w:sz w:val="19"/>
          <w:szCs w:val="19"/>
        </w:rPr>
      </w:pPr>
    </w:p>
    <w:p>
      <w:pPr>
        <w:spacing w:before="0"/>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适用</w:t>
      </w:r>
      <w:r>
        <w:rPr>
          <w:rFonts w:ascii="Times New Roman" w:hAnsi="Times New Roman" w:cs="Times New Roman" w:eastAsia="Times New Roman" w:hint="default"/>
          <w:sz w:val="18"/>
          <w:szCs w:val="18"/>
        </w:rPr>
        <w:t>√</w:t>
      </w:r>
      <w:r>
        <w:rPr>
          <w:rFonts w:ascii="宋体" w:hAnsi="宋体" w:cs="宋体" w:eastAsia="宋体" w:hint="default"/>
          <w:sz w:val="18"/>
          <w:szCs w:val="18"/>
        </w:rPr>
        <w:t>不适用</w:t>
      </w:r>
    </w:p>
    <w:p>
      <w:pPr>
        <w:spacing w:after="0"/>
        <w:jc w:val="left"/>
        <w:rPr>
          <w:rFonts w:ascii="宋体" w:hAnsi="宋体" w:cs="宋体" w:eastAsia="宋体" w:hint="default"/>
          <w:sz w:val="18"/>
          <w:szCs w:val="18"/>
        </w:rPr>
        <w:sectPr>
          <w:pgSz w:w="11910" w:h="16840"/>
          <w:pgMar w:header="877" w:footer="979" w:top="1060" w:bottom="1160" w:left="980" w:right="0"/>
        </w:sectPr>
      </w:pPr>
    </w:p>
    <w:p>
      <w:pPr>
        <w:spacing w:line="240" w:lineRule="auto" w:before="12"/>
        <w:rPr>
          <w:rFonts w:ascii="宋体" w:hAnsi="宋体" w:cs="宋体" w:eastAsia="宋体" w:hint="default"/>
          <w:sz w:val="2"/>
          <w:szCs w:val="2"/>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spacing w:line="240" w:lineRule="auto" w:before="3"/>
        <w:rPr>
          <w:rFonts w:ascii="宋体" w:hAnsi="宋体" w:cs="宋体" w:eastAsia="宋体" w:hint="default"/>
          <w:sz w:val="20"/>
          <w:szCs w:val="20"/>
        </w:rPr>
      </w:pPr>
    </w:p>
    <w:p>
      <w:pPr>
        <w:pStyle w:val="Heading4"/>
        <w:spacing w:line="240" w:lineRule="auto" w:before="35"/>
        <w:ind w:right="1117"/>
        <w:jc w:val="left"/>
        <w:rPr>
          <w:b w:val="0"/>
          <w:bCs w:val="0"/>
        </w:rPr>
      </w:pPr>
      <w:bookmarkStart w:name="4、其他持股在10%以上的法人股东" w:id="119"/>
      <w:bookmarkEnd w:id="119"/>
      <w:r>
        <w:rPr>
          <w:b w:val="0"/>
          <w:bCs w:val="0"/>
        </w:rPr>
      </w:r>
      <w:r>
        <w:rPr>
          <w:rFonts w:ascii="Times New Roman" w:hAnsi="Times New Roman" w:cs="Times New Roman" w:eastAsia="Times New Roman" w:hint="default"/>
        </w:rPr>
        <w:t>4</w:t>
      </w:r>
      <w:r>
        <w:rPr/>
        <w:t>、其他持股在</w:t>
      </w:r>
      <w:r>
        <w:rPr>
          <w:spacing w:val="-57"/>
        </w:rPr>
        <w:t> </w:t>
      </w:r>
      <w:r>
        <w:rPr>
          <w:rFonts w:ascii="Times New Roman" w:hAnsi="Times New Roman" w:cs="Times New Roman" w:eastAsia="Times New Roman" w:hint="default"/>
        </w:rPr>
        <w:t>10%</w:t>
      </w:r>
      <w:r>
        <w:rPr/>
        <w:t>以上的法人股东</w:t>
      </w:r>
      <w:r>
        <w:rPr>
          <w:b w:val="0"/>
          <w:bCs w:val="0"/>
        </w:rPr>
      </w:r>
    </w:p>
    <w:p>
      <w:pPr>
        <w:spacing w:line="240" w:lineRule="auto" w:before="9"/>
        <w:rPr>
          <w:rFonts w:ascii="宋体" w:hAnsi="宋体" w:cs="宋体" w:eastAsia="宋体" w:hint="default"/>
          <w:b/>
          <w:bCs/>
          <w:sz w:val="26"/>
          <w:szCs w:val="26"/>
        </w:rPr>
      </w:pPr>
    </w:p>
    <w:p>
      <w:pPr>
        <w:spacing w:before="0"/>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适用</w:t>
      </w:r>
      <w:r>
        <w:rPr>
          <w:rFonts w:ascii="Times New Roman" w:hAnsi="Times New Roman" w:cs="Times New Roman" w:eastAsia="Times New Roman" w:hint="default"/>
          <w:sz w:val="18"/>
          <w:szCs w:val="18"/>
        </w:rPr>
        <w:t>√</w:t>
      </w:r>
      <w:r>
        <w:rPr>
          <w:rFonts w:ascii="宋体" w:hAnsi="宋体" w:cs="宋体" w:eastAsia="宋体" w:hint="default"/>
          <w:sz w:val="18"/>
          <w:szCs w:val="18"/>
        </w:rPr>
        <w:t>不适用</w:t>
      </w:r>
    </w:p>
    <w:p>
      <w:pPr>
        <w:spacing w:line="240" w:lineRule="auto" w:before="9"/>
        <w:rPr>
          <w:rFonts w:ascii="宋体" w:hAnsi="宋体" w:cs="宋体" w:eastAsia="宋体" w:hint="default"/>
          <w:sz w:val="25"/>
          <w:szCs w:val="25"/>
        </w:rPr>
      </w:pPr>
    </w:p>
    <w:p>
      <w:pPr>
        <w:pStyle w:val="Heading4"/>
        <w:spacing w:line="240" w:lineRule="auto"/>
        <w:ind w:right="1117"/>
        <w:jc w:val="left"/>
        <w:rPr>
          <w:b w:val="0"/>
          <w:bCs w:val="0"/>
        </w:rPr>
      </w:pPr>
      <w:bookmarkStart w:name="5、控股股东、实际控制人、重组方及其他承诺主体股份限制减持情况" w:id="120"/>
      <w:bookmarkEnd w:id="120"/>
      <w:r>
        <w:rPr>
          <w:b w:val="0"/>
          <w:bCs w:val="0"/>
        </w:rPr>
      </w:r>
      <w:r>
        <w:rPr>
          <w:rFonts w:ascii="Times New Roman" w:hAnsi="Times New Roman" w:cs="Times New Roman" w:eastAsia="Times New Roman" w:hint="default"/>
        </w:rPr>
        <w:t>5</w:t>
      </w:r>
      <w:r>
        <w:rPr/>
        <w:t>、控股股东、实际控制人、重组方及其他承诺主体股份限制减持情况</w:t>
      </w:r>
      <w:r>
        <w:rPr>
          <w:b w:val="0"/>
          <w:bCs w:val="0"/>
        </w:rPr>
      </w:r>
    </w:p>
    <w:p>
      <w:pPr>
        <w:spacing w:line="240" w:lineRule="auto" w:before="9"/>
        <w:rPr>
          <w:rFonts w:ascii="宋体" w:hAnsi="宋体" w:cs="宋体" w:eastAsia="宋体" w:hint="default"/>
          <w:b/>
          <w:bCs/>
          <w:sz w:val="26"/>
          <w:szCs w:val="26"/>
        </w:rPr>
      </w:pPr>
    </w:p>
    <w:p>
      <w:pPr>
        <w:spacing w:before="0"/>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适用</w:t>
      </w:r>
      <w:r>
        <w:rPr>
          <w:rFonts w:ascii="Times New Roman" w:hAnsi="Times New Roman" w:cs="Times New Roman" w:eastAsia="Times New Roman" w:hint="default"/>
          <w:sz w:val="18"/>
          <w:szCs w:val="18"/>
        </w:rPr>
        <w:t>√</w:t>
      </w:r>
      <w:r>
        <w:rPr>
          <w:rFonts w:ascii="宋体" w:hAnsi="宋体" w:cs="宋体" w:eastAsia="宋体" w:hint="default"/>
          <w:sz w:val="18"/>
          <w:szCs w:val="18"/>
        </w:rPr>
        <w:t>不适用</w:t>
      </w:r>
    </w:p>
    <w:p>
      <w:pPr>
        <w:spacing w:after="0"/>
        <w:jc w:val="left"/>
        <w:rPr>
          <w:rFonts w:ascii="宋体" w:hAnsi="宋体" w:cs="宋体" w:eastAsia="宋体" w:hint="default"/>
          <w:sz w:val="18"/>
          <w:szCs w:val="18"/>
        </w:rPr>
        <w:sectPr>
          <w:pgSz w:w="11910" w:h="16840"/>
          <w:pgMar w:header="877" w:footer="979" w:top="106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0"/>
          <w:szCs w:val="20"/>
        </w:rPr>
      </w:pPr>
    </w:p>
    <w:p>
      <w:pPr>
        <w:pStyle w:val="Heading1"/>
        <w:spacing w:line="240" w:lineRule="auto"/>
        <w:ind w:left="3366" w:right="1117"/>
        <w:jc w:val="left"/>
        <w:rPr>
          <w:b w:val="0"/>
          <w:bCs w:val="0"/>
        </w:rPr>
      </w:pPr>
      <w:bookmarkStart w:name="第七节优先股相关情况" w:id="121"/>
      <w:bookmarkEnd w:id="121"/>
      <w:r>
        <w:rPr>
          <w:b w:val="0"/>
          <w:bCs w:val="0"/>
        </w:rPr>
      </w:r>
      <w:bookmarkStart w:name="_bookmark5" w:id="122"/>
      <w:bookmarkEnd w:id="122"/>
      <w:r>
        <w:rPr>
          <w:b w:val="0"/>
          <w:bCs w:val="0"/>
        </w:rPr>
      </w:r>
      <w:r>
        <w:rPr/>
        <w:t>第七节优先股相关情况</w:t>
      </w:r>
      <w:r>
        <w:rPr>
          <w:b w:val="0"/>
          <w:bCs w:val="0"/>
        </w:rPr>
      </w: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9"/>
          <w:szCs w:val="19"/>
        </w:rPr>
      </w:pPr>
    </w:p>
    <w:p>
      <w:pPr>
        <w:spacing w:line="338" w:lineRule="auto" w:before="44"/>
        <w:ind w:left="154" w:right="859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适用</w:t>
      </w:r>
      <w:r>
        <w:rPr>
          <w:rFonts w:ascii="Times New Roman" w:hAnsi="Times New Roman" w:cs="Times New Roman" w:eastAsia="Times New Roman" w:hint="default"/>
          <w:sz w:val="18"/>
          <w:szCs w:val="18"/>
        </w:rPr>
        <w:t>√</w:t>
      </w:r>
      <w:r>
        <w:rPr>
          <w:rFonts w:ascii="宋体" w:hAnsi="宋体" w:cs="宋体" w:eastAsia="宋体" w:hint="default"/>
          <w:sz w:val="18"/>
          <w:szCs w:val="18"/>
        </w:rPr>
        <w:t>不适用 报告期公司不存在优先股。</w:t>
      </w:r>
    </w:p>
    <w:p>
      <w:pPr>
        <w:spacing w:after="0" w:line="338" w:lineRule="auto"/>
        <w:jc w:val="left"/>
        <w:rPr>
          <w:rFonts w:ascii="宋体" w:hAnsi="宋体" w:cs="宋体" w:eastAsia="宋体" w:hint="default"/>
          <w:sz w:val="18"/>
          <w:szCs w:val="18"/>
        </w:rPr>
        <w:sectPr>
          <w:pgSz w:w="11910" w:h="16840"/>
          <w:pgMar w:header="877" w:footer="979" w:top="106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0"/>
          <w:szCs w:val="20"/>
        </w:rPr>
      </w:pPr>
    </w:p>
    <w:p>
      <w:pPr>
        <w:pStyle w:val="Heading1"/>
        <w:spacing w:line="240" w:lineRule="auto"/>
        <w:ind w:left="1761" w:right="1117"/>
        <w:jc w:val="left"/>
        <w:rPr>
          <w:b w:val="0"/>
          <w:bCs w:val="0"/>
        </w:rPr>
      </w:pPr>
      <w:bookmarkStart w:name="第八节董事、监事、高级管理人员和员工情况" w:id="123"/>
      <w:bookmarkEnd w:id="123"/>
      <w:r>
        <w:rPr>
          <w:b w:val="0"/>
          <w:bCs w:val="0"/>
        </w:rPr>
      </w:r>
      <w:bookmarkStart w:name="_bookmark6" w:id="124"/>
      <w:bookmarkEnd w:id="124"/>
      <w:r>
        <w:rPr>
          <w:b w:val="0"/>
          <w:bCs w:val="0"/>
        </w:rPr>
      </w:r>
      <w:r>
        <w:rPr/>
        <w:t>第八节董事、监事、高级管理人员和员工情况</w:t>
      </w:r>
      <w:r>
        <w:rPr>
          <w:b w:val="0"/>
          <w:bCs w:val="0"/>
        </w:rPr>
      </w:r>
    </w:p>
    <w:p>
      <w:pPr>
        <w:spacing w:line="240" w:lineRule="auto" w:before="12"/>
        <w:rPr>
          <w:rFonts w:ascii="宋体" w:hAnsi="宋体" w:cs="宋体" w:eastAsia="宋体" w:hint="default"/>
          <w:b/>
          <w:bCs/>
          <w:sz w:val="38"/>
          <w:szCs w:val="38"/>
        </w:rPr>
      </w:pPr>
    </w:p>
    <w:p>
      <w:pPr>
        <w:pStyle w:val="Heading2"/>
        <w:spacing w:line="240" w:lineRule="auto"/>
        <w:ind w:right="1117"/>
        <w:jc w:val="left"/>
        <w:rPr>
          <w:b w:val="0"/>
          <w:bCs w:val="0"/>
        </w:rPr>
      </w:pPr>
      <w:bookmarkStart w:name="一、董事、监事和高级管理人员持股变动" w:id="125"/>
      <w:bookmarkEnd w:id="125"/>
      <w:r>
        <w:rPr>
          <w:b w:val="0"/>
          <w:bCs w:val="0"/>
        </w:rPr>
      </w:r>
      <w:r>
        <w:rPr/>
        <w:t>一、董事、监事和高级管理人员持股变动</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798"/>
        <w:gridCol w:w="797"/>
        <w:gridCol w:w="797"/>
        <w:gridCol w:w="798"/>
        <w:gridCol w:w="798"/>
        <w:gridCol w:w="797"/>
        <w:gridCol w:w="798"/>
        <w:gridCol w:w="798"/>
        <w:gridCol w:w="798"/>
        <w:gridCol w:w="798"/>
        <w:gridCol w:w="798"/>
        <w:gridCol w:w="798"/>
      </w:tblGrid>
      <w:tr>
        <w:trPr>
          <w:trHeight w:val="1025" w:hRule="exact"/>
        </w:trPr>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213"/>
              <w:jc w:val="right"/>
              <w:rPr>
                <w:rFonts w:ascii="宋体" w:hAnsi="宋体" w:cs="宋体" w:eastAsia="宋体" w:hint="default"/>
                <w:sz w:val="18"/>
                <w:szCs w:val="18"/>
              </w:rPr>
            </w:pPr>
            <w:r>
              <w:rPr>
                <w:rFonts w:ascii="宋体" w:hAnsi="宋体" w:cs="宋体" w:eastAsia="宋体" w:hint="default"/>
                <w:sz w:val="18"/>
                <w:szCs w:val="18"/>
              </w:rPr>
              <w:t>姓名</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13" w:right="0"/>
              <w:jc w:val="left"/>
              <w:rPr>
                <w:rFonts w:ascii="宋体" w:hAnsi="宋体" w:cs="宋体" w:eastAsia="宋体" w:hint="default"/>
                <w:sz w:val="18"/>
                <w:szCs w:val="18"/>
              </w:rPr>
            </w:pPr>
            <w:r>
              <w:rPr>
                <w:rFonts w:ascii="宋体" w:hAnsi="宋体" w:cs="宋体" w:eastAsia="宋体" w:hint="default"/>
                <w:sz w:val="18"/>
                <w:szCs w:val="18"/>
              </w:rPr>
              <w:t>职务</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33" w:right="0"/>
              <w:jc w:val="left"/>
              <w:rPr>
                <w:rFonts w:ascii="宋体" w:hAnsi="宋体" w:cs="宋体" w:eastAsia="宋体" w:hint="default"/>
                <w:sz w:val="18"/>
                <w:szCs w:val="18"/>
              </w:rPr>
            </w:pPr>
            <w:r>
              <w:rPr>
                <w:rFonts w:ascii="宋体" w:hAnsi="宋体" w:cs="宋体" w:eastAsia="宋体" w:hint="default"/>
                <w:sz w:val="18"/>
                <w:szCs w:val="18"/>
              </w:rPr>
              <w:t>任职状态</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14" w:right="0"/>
              <w:jc w:val="left"/>
              <w:rPr>
                <w:rFonts w:ascii="宋体" w:hAnsi="宋体" w:cs="宋体" w:eastAsia="宋体" w:hint="default"/>
                <w:sz w:val="18"/>
                <w:szCs w:val="18"/>
              </w:rPr>
            </w:pPr>
            <w:r>
              <w:rPr>
                <w:rFonts w:ascii="宋体" w:hAnsi="宋体" w:cs="宋体" w:eastAsia="宋体" w:hint="default"/>
                <w:sz w:val="18"/>
                <w:szCs w:val="18"/>
              </w:rPr>
              <w:t>性别</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13" w:right="0"/>
              <w:jc w:val="left"/>
              <w:rPr>
                <w:rFonts w:ascii="宋体" w:hAnsi="宋体" w:cs="宋体" w:eastAsia="宋体" w:hint="default"/>
                <w:sz w:val="18"/>
                <w:szCs w:val="18"/>
              </w:rPr>
            </w:pPr>
            <w:r>
              <w:rPr>
                <w:rFonts w:ascii="宋体" w:hAnsi="宋体" w:cs="宋体" w:eastAsia="宋体" w:hint="default"/>
                <w:sz w:val="18"/>
                <w:szCs w:val="18"/>
              </w:rPr>
              <w:t>年龄</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213" w:right="31" w:hanging="180"/>
              <w:jc w:val="left"/>
              <w:rPr>
                <w:rFonts w:ascii="宋体" w:hAnsi="宋体" w:cs="宋体" w:eastAsia="宋体" w:hint="default"/>
                <w:sz w:val="18"/>
                <w:szCs w:val="18"/>
              </w:rPr>
            </w:pPr>
            <w:r>
              <w:rPr>
                <w:rFonts w:ascii="宋体" w:hAnsi="宋体" w:cs="宋体" w:eastAsia="宋体" w:hint="default"/>
                <w:sz w:val="18"/>
                <w:szCs w:val="18"/>
              </w:rPr>
              <w:t>任期起始 日期</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213" w:right="32" w:hanging="180"/>
              <w:jc w:val="left"/>
              <w:rPr>
                <w:rFonts w:ascii="宋体" w:hAnsi="宋体" w:cs="宋体" w:eastAsia="宋体" w:hint="default"/>
                <w:sz w:val="18"/>
                <w:szCs w:val="18"/>
              </w:rPr>
            </w:pPr>
            <w:r>
              <w:rPr>
                <w:rFonts w:ascii="宋体" w:hAnsi="宋体" w:cs="宋体" w:eastAsia="宋体" w:hint="default"/>
                <w:sz w:val="18"/>
                <w:szCs w:val="18"/>
              </w:rPr>
              <w:t>任期终止 日期</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33" w:right="32"/>
              <w:jc w:val="left"/>
              <w:rPr>
                <w:rFonts w:ascii="宋体" w:hAnsi="宋体" w:cs="宋体" w:eastAsia="宋体" w:hint="default"/>
                <w:sz w:val="18"/>
                <w:szCs w:val="18"/>
              </w:rPr>
            </w:pPr>
            <w:r>
              <w:rPr>
                <w:rFonts w:ascii="宋体" w:hAnsi="宋体" w:cs="宋体" w:eastAsia="宋体" w:hint="default"/>
                <w:sz w:val="18"/>
                <w:szCs w:val="18"/>
              </w:rPr>
              <w:t>期初持股 数（股）</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33" w:right="33"/>
              <w:jc w:val="left"/>
              <w:rPr>
                <w:rFonts w:ascii="宋体" w:hAnsi="宋体" w:cs="宋体" w:eastAsia="宋体" w:hint="default"/>
                <w:sz w:val="18"/>
                <w:szCs w:val="18"/>
              </w:rPr>
            </w:pPr>
            <w:r>
              <w:rPr>
                <w:rFonts w:ascii="宋体" w:hAnsi="宋体" w:cs="宋体" w:eastAsia="宋体" w:hint="default"/>
                <w:sz w:val="18"/>
                <w:szCs w:val="18"/>
              </w:rPr>
              <w:t>本期增持 股份数量</w:t>
            </w:r>
          </w:p>
          <w:p>
            <w:pPr>
              <w:pStyle w:val="TableParagraph"/>
              <w:spacing w:line="240" w:lineRule="auto" w:before="20"/>
              <w:ind w:left="123" w:right="0"/>
              <w:jc w:val="left"/>
              <w:rPr>
                <w:rFonts w:ascii="宋体" w:hAnsi="宋体" w:cs="宋体" w:eastAsia="宋体" w:hint="default"/>
                <w:sz w:val="18"/>
                <w:szCs w:val="18"/>
              </w:rPr>
            </w:pPr>
            <w:r>
              <w:rPr>
                <w:rFonts w:ascii="宋体" w:hAnsi="宋体" w:cs="宋体" w:eastAsia="宋体" w:hint="default"/>
                <w:sz w:val="18"/>
                <w:szCs w:val="18"/>
              </w:rPr>
              <w:t>（股）</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33" w:right="32"/>
              <w:jc w:val="left"/>
              <w:rPr>
                <w:rFonts w:ascii="宋体" w:hAnsi="宋体" w:cs="宋体" w:eastAsia="宋体" w:hint="default"/>
                <w:sz w:val="18"/>
                <w:szCs w:val="18"/>
              </w:rPr>
            </w:pPr>
            <w:r>
              <w:rPr>
                <w:rFonts w:ascii="宋体" w:hAnsi="宋体" w:cs="宋体" w:eastAsia="宋体" w:hint="default"/>
                <w:sz w:val="18"/>
                <w:szCs w:val="18"/>
              </w:rPr>
              <w:t>本期减持 股份数量</w:t>
            </w:r>
          </w:p>
          <w:p>
            <w:pPr>
              <w:pStyle w:val="TableParagraph"/>
              <w:spacing w:line="240" w:lineRule="auto" w:before="20"/>
              <w:ind w:left="123" w:right="0"/>
              <w:jc w:val="left"/>
              <w:rPr>
                <w:rFonts w:ascii="宋体" w:hAnsi="宋体" w:cs="宋体" w:eastAsia="宋体" w:hint="default"/>
                <w:sz w:val="18"/>
                <w:szCs w:val="18"/>
              </w:rPr>
            </w:pPr>
            <w:r>
              <w:rPr>
                <w:rFonts w:ascii="宋体" w:hAnsi="宋体" w:cs="宋体" w:eastAsia="宋体" w:hint="default"/>
                <w:sz w:val="18"/>
                <w:szCs w:val="18"/>
              </w:rPr>
              <w:t>（股）</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22" w:right="-44" w:firstLine="10"/>
              <w:jc w:val="left"/>
              <w:rPr>
                <w:rFonts w:ascii="宋体" w:hAnsi="宋体" w:cs="宋体" w:eastAsia="宋体" w:hint="default"/>
                <w:sz w:val="18"/>
                <w:szCs w:val="18"/>
              </w:rPr>
            </w:pPr>
            <w:r>
              <w:rPr>
                <w:rFonts w:ascii="宋体" w:hAnsi="宋体" w:cs="宋体" w:eastAsia="宋体" w:hint="default"/>
                <w:sz w:val="18"/>
                <w:szCs w:val="18"/>
              </w:rPr>
              <w:t>其他增减 </w:t>
            </w:r>
            <w:r>
              <w:rPr>
                <w:rFonts w:ascii="宋体" w:hAnsi="宋体" w:cs="宋体" w:eastAsia="宋体" w:hint="default"/>
                <w:spacing w:val="-19"/>
                <w:sz w:val="18"/>
                <w:szCs w:val="18"/>
              </w:rPr>
              <w:t>变动（股）</w:t>
            </w:r>
            <w:r>
              <w:rPr>
                <w:rFonts w:ascii="宋体" w:hAnsi="宋体" w:cs="宋体" w:eastAsia="宋体" w:hint="default"/>
                <w:sz w:val="18"/>
                <w:szCs w:val="18"/>
              </w:rPr>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33" w:right="32"/>
              <w:jc w:val="left"/>
              <w:rPr>
                <w:rFonts w:ascii="宋体" w:hAnsi="宋体" w:cs="宋体" w:eastAsia="宋体" w:hint="default"/>
                <w:sz w:val="18"/>
                <w:szCs w:val="18"/>
              </w:rPr>
            </w:pPr>
            <w:r>
              <w:rPr>
                <w:rFonts w:ascii="宋体" w:hAnsi="宋体" w:cs="宋体" w:eastAsia="宋体" w:hint="default"/>
                <w:sz w:val="18"/>
                <w:szCs w:val="18"/>
              </w:rPr>
              <w:t>期末持股 数（股）</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225"/>
              <w:jc w:val="right"/>
              <w:rPr>
                <w:rFonts w:ascii="宋体" w:hAnsi="宋体" w:cs="宋体" w:eastAsia="宋体" w:hint="default"/>
                <w:sz w:val="18"/>
                <w:szCs w:val="18"/>
              </w:rPr>
            </w:pPr>
            <w:r>
              <w:rPr>
                <w:rFonts w:ascii="宋体" w:hAnsi="宋体" w:cs="宋体" w:eastAsia="宋体" w:hint="default"/>
                <w:sz w:val="18"/>
                <w:szCs w:val="18"/>
              </w:rPr>
              <w:t>杨维国</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00" w:lineRule="auto"/>
              <w:ind w:left="22" w:right="177"/>
              <w:jc w:val="left"/>
              <w:rPr>
                <w:rFonts w:ascii="宋体" w:hAnsi="宋体" w:cs="宋体" w:eastAsia="宋体" w:hint="default"/>
                <w:sz w:val="18"/>
                <w:szCs w:val="18"/>
              </w:rPr>
            </w:pPr>
            <w:r>
              <w:rPr>
                <w:rFonts w:ascii="宋体" w:hAnsi="宋体" w:cs="宋体" w:eastAsia="宋体" w:hint="default"/>
                <w:sz w:val="18"/>
                <w:szCs w:val="18"/>
              </w:rPr>
              <w:t>董事长</w:t>
            </w:r>
            <w:r>
              <w:rPr>
                <w:rFonts w:ascii="Times New Roman" w:hAnsi="Times New Roman" w:cs="Times New Roman" w:eastAsia="Times New Roman" w:hint="default"/>
                <w:sz w:val="18"/>
                <w:szCs w:val="18"/>
              </w:rPr>
              <w:t>, </w:t>
            </w:r>
            <w:r>
              <w:rPr>
                <w:rFonts w:ascii="宋体" w:hAnsi="宋体" w:cs="宋体" w:eastAsia="宋体" w:hint="default"/>
                <w:sz w:val="18"/>
                <w:szCs w:val="18"/>
              </w:rPr>
              <w:t>总经理</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54</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13</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12</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65,840,00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left="44" w:right="0"/>
              <w:jc w:val="left"/>
              <w:rPr>
                <w:rFonts w:ascii="Times New Roman" w:hAnsi="Times New Roman" w:cs="Times New Roman" w:eastAsia="Times New Roman" w:hint="default"/>
                <w:sz w:val="18"/>
                <w:szCs w:val="18"/>
              </w:rPr>
            </w:pPr>
            <w:r>
              <w:rPr>
                <w:rFonts w:ascii="Times New Roman"/>
                <w:sz w:val="18"/>
              </w:rPr>
              <w:t>5,181,200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33,500,30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8</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94,159,10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8</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225"/>
              <w:jc w:val="right"/>
              <w:rPr>
                <w:rFonts w:ascii="宋体" w:hAnsi="宋体" w:cs="宋体" w:eastAsia="宋体" w:hint="default"/>
                <w:sz w:val="18"/>
                <w:szCs w:val="18"/>
              </w:rPr>
            </w:pPr>
            <w:r>
              <w:rPr>
                <w:rFonts w:ascii="宋体" w:hAnsi="宋体" w:cs="宋体" w:eastAsia="宋体" w:hint="default"/>
                <w:sz w:val="18"/>
                <w:szCs w:val="18"/>
              </w:rPr>
              <w:t>付秋生</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2"/>
              <w:ind w:left="22" w:right="42"/>
              <w:jc w:val="left"/>
              <w:rPr>
                <w:rFonts w:ascii="宋体" w:hAnsi="宋体" w:cs="宋体" w:eastAsia="宋体" w:hint="default"/>
                <w:sz w:val="18"/>
                <w:szCs w:val="18"/>
              </w:rPr>
            </w:pPr>
            <w:r>
              <w:rPr>
                <w:rFonts w:ascii="宋体" w:hAnsi="宋体" w:cs="宋体" w:eastAsia="宋体" w:hint="default"/>
                <w:sz w:val="18"/>
                <w:szCs w:val="18"/>
              </w:rPr>
              <w:t>董事</w:t>
            </w:r>
            <w:r>
              <w:rPr>
                <w:rFonts w:ascii="Times New Roman" w:hAnsi="Times New Roman" w:cs="Times New Roman" w:eastAsia="Times New Roman" w:hint="default"/>
                <w:sz w:val="18"/>
                <w:szCs w:val="18"/>
              </w:rPr>
              <w:t>,</w:t>
            </w:r>
            <w:r>
              <w:rPr>
                <w:rFonts w:ascii="宋体" w:hAnsi="宋体" w:cs="宋体" w:eastAsia="宋体" w:hint="default"/>
                <w:sz w:val="18"/>
                <w:szCs w:val="18"/>
              </w:rPr>
              <w:t>常 务副总经 理</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55</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13</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12</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11,068,80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5,631,959</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16,700,75</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9</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225"/>
              <w:jc w:val="right"/>
              <w:rPr>
                <w:rFonts w:ascii="宋体" w:hAnsi="宋体" w:cs="宋体" w:eastAsia="宋体" w:hint="default"/>
                <w:sz w:val="18"/>
                <w:szCs w:val="18"/>
              </w:rPr>
            </w:pPr>
            <w:r>
              <w:rPr>
                <w:rFonts w:ascii="宋体" w:hAnsi="宋体" w:cs="宋体" w:eastAsia="宋体" w:hint="default"/>
                <w:sz w:val="18"/>
                <w:szCs w:val="18"/>
              </w:rPr>
              <w:t>尚卫国</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00" w:lineRule="auto"/>
              <w:ind w:left="22" w:right="176"/>
              <w:jc w:val="left"/>
              <w:rPr>
                <w:rFonts w:ascii="宋体" w:hAnsi="宋体" w:cs="宋体" w:eastAsia="宋体" w:hint="default"/>
                <w:sz w:val="18"/>
                <w:szCs w:val="18"/>
              </w:rPr>
            </w:pPr>
            <w:r>
              <w:rPr>
                <w:rFonts w:ascii="宋体" w:hAnsi="宋体" w:cs="宋体" w:eastAsia="宋体" w:hint="default"/>
                <w:sz w:val="18"/>
                <w:szCs w:val="18"/>
              </w:rPr>
              <w:t>董事</w:t>
            </w:r>
            <w:r>
              <w:rPr>
                <w:rFonts w:ascii="Times New Roman" w:hAnsi="Times New Roman" w:cs="Times New Roman" w:eastAsia="Times New Roman" w:hint="default"/>
                <w:sz w:val="18"/>
                <w:szCs w:val="18"/>
              </w:rPr>
              <w:t>,</w:t>
            </w:r>
            <w:r>
              <w:rPr>
                <w:rFonts w:ascii="宋体" w:hAnsi="宋体" w:cs="宋体" w:eastAsia="宋体" w:hint="default"/>
                <w:sz w:val="18"/>
                <w:szCs w:val="18"/>
              </w:rPr>
              <w:t>副 总经理</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55</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13</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12</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12,487,20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6,353,660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18,840,86</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225"/>
              <w:jc w:val="right"/>
              <w:rPr>
                <w:rFonts w:ascii="宋体" w:hAnsi="宋体" w:cs="宋体" w:eastAsia="宋体" w:hint="default"/>
                <w:sz w:val="18"/>
                <w:szCs w:val="18"/>
              </w:rPr>
            </w:pPr>
            <w:r>
              <w:rPr>
                <w:rFonts w:ascii="宋体" w:hAnsi="宋体" w:cs="宋体" w:eastAsia="宋体" w:hint="default"/>
                <w:sz w:val="18"/>
                <w:szCs w:val="18"/>
              </w:rPr>
              <w:t>赵利宾</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00" w:lineRule="auto"/>
              <w:ind w:left="22" w:right="176"/>
              <w:jc w:val="left"/>
              <w:rPr>
                <w:rFonts w:ascii="宋体" w:hAnsi="宋体" w:cs="宋体" w:eastAsia="宋体" w:hint="default"/>
                <w:sz w:val="18"/>
                <w:szCs w:val="18"/>
              </w:rPr>
            </w:pPr>
            <w:r>
              <w:rPr>
                <w:rFonts w:ascii="宋体" w:hAnsi="宋体" w:cs="宋体" w:eastAsia="宋体" w:hint="default"/>
                <w:sz w:val="18"/>
                <w:szCs w:val="18"/>
              </w:rPr>
              <w:t>董事</w:t>
            </w:r>
            <w:r>
              <w:rPr>
                <w:rFonts w:ascii="Times New Roman" w:hAnsi="Times New Roman" w:cs="Times New Roman" w:eastAsia="Times New Roman" w:hint="default"/>
                <w:sz w:val="18"/>
                <w:szCs w:val="18"/>
              </w:rPr>
              <w:t>,</w:t>
            </w:r>
            <w:r>
              <w:rPr>
                <w:rFonts w:ascii="宋体" w:hAnsi="宋体" w:cs="宋体" w:eastAsia="宋体" w:hint="default"/>
                <w:sz w:val="18"/>
                <w:szCs w:val="18"/>
              </w:rPr>
              <w:t>副 总经理</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51</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13</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12</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10,020,00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5,098,315</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15,118,31</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5</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225"/>
              <w:jc w:val="right"/>
              <w:rPr>
                <w:rFonts w:ascii="宋体" w:hAnsi="宋体" w:cs="宋体" w:eastAsia="宋体" w:hint="default"/>
                <w:sz w:val="18"/>
                <w:szCs w:val="18"/>
              </w:rPr>
            </w:pPr>
            <w:r>
              <w:rPr>
                <w:rFonts w:ascii="宋体" w:hAnsi="宋体" w:cs="宋体" w:eastAsia="宋体" w:hint="default"/>
                <w:sz w:val="18"/>
                <w:szCs w:val="18"/>
              </w:rPr>
              <w:t>司志刚</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53</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13</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12</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225"/>
              <w:jc w:val="right"/>
              <w:rPr>
                <w:rFonts w:ascii="宋体" w:hAnsi="宋体" w:cs="宋体" w:eastAsia="宋体" w:hint="default"/>
                <w:sz w:val="18"/>
                <w:szCs w:val="18"/>
              </w:rPr>
            </w:pPr>
            <w:r>
              <w:rPr>
                <w:rFonts w:ascii="宋体" w:hAnsi="宋体" w:cs="宋体" w:eastAsia="宋体" w:hint="default"/>
                <w:sz w:val="18"/>
                <w:szCs w:val="18"/>
              </w:rPr>
              <w:t>刘汴生</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65</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13</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12</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225"/>
              <w:jc w:val="right"/>
              <w:rPr>
                <w:rFonts w:ascii="宋体" w:hAnsi="宋体" w:cs="宋体" w:eastAsia="宋体" w:hint="default"/>
                <w:sz w:val="18"/>
                <w:szCs w:val="18"/>
              </w:rPr>
            </w:pPr>
            <w:r>
              <w:rPr>
                <w:rFonts w:ascii="宋体" w:hAnsi="宋体" w:cs="宋体" w:eastAsia="宋体" w:hint="default"/>
                <w:sz w:val="18"/>
                <w:szCs w:val="18"/>
              </w:rPr>
              <w:t>王玉辉</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3" w:right="0"/>
              <w:jc w:val="left"/>
              <w:rPr>
                <w:rFonts w:ascii="宋体" w:hAnsi="宋体" w:cs="宋体" w:eastAsia="宋体" w:hint="default"/>
                <w:sz w:val="18"/>
                <w:szCs w:val="18"/>
              </w:rPr>
            </w:pPr>
            <w:r>
              <w:rPr>
                <w:rFonts w:ascii="宋体" w:hAnsi="宋体" w:cs="宋体" w:eastAsia="宋体" w:hint="default"/>
                <w:sz w:val="18"/>
                <w:szCs w:val="18"/>
              </w:rPr>
              <w:t>女</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43</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13</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12</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225"/>
              <w:jc w:val="right"/>
              <w:rPr>
                <w:rFonts w:ascii="宋体" w:hAnsi="宋体" w:cs="宋体" w:eastAsia="宋体" w:hint="default"/>
                <w:sz w:val="18"/>
                <w:szCs w:val="18"/>
              </w:rPr>
            </w:pPr>
            <w:r>
              <w:rPr>
                <w:rFonts w:ascii="宋体" w:hAnsi="宋体" w:cs="宋体" w:eastAsia="宋体" w:hint="default"/>
                <w:sz w:val="18"/>
                <w:szCs w:val="18"/>
              </w:rPr>
              <w:t>张英瑶</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68</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13</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12</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225"/>
              <w:jc w:val="right"/>
              <w:rPr>
                <w:rFonts w:ascii="宋体" w:hAnsi="宋体" w:cs="宋体" w:eastAsia="宋体" w:hint="default"/>
                <w:sz w:val="18"/>
                <w:szCs w:val="18"/>
              </w:rPr>
            </w:pPr>
            <w:r>
              <w:rPr>
                <w:rFonts w:ascii="宋体" w:hAnsi="宋体" w:cs="宋体" w:eastAsia="宋体" w:hint="default"/>
                <w:sz w:val="18"/>
                <w:szCs w:val="18"/>
              </w:rPr>
              <w:t>毕会静</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3" w:right="0"/>
              <w:jc w:val="left"/>
              <w:rPr>
                <w:rFonts w:ascii="宋体" w:hAnsi="宋体" w:cs="宋体" w:eastAsia="宋体" w:hint="default"/>
                <w:sz w:val="18"/>
                <w:szCs w:val="18"/>
              </w:rPr>
            </w:pPr>
            <w:r>
              <w:rPr>
                <w:rFonts w:ascii="宋体" w:hAnsi="宋体" w:cs="宋体" w:eastAsia="宋体" w:hint="default"/>
                <w:sz w:val="18"/>
                <w:szCs w:val="18"/>
              </w:rPr>
              <w:t>女</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45</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13</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12</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225"/>
              <w:jc w:val="right"/>
              <w:rPr>
                <w:rFonts w:ascii="宋体" w:hAnsi="宋体" w:cs="宋体" w:eastAsia="宋体" w:hint="default"/>
                <w:sz w:val="18"/>
                <w:szCs w:val="18"/>
              </w:rPr>
            </w:pPr>
            <w:r>
              <w:rPr>
                <w:rFonts w:ascii="宋体" w:hAnsi="宋体" w:cs="宋体" w:eastAsia="宋体" w:hint="default"/>
                <w:sz w:val="18"/>
                <w:szCs w:val="18"/>
              </w:rPr>
              <w:t>刘恩臣</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319" w:lineRule="auto"/>
              <w:ind w:left="22" w:right="42"/>
              <w:jc w:val="left"/>
              <w:rPr>
                <w:rFonts w:ascii="宋体" w:hAnsi="宋体" w:cs="宋体" w:eastAsia="宋体" w:hint="default"/>
                <w:sz w:val="18"/>
                <w:szCs w:val="18"/>
              </w:rPr>
            </w:pPr>
            <w:r>
              <w:rPr>
                <w:rFonts w:ascii="宋体" w:hAnsi="宋体" w:cs="宋体" w:eastAsia="宋体" w:hint="default"/>
                <w:sz w:val="18"/>
                <w:szCs w:val="18"/>
              </w:rPr>
              <w:t>监事会主 席</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55</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3"/>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13</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3"/>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12</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9,520,000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4,843,908</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14,363,90</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8</w:t>
            </w:r>
          </w:p>
        </w:tc>
      </w:tr>
      <w:tr>
        <w:trPr>
          <w:trHeight w:val="402"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5"/>
              <w:jc w:val="right"/>
              <w:rPr>
                <w:rFonts w:ascii="宋体" w:hAnsi="宋体" w:cs="宋体" w:eastAsia="宋体" w:hint="default"/>
                <w:sz w:val="18"/>
                <w:szCs w:val="18"/>
              </w:rPr>
            </w:pPr>
            <w:r>
              <w:rPr>
                <w:rFonts w:ascii="宋体" w:hAnsi="宋体" w:cs="宋体" w:eastAsia="宋体" w:hint="default"/>
                <w:sz w:val="18"/>
                <w:szCs w:val="18"/>
              </w:rPr>
              <w:t>王葆玲</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女</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47</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296,500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150,863</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79" w:right="0"/>
              <w:jc w:val="left"/>
              <w:rPr>
                <w:rFonts w:ascii="Times New Roman" w:hAnsi="Times New Roman" w:cs="Times New Roman" w:eastAsia="Times New Roman" w:hint="default"/>
                <w:sz w:val="18"/>
                <w:szCs w:val="18"/>
              </w:rPr>
            </w:pPr>
            <w:r>
              <w:rPr>
                <w:rFonts w:ascii="Times New Roman"/>
                <w:sz w:val="18"/>
              </w:rPr>
              <w:t>447,363</w:t>
            </w:r>
          </w:p>
        </w:tc>
      </w:tr>
    </w:tbl>
    <w:p>
      <w:pPr>
        <w:spacing w:after="0" w:line="240" w:lineRule="auto"/>
        <w:jc w:val="left"/>
        <w:rPr>
          <w:rFonts w:ascii="Times New Roman" w:hAnsi="Times New Roman" w:cs="Times New Roman" w:eastAsia="Times New Roman" w:hint="default"/>
          <w:sz w:val="18"/>
          <w:szCs w:val="18"/>
        </w:rPr>
        <w:sectPr>
          <w:pgSz w:w="11910" w:h="16840"/>
          <w:pgMar w:header="877" w:footer="979" w:top="1060" w:bottom="1160" w:left="980" w:right="0"/>
        </w:sectPr>
      </w:pPr>
    </w:p>
    <w:p>
      <w:pPr>
        <w:spacing w:line="240" w:lineRule="auto" w:before="6"/>
        <w:rPr>
          <w:rFonts w:ascii="宋体" w:hAnsi="宋体" w:cs="宋体" w:eastAsia="宋体" w:hint="default"/>
          <w:b/>
          <w:bCs/>
          <w:sz w:val="28"/>
          <w:szCs w:val="28"/>
        </w:rPr>
      </w:pPr>
    </w:p>
    <w:tbl>
      <w:tblPr>
        <w:tblW w:w="0" w:type="auto"/>
        <w:jc w:val="left"/>
        <w:tblInd w:w="149" w:type="dxa"/>
        <w:tblLayout w:type="fixed"/>
        <w:tblCellMar>
          <w:top w:w="0" w:type="dxa"/>
          <w:left w:w="0" w:type="dxa"/>
          <w:bottom w:w="0" w:type="dxa"/>
          <w:right w:w="0" w:type="dxa"/>
        </w:tblCellMar>
        <w:tblLook w:val="01E0"/>
      </w:tblPr>
      <w:tblGrid>
        <w:gridCol w:w="798"/>
        <w:gridCol w:w="797"/>
        <w:gridCol w:w="797"/>
        <w:gridCol w:w="798"/>
        <w:gridCol w:w="798"/>
        <w:gridCol w:w="797"/>
        <w:gridCol w:w="798"/>
        <w:gridCol w:w="798"/>
        <w:gridCol w:w="798"/>
        <w:gridCol w:w="798"/>
        <w:gridCol w:w="798"/>
        <w:gridCol w:w="798"/>
      </w:tblGrid>
      <w:tr>
        <w:trPr>
          <w:trHeight w:val="674" w:hRule="exact"/>
        </w:trPr>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13</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12</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张建英</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319" w:lineRule="auto"/>
              <w:ind w:left="22" w:right="42"/>
              <w:jc w:val="left"/>
              <w:rPr>
                <w:rFonts w:ascii="宋体" w:hAnsi="宋体" w:cs="宋体" w:eastAsia="宋体" w:hint="default"/>
                <w:sz w:val="18"/>
                <w:szCs w:val="18"/>
              </w:rPr>
            </w:pPr>
            <w:r>
              <w:rPr>
                <w:rFonts w:ascii="宋体" w:hAnsi="宋体" w:cs="宋体" w:eastAsia="宋体" w:hint="default"/>
                <w:sz w:val="18"/>
                <w:szCs w:val="18"/>
              </w:rPr>
              <w:t>职工代表 监事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3" w:right="0"/>
              <w:jc w:val="left"/>
              <w:rPr>
                <w:rFonts w:ascii="宋体" w:hAnsi="宋体" w:cs="宋体" w:eastAsia="宋体" w:hint="default"/>
                <w:sz w:val="18"/>
                <w:szCs w:val="18"/>
              </w:rPr>
            </w:pPr>
            <w:r>
              <w:rPr>
                <w:rFonts w:ascii="宋体" w:hAnsi="宋体" w:cs="宋体" w:eastAsia="宋体" w:hint="default"/>
                <w:sz w:val="18"/>
                <w:szCs w:val="18"/>
              </w:rPr>
              <w:t>女</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43</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13</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12</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华梦阳</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19"/>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48</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13</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12</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10,820,00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5,505,367</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16,325,36</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7</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李玉玲</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19"/>
              <w:jc w:val="center"/>
              <w:rPr>
                <w:rFonts w:ascii="宋体" w:hAnsi="宋体" w:cs="宋体" w:eastAsia="宋体" w:hint="default"/>
                <w:sz w:val="18"/>
                <w:szCs w:val="18"/>
              </w:rPr>
            </w:pPr>
            <w:r>
              <w:rPr>
                <w:rFonts w:ascii="宋体" w:hAnsi="宋体" w:cs="宋体" w:eastAsia="宋体" w:hint="default"/>
                <w:sz w:val="18"/>
                <w:szCs w:val="18"/>
              </w:rPr>
              <w:t>财务总监</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3" w:right="0"/>
              <w:jc w:val="left"/>
              <w:rPr>
                <w:rFonts w:ascii="宋体" w:hAnsi="宋体" w:cs="宋体" w:eastAsia="宋体" w:hint="default"/>
                <w:sz w:val="18"/>
                <w:szCs w:val="18"/>
              </w:rPr>
            </w:pPr>
            <w:r>
              <w:rPr>
                <w:rFonts w:ascii="宋体" w:hAnsi="宋体" w:cs="宋体" w:eastAsia="宋体" w:hint="default"/>
                <w:sz w:val="18"/>
                <w:szCs w:val="18"/>
              </w:rPr>
              <w:t>女</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47</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13</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12</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150,000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-59,471</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90,529</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傅常顺</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19"/>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46</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13</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12</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10,020,00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5,098,315</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15,118,31</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5</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杜建平</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19"/>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46</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13</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12</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10,020,00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5,098,315</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15,118,31</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5</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刘永春</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19"/>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49</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13</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12</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5,064,220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2,576,746</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7,640,966</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杨长昆</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19"/>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37</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15</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12</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152,500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-86,867</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65,633</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何伟</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19"/>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48</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15</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12</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赵鑫</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19"/>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35</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23</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12</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190,000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15,199</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205,199</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赵璇</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42"/>
              <w:jc w:val="both"/>
              <w:rPr>
                <w:rFonts w:ascii="宋体" w:hAnsi="宋体" w:cs="宋体" w:eastAsia="宋体" w:hint="default"/>
                <w:sz w:val="18"/>
                <w:szCs w:val="18"/>
              </w:rPr>
            </w:pPr>
            <w:r>
              <w:rPr>
                <w:rFonts w:ascii="宋体" w:hAnsi="宋体" w:cs="宋体" w:eastAsia="宋体" w:hint="default"/>
                <w:sz w:val="18"/>
                <w:szCs w:val="18"/>
              </w:rPr>
              <w:t>董事会秘 书、副总 经理</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3" w:right="0"/>
              <w:jc w:val="left"/>
              <w:rPr>
                <w:rFonts w:ascii="宋体" w:hAnsi="宋体" w:cs="宋体" w:eastAsia="宋体" w:hint="default"/>
                <w:sz w:val="18"/>
                <w:szCs w:val="18"/>
              </w:rPr>
            </w:pPr>
            <w:r>
              <w:rPr>
                <w:rFonts w:ascii="宋体" w:hAnsi="宋体" w:cs="宋体" w:eastAsia="宋体" w:hint="default"/>
                <w:sz w:val="18"/>
                <w:szCs w:val="18"/>
              </w:rPr>
              <w:t>女</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32</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23</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12</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145,649,2</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20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left="44" w:right="0"/>
              <w:jc w:val="left"/>
              <w:rPr>
                <w:rFonts w:ascii="Times New Roman" w:hAnsi="Times New Roman" w:cs="Times New Roman" w:eastAsia="Times New Roman" w:hint="default"/>
                <w:sz w:val="18"/>
                <w:szCs w:val="18"/>
              </w:rPr>
            </w:pPr>
            <w:r>
              <w:rPr>
                <w:rFonts w:ascii="Times New Roman"/>
                <w:sz w:val="18"/>
              </w:rPr>
              <w:t>5,181,200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73,726,61</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7</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214,194,6</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37</w:t>
            </w:r>
          </w:p>
        </w:tc>
      </w:tr>
    </w:tbl>
    <w:p>
      <w:pPr>
        <w:spacing w:line="240" w:lineRule="auto" w:before="2"/>
        <w:rPr>
          <w:rFonts w:ascii="宋体" w:hAnsi="宋体" w:cs="宋体" w:eastAsia="宋体" w:hint="default"/>
          <w:b/>
          <w:bCs/>
          <w:sz w:val="18"/>
          <w:szCs w:val="18"/>
        </w:rPr>
      </w:pPr>
    </w:p>
    <w:p>
      <w:pPr>
        <w:pStyle w:val="Heading2"/>
        <w:spacing w:line="240" w:lineRule="auto" w:before="26"/>
        <w:ind w:right="1117"/>
        <w:jc w:val="left"/>
        <w:rPr>
          <w:b w:val="0"/>
          <w:bCs w:val="0"/>
        </w:rPr>
      </w:pPr>
      <w:bookmarkStart w:name="二、公司董事、监事、高级管理人员变动情况" w:id="126"/>
      <w:bookmarkEnd w:id="126"/>
      <w:r>
        <w:rPr>
          <w:b w:val="0"/>
          <w:bCs w:val="0"/>
        </w:rPr>
      </w:r>
      <w:r>
        <w:rPr/>
        <w:t>二、公司董事、监事、高级管理人员变动情况</w:t>
      </w:r>
      <w:r>
        <w:rPr>
          <w:b w:val="0"/>
          <w:bCs w:val="0"/>
        </w:rPr>
      </w:r>
    </w:p>
    <w:p>
      <w:pPr>
        <w:spacing w:line="240" w:lineRule="auto" w:before="8"/>
        <w:rPr>
          <w:rFonts w:ascii="宋体" w:hAnsi="宋体" w:cs="宋体" w:eastAsia="宋体" w:hint="default"/>
          <w:b/>
          <w:bCs/>
          <w:sz w:val="26"/>
          <w:szCs w:val="26"/>
        </w:rPr>
      </w:pPr>
    </w:p>
    <w:p>
      <w:pPr>
        <w:spacing w:before="0"/>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适用</w:t>
      </w:r>
      <w:r>
        <w:rPr>
          <w:rFonts w:ascii="Times New Roman" w:hAnsi="Times New Roman" w:cs="Times New Roman" w:eastAsia="Times New Roman" w:hint="default"/>
          <w:sz w:val="18"/>
          <w:szCs w:val="18"/>
        </w:rPr>
        <w:t>□</w:t>
      </w:r>
      <w:r>
        <w:rPr>
          <w:rFonts w:ascii="宋体" w:hAnsi="宋体" w:cs="宋体" w:eastAsia="宋体" w:hint="default"/>
          <w:sz w:val="18"/>
          <w:szCs w:val="18"/>
        </w:rPr>
        <w:t>不适用</w:t>
      </w:r>
    </w:p>
    <w:p>
      <w:pPr>
        <w:spacing w:line="240" w:lineRule="auto" w:before="13"/>
        <w:rPr>
          <w:rFonts w:ascii="宋体" w:hAnsi="宋体" w:cs="宋体" w:eastAsia="宋体" w:hint="default"/>
          <w:sz w:val="6"/>
          <w:szCs w:val="6"/>
        </w:rPr>
      </w:pPr>
    </w:p>
    <w:tbl>
      <w:tblPr>
        <w:tblW w:w="0" w:type="auto"/>
        <w:jc w:val="left"/>
        <w:tblInd w:w="149" w:type="dxa"/>
        <w:tblLayout w:type="fixed"/>
        <w:tblCellMar>
          <w:top w:w="0" w:type="dxa"/>
          <w:left w:w="0" w:type="dxa"/>
          <w:bottom w:w="0" w:type="dxa"/>
          <w:right w:w="0" w:type="dxa"/>
        </w:tblCellMar>
        <w:tblLook w:val="01E0"/>
      </w:tblPr>
      <w:tblGrid>
        <w:gridCol w:w="1330"/>
        <w:gridCol w:w="1330"/>
        <w:gridCol w:w="1330"/>
        <w:gridCol w:w="1331"/>
        <w:gridCol w:w="4248"/>
      </w:tblGrid>
      <w:tr>
        <w:trPr>
          <w:trHeight w:val="401" w:hRule="exact"/>
        </w:trPr>
        <w:tc>
          <w:tcPr>
            <w:tcW w:w="13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姓名</w:t>
            </w:r>
          </w:p>
        </w:tc>
        <w:tc>
          <w:tcPr>
            <w:tcW w:w="13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10" w:right="0"/>
              <w:jc w:val="left"/>
              <w:rPr>
                <w:rFonts w:ascii="宋体" w:hAnsi="宋体" w:cs="宋体" w:eastAsia="宋体" w:hint="default"/>
                <w:sz w:val="18"/>
                <w:szCs w:val="18"/>
              </w:rPr>
            </w:pPr>
            <w:r>
              <w:rPr>
                <w:rFonts w:ascii="宋体" w:hAnsi="宋体" w:cs="宋体" w:eastAsia="宋体" w:hint="default"/>
                <w:sz w:val="18"/>
                <w:szCs w:val="18"/>
              </w:rPr>
              <w:t>担任的职务</w:t>
            </w:r>
          </w:p>
        </w:tc>
        <w:tc>
          <w:tcPr>
            <w:tcW w:w="13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类型</w:t>
            </w:r>
          </w:p>
        </w:tc>
        <w:tc>
          <w:tcPr>
            <w:tcW w:w="13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日期</w:t>
            </w:r>
          </w:p>
        </w:tc>
        <w:tc>
          <w:tcPr>
            <w:tcW w:w="42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原因</w:t>
            </w:r>
          </w:p>
        </w:tc>
      </w:tr>
      <w:tr>
        <w:trPr>
          <w:trHeight w:val="403"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杨长昆</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1330" w:type="dxa"/>
            <w:tcBorders>
              <w:top w:val="single" w:sz="4" w:space="0" w:color="000000"/>
              <w:left w:val="single" w:sz="4" w:space="0" w:color="000000"/>
              <w:bottom w:val="single" w:sz="4" w:space="0" w:color="000000"/>
              <w:right w:val="single" w:sz="4" w:space="0" w:color="000000"/>
            </w:tcBorders>
          </w:tcPr>
          <w:p>
            <w:pPr/>
          </w:p>
        </w:tc>
        <w:tc>
          <w:tcPr>
            <w:tcW w:w="13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2"/>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15</w:t>
            </w:r>
          </w:p>
        </w:tc>
        <w:tc>
          <w:tcPr>
            <w:tcW w:w="4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董事会聘任</w:t>
            </w:r>
          </w:p>
        </w:tc>
      </w:tr>
    </w:tbl>
    <w:p>
      <w:pPr>
        <w:spacing w:after="0" w:line="240" w:lineRule="auto"/>
        <w:jc w:val="left"/>
        <w:rPr>
          <w:rFonts w:ascii="宋体" w:hAnsi="宋体" w:cs="宋体" w:eastAsia="宋体" w:hint="default"/>
          <w:sz w:val="18"/>
          <w:szCs w:val="18"/>
        </w:rPr>
        <w:sectPr>
          <w:pgSz w:w="11910" w:h="16840"/>
          <w:pgMar w:header="87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330"/>
        <w:gridCol w:w="1330"/>
        <w:gridCol w:w="1330"/>
        <w:gridCol w:w="1331"/>
        <w:gridCol w:w="4248"/>
      </w:tblGrid>
      <w:tr>
        <w:trPr>
          <w:trHeight w:val="362" w:hRule="exact"/>
        </w:trPr>
        <w:tc>
          <w:tcPr>
            <w:tcW w:w="1330" w:type="dxa"/>
            <w:tcBorders>
              <w:top w:val="single" w:sz="4" w:space="0" w:color="000000"/>
              <w:left w:val="single" w:sz="4" w:space="0" w:color="000000"/>
              <w:bottom w:val="single" w:sz="4" w:space="0" w:color="000000"/>
              <w:right w:val="single" w:sz="4" w:space="0" w:color="000000"/>
            </w:tcBorders>
          </w:tcPr>
          <w:p>
            <w:pPr/>
          </w:p>
        </w:tc>
        <w:tc>
          <w:tcPr>
            <w:tcW w:w="1330" w:type="dxa"/>
            <w:tcBorders>
              <w:top w:val="single" w:sz="4" w:space="0" w:color="000000"/>
              <w:left w:val="single" w:sz="4" w:space="0" w:color="000000"/>
              <w:bottom w:val="single" w:sz="4" w:space="0" w:color="000000"/>
              <w:right w:val="single" w:sz="4" w:space="0" w:color="000000"/>
            </w:tcBorders>
          </w:tcPr>
          <w:p>
            <w:pPr/>
          </w:p>
        </w:tc>
        <w:tc>
          <w:tcPr>
            <w:tcW w:w="1330" w:type="dxa"/>
            <w:tcBorders>
              <w:top w:val="single" w:sz="4" w:space="0" w:color="000000"/>
              <w:left w:val="single" w:sz="4" w:space="0" w:color="000000"/>
              <w:bottom w:val="single" w:sz="4" w:space="0" w:color="000000"/>
              <w:right w:val="single" w:sz="4" w:space="0" w:color="000000"/>
            </w:tcBorders>
          </w:tcPr>
          <w:p>
            <w:pPr/>
          </w:p>
        </w:tc>
        <w:tc>
          <w:tcPr>
            <w:tcW w:w="13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424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何伟</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1330" w:type="dxa"/>
            <w:tcBorders>
              <w:top w:val="single" w:sz="4" w:space="0" w:color="000000"/>
              <w:left w:val="single" w:sz="4" w:space="0" w:color="000000"/>
              <w:bottom w:val="single" w:sz="4" w:space="0" w:color="000000"/>
              <w:right w:val="single" w:sz="4" w:space="0" w:color="000000"/>
            </w:tcBorders>
          </w:tcPr>
          <w:p>
            <w:pPr/>
          </w:p>
        </w:tc>
        <w:tc>
          <w:tcPr>
            <w:tcW w:w="13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15</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4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董事会聘任</w:t>
            </w:r>
          </w:p>
        </w:tc>
      </w:tr>
      <w:tr>
        <w:trPr>
          <w:trHeight w:val="714"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赵鑫</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1330" w:type="dxa"/>
            <w:tcBorders>
              <w:top w:val="single" w:sz="4" w:space="0" w:color="000000"/>
              <w:left w:val="single" w:sz="4" w:space="0" w:color="000000"/>
              <w:bottom w:val="single" w:sz="4" w:space="0" w:color="000000"/>
              <w:right w:val="single" w:sz="4" w:space="0" w:color="000000"/>
            </w:tcBorders>
          </w:tcPr>
          <w:p>
            <w:pPr/>
          </w:p>
        </w:tc>
        <w:tc>
          <w:tcPr>
            <w:tcW w:w="13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23</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4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董事会聘任</w:t>
            </w:r>
          </w:p>
        </w:tc>
      </w:tr>
      <w:tr>
        <w:trPr>
          <w:trHeight w:val="714"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赵璇</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35"/>
              <w:jc w:val="left"/>
              <w:rPr>
                <w:rFonts w:ascii="宋体" w:hAnsi="宋体" w:cs="宋体" w:eastAsia="宋体" w:hint="default"/>
                <w:sz w:val="18"/>
                <w:szCs w:val="18"/>
              </w:rPr>
            </w:pPr>
            <w:r>
              <w:rPr>
                <w:rFonts w:ascii="宋体" w:hAnsi="宋体" w:cs="宋体" w:eastAsia="宋体" w:hint="default"/>
                <w:sz w:val="18"/>
                <w:szCs w:val="18"/>
              </w:rPr>
              <w:t>董事会秘书、副 总经理</w:t>
            </w:r>
          </w:p>
        </w:tc>
        <w:tc>
          <w:tcPr>
            <w:tcW w:w="1330" w:type="dxa"/>
            <w:tcBorders>
              <w:top w:val="single" w:sz="4" w:space="0" w:color="000000"/>
              <w:left w:val="single" w:sz="4" w:space="0" w:color="000000"/>
              <w:bottom w:val="single" w:sz="4" w:space="0" w:color="000000"/>
              <w:right w:val="single" w:sz="4" w:space="0" w:color="000000"/>
            </w:tcBorders>
          </w:tcPr>
          <w:p>
            <w:pPr/>
          </w:p>
        </w:tc>
        <w:tc>
          <w:tcPr>
            <w:tcW w:w="13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23</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4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董事会聘任</w:t>
            </w:r>
          </w:p>
        </w:tc>
      </w:tr>
    </w:tbl>
    <w:p>
      <w:pPr>
        <w:spacing w:line="240" w:lineRule="auto" w:before="2"/>
        <w:rPr>
          <w:rFonts w:ascii="宋体" w:hAnsi="宋体" w:cs="宋体" w:eastAsia="宋体" w:hint="default"/>
          <w:sz w:val="18"/>
          <w:szCs w:val="18"/>
        </w:rPr>
      </w:pPr>
    </w:p>
    <w:p>
      <w:pPr>
        <w:pStyle w:val="Heading2"/>
        <w:spacing w:line="240" w:lineRule="auto" w:before="26"/>
        <w:ind w:right="1117"/>
        <w:jc w:val="left"/>
        <w:rPr>
          <w:b w:val="0"/>
          <w:bCs w:val="0"/>
        </w:rPr>
      </w:pPr>
      <w:bookmarkStart w:name="三、任职情况" w:id="127"/>
      <w:bookmarkEnd w:id="127"/>
      <w:r>
        <w:rPr>
          <w:b w:val="0"/>
          <w:bCs w:val="0"/>
        </w:rPr>
      </w:r>
      <w:r>
        <w:rPr/>
        <w:t>三、任职情况</w:t>
      </w:r>
      <w:r>
        <w:rPr>
          <w:b w:val="0"/>
          <w:bCs w:val="0"/>
        </w:rPr>
      </w:r>
    </w:p>
    <w:p>
      <w:pPr>
        <w:spacing w:line="240" w:lineRule="auto" w:before="7"/>
        <w:rPr>
          <w:rFonts w:ascii="宋体" w:hAnsi="宋体" w:cs="宋体" w:eastAsia="宋体" w:hint="default"/>
          <w:b/>
          <w:bCs/>
          <w:sz w:val="26"/>
          <w:szCs w:val="26"/>
        </w:rPr>
      </w:pPr>
    </w:p>
    <w:p>
      <w:pPr>
        <w:spacing w:before="0"/>
        <w:ind w:left="154" w:right="1117" w:firstLine="0"/>
        <w:jc w:val="left"/>
        <w:rPr>
          <w:rFonts w:ascii="宋体" w:hAnsi="宋体" w:cs="宋体" w:eastAsia="宋体" w:hint="default"/>
          <w:sz w:val="18"/>
          <w:szCs w:val="18"/>
        </w:rPr>
      </w:pPr>
      <w:r>
        <w:rPr>
          <w:rFonts w:ascii="宋体" w:hAnsi="宋体" w:cs="宋体" w:eastAsia="宋体" w:hint="default"/>
          <w:sz w:val="18"/>
          <w:szCs w:val="18"/>
        </w:rPr>
        <w:t>公司现任董事、监事、高级管理人员专业背景、主要工作经历以及目前在公司的主要职责</w:t>
      </w:r>
    </w:p>
    <w:p>
      <w:pPr>
        <w:spacing w:before="115"/>
        <w:ind w:left="154" w:right="1117" w:firstLine="0"/>
        <w:jc w:val="left"/>
        <w:rPr>
          <w:rFonts w:ascii="宋体" w:hAnsi="宋体" w:cs="宋体" w:eastAsia="宋体" w:hint="default"/>
          <w:sz w:val="18"/>
          <w:szCs w:val="18"/>
        </w:rPr>
      </w:pPr>
      <w:r>
        <w:rPr>
          <w:rFonts w:ascii="宋体" w:hAnsi="宋体" w:cs="宋体" w:eastAsia="宋体" w:hint="default"/>
          <w:sz w:val="18"/>
          <w:szCs w:val="18"/>
        </w:rPr>
        <w:t>（一）董事会成员</w:t>
      </w:r>
    </w:p>
    <w:p>
      <w:pPr>
        <w:pStyle w:val="BodyText"/>
        <w:spacing w:line="386" w:lineRule="auto" w:before="129"/>
        <w:ind w:right="0" w:firstLine="423"/>
        <w:jc w:val="left"/>
      </w:pPr>
      <w:r>
        <w:rPr/>
        <w:t>公司现有董事会成员</w:t>
      </w:r>
      <w:r>
        <w:rPr>
          <w:rFonts w:ascii="Times New Roman" w:hAnsi="Times New Roman" w:cs="Times New Roman" w:eastAsia="Times New Roman" w:hint="default"/>
        </w:rPr>
        <w:t>9</w:t>
      </w:r>
      <w:r>
        <w:rPr/>
        <w:t>人，其中董事</w:t>
      </w:r>
      <w:r>
        <w:rPr>
          <w:rFonts w:ascii="Times New Roman" w:hAnsi="Times New Roman" w:cs="Times New Roman" w:eastAsia="Times New Roman" w:hint="default"/>
        </w:rPr>
        <w:t>5</w:t>
      </w:r>
      <w:r>
        <w:rPr/>
        <w:t>人，独立董事</w:t>
      </w:r>
      <w:r>
        <w:rPr>
          <w:rFonts w:ascii="Times New Roman" w:hAnsi="Times New Roman" w:cs="Times New Roman" w:eastAsia="Times New Roman" w:hint="default"/>
        </w:rPr>
        <w:t>4</w:t>
      </w:r>
      <w:r>
        <w:rPr/>
        <w:t>人。公司第四届董事会任期至</w:t>
      </w:r>
      <w:r>
        <w:rPr>
          <w:rFonts w:ascii="Times New Roman" w:hAnsi="Times New Roman" w:cs="Times New Roman" w:eastAsia="Times New Roman" w:hint="default"/>
        </w:rPr>
        <w:t>2020</w:t>
      </w:r>
      <w:r>
        <w:rPr/>
        <w:t>年</w:t>
      </w:r>
      <w:r>
        <w:rPr>
          <w:rFonts w:ascii="Times New Roman" w:hAnsi="Times New Roman" w:cs="Times New Roman" w:eastAsia="Times New Roman" w:hint="default"/>
        </w:rPr>
        <w:t>3</w:t>
      </w:r>
      <w:r>
        <w:rPr/>
        <w:t>月</w:t>
      </w:r>
      <w:r>
        <w:rPr>
          <w:rFonts w:ascii="Times New Roman" w:hAnsi="Times New Roman" w:cs="Times New Roman" w:eastAsia="Times New Roman" w:hint="default"/>
        </w:rPr>
        <w:t>12</w:t>
      </w:r>
      <w:r>
        <w:rPr/>
        <w:t>日止， 成员具体情况如下：</w:t>
      </w:r>
    </w:p>
    <w:p>
      <w:pPr>
        <w:pStyle w:val="BodyText"/>
        <w:spacing w:line="391" w:lineRule="auto" w:before="65"/>
        <w:ind w:right="0" w:firstLine="423"/>
        <w:jc w:val="left"/>
      </w:pPr>
      <w:r>
        <w:rPr/>
        <w:t>杨维国先生，男，</w:t>
      </w:r>
      <w:r>
        <w:rPr>
          <w:rFonts w:ascii="Times New Roman" w:hAnsi="Times New Roman" w:cs="Times New Roman" w:eastAsia="Times New Roman" w:hint="default"/>
        </w:rPr>
        <w:t>1964</w:t>
      </w:r>
      <w:r>
        <w:rPr/>
        <w:t>年</w:t>
      </w:r>
      <w:r>
        <w:rPr>
          <w:rFonts w:ascii="Times New Roman" w:hAnsi="Times New Roman" w:cs="Times New Roman" w:eastAsia="Times New Roman" w:hint="default"/>
        </w:rPr>
        <w:t>11</w:t>
      </w:r>
      <w:r>
        <w:rPr/>
        <w:t>月出生，</w:t>
      </w:r>
      <w:r>
        <w:rPr>
          <w:rFonts w:ascii="Times New Roman" w:hAnsi="Times New Roman" w:cs="Times New Roman" w:eastAsia="Times New Roman" w:hint="default"/>
        </w:rPr>
        <w:t>EMBA</w:t>
      </w:r>
      <w:r>
        <w:rPr/>
        <w:t>，高级经济师、工程师，河南省软件行业协会常务理事、</w:t>
      </w:r>
      <w:r>
        <w:rPr>
          <w:spacing w:val="2"/>
        </w:rPr>
        <w:t> </w:t>
      </w:r>
      <w:r>
        <w:rPr/>
        <w:t>河南省工商业联合会常委。</w:t>
      </w:r>
      <w:r>
        <w:rPr>
          <w:rFonts w:ascii="Times New Roman" w:hAnsi="Times New Roman" w:cs="Times New Roman" w:eastAsia="Times New Roman" w:hint="default"/>
        </w:rPr>
        <w:t>1985</w:t>
      </w:r>
      <w:r>
        <w:rPr/>
        <w:t>年毕业于郑州工学院电机系，获工学学士学位；</w:t>
      </w:r>
      <w:r>
        <w:rPr>
          <w:rFonts w:ascii="Times New Roman" w:hAnsi="Times New Roman" w:cs="Times New Roman" w:eastAsia="Times New Roman" w:hint="default"/>
        </w:rPr>
        <w:t>1994</w:t>
      </w:r>
      <w:r>
        <w:rPr/>
        <w:t>年毕业于西安交通大 学，获法学学士学位。</w:t>
      </w:r>
      <w:r>
        <w:rPr>
          <w:rFonts w:ascii="Times New Roman" w:hAnsi="Times New Roman" w:cs="Times New Roman" w:eastAsia="Times New Roman" w:hint="default"/>
        </w:rPr>
        <w:t>1985</w:t>
      </w:r>
      <w:r>
        <w:rPr/>
        <w:t>年至</w:t>
      </w:r>
      <w:r>
        <w:rPr>
          <w:rFonts w:ascii="Times New Roman" w:hAnsi="Times New Roman" w:cs="Times New Roman" w:eastAsia="Times New Roman" w:hint="default"/>
        </w:rPr>
        <w:t>1994</w:t>
      </w:r>
      <w:r>
        <w:rPr/>
        <w:t>年，在郑州工学院（</w:t>
      </w:r>
      <w:r>
        <w:rPr>
          <w:rFonts w:ascii="Times New Roman" w:hAnsi="Times New Roman" w:cs="Times New Roman" w:eastAsia="Times New Roman" w:hint="default"/>
        </w:rPr>
        <w:t>1996</w:t>
      </w:r>
      <w:r>
        <w:rPr/>
        <w:t>年更名为郑州工业大学，</w:t>
      </w:r>
      <w:r>
        <w:rPr>
          <w:rFonts w:ascii="Times New Roman" w:hAnsi="Times New Roman" w:cs="Times New Roman" w:eastAsia="Times New Roman" w:hint="default"/>
        </w:rPr>
        <w:t>2000</w:t>
      </w:r>
      <w:r>
        <w:rPr/>
        <w:t>年与原郑州大 学、河南医科大学合并组建新郑州大学）计算机与自动化系政治辅导员、兼课教师，历任校团委干事、分 团委书记、计算机与自动化系主任助理；</w:t>
      </w:r>
      <w:r>
        <w:rPr>
          <w:rFonts w:ascii="Times New Roman" w:hAnsi="Times New Roman" w:cs="Times New Roman" w:eastAsia="Times New Roman" w:hint="default"/>
        </w:rPr>
        <w:t>1994</w:t>
      </w:r>
      <w:r>
        <w:rPr/>
        <w:t>年至</w:t>
      </w:r>
      <w:r>
        <w:rPr>
          <w:rFonts w:ascii="Times New Roman" w:hAnsi="Times New Roman" w:cs="Times New Roman" w:eastAsia="Times New Roman" w:hint="default"/>
        </w:rPr>
        <w:t>2000</w:t>
      </w:r>
      <w:r>
        <w:rPr/>
        <w:t>年，任郑州工学院科技开发公司副总经理，兼任郑 州工学院开普电子技术公司（成立于</w:t>
      </w:r>
      <w:r>
        <w:rPr>
          <w:rFonts w:ascii="Times New Roman" w:hAnsi="Times New Roman" w:cs="Times New Roman" w:eastAsia="Times New Roman" w:hint="default"/>
        </w:rPr>
        <w:t>1992</w:t>
      </w:r>
      <w:r>
        <w:rPr/>
        <w:t>年，系郑州工学院校办企业，</w:t>
      </w:r>
      <w:r>
        <w:rPr>
          <w:rFonts w:ascii="Times New Roman" w:hAnsi="Times New Roman" w:cs="Times New Roman" w:eastAsia="Times New Roman" w:hint="default"/>
        </w:rPr>
        <w:t>1996</w:t>
      </w:r>
      <w:r>
        <w:rPr/>
        <w:t>年更名为郑州工业大学开普电 子技术公司，已于</w:t>
      </w:r>
      <w:r>
        <w:rPr>
          <w:rFonts w:ascii="Times New Roman" w:hAnsi="Times New Roman" w:cs="Times New Roman" w:eastAsia="Times New Roman" w:hint="default"/>
        </w:rPr>
        <w:t>2001</w:t>
      </w:r>
      <w:r>
        <w:rPr/>
        <w:t>年</w:t>
      </w:r>
      <w:r>
        <w:rPr>
          <w:rFonts w:ascii="Times New Roman" w:hAnsi="Times New Roman" w:cs="Times New Roman" w:eastAsia="Times New Roman" w:hint="default"/>
        </w:rPr>
        <w:t>2</w:t>
      </w:r>
      <w:r>
        <w:rPr/>
        <w:t>月注销）总经理；</w:t>
      </w:r>
      <w:r>
        <w:rPr>
          <w:rFonts w:ascii="Times New Roman" w:hAnsi="Times New Roman" w:cs="Times New Roman" w:eastAsia="Times New Roman" w:hint="default"/>
        </w:rPr>
        <w:t>2000</w:t>
      </w:r>
      <w:r>
        <w:rPr/>
        <w:t>年至今在公司工作，现任公司董事长兼总经理。</w:t>
      </w:r>
    </w:p>
    <w:p>
      <w:pPr>
        <w:pStyle w:val="BodyText"/>
        <w:spacing w:line="393" w:lineRule="auto" w:before="30"/>
        <w:ind w:right="1127" w:firstLine="423"/>
        <w:jc w:val="left"/>
      </w:pPr>
      <w:r>
        <w:rPr>
          <w:spacing w:val="-5"/>
        </w:rPr>
        <w:t>付秋生先生，</w:t>
      </w:r>
      <w:r>
        <w:rPr>
          <w:rFonts w:ascii="Times New Roman" w:hAnsi="Times New Roman" w:cs="Times New Roman" w:eastAsia="Times New Roman" w:hint="default"/>
          <w:spacing w:val="-5"/>
        </w:rPr>
        <w:t>1963</w:t>
      </w:r>
      <w:r>
        <w:rPr>
          <w:spacing w:val="-5"/>
        </w:rPr>
        <w:t>年</w:t>
      </w:r>
      <w:r>
        <w:rPr>
          <w:rFonts w:ascii="Times New Roman" w:hAnsi="Times New Roman" w:cs="Times New Roman" w:eastAsia="Times New Roman" w:hint="default"/>
          <w:spacing w:val="-5"/>
        </w:rPr>
        <w:t>11</w:t>
      </w:r>
      <w:r>
        <w:rPr>
          <w:spacing w:val="-5"/>
        </w:rPr>
        <w:t>月出生，硕士学历，高级工程师。</w:t>
      </w:r>
      <w:r>
        <w:rPr>
          <w:rFonts w:ascii="Times New Roman" w:hAnsi="Times New Roman" w:cs="Times New Roman" w:eastAsia="Times New Roman" w:hint="default"/>
          <w:spacing w:val="-5"/>
        </w:rPr>
        <w:t>1985</w:t>
      </w:r>
      <w:r>
        <w:rPr>
          <w:spacing w:val="-5"/>
        </w:rPr>
        <w:t>年毕业于上海理工大学计算机应用专业，</w:t>
      </w:r>
      <w:r>
        <w:rPr/>
        <w:t> 获学士学位；</w:t>
      </w:r>
      <w:r>
        <w:rPr>
          <w:rFonts w:ascii="Times New Roman" w:hAnsi="Times New Roman" w:cs="Times New Roman" w:eastAsia="Times New Roman" w:hint="default"/>
        </w:rPr>
        <w:t>1988</w:t>
      </w:r>
      <w:r>
        <w:rPr/>
        <w:t>年毕业于上海理工大学计算机控制专业，获硕士学位。</w:t>
      </w:r>
      <w:r>
        <w:rPr>
          <w:rFonts w:ascii="Times New Roman" w:hAnsi="Times New Roman" w:cs="Times New Roman" w:eastAsia="Times New Roman" w:hint="default"/>
        </w:rPr>
        <w:t>1988</w:t>
      </w:r>
      <w:r>
        <w:rPr/>
        <w:t>年</w:t>
      </w:r>
      <w:r>
        <w:rPr>
          <w:rFonts w:ascii="Times New Roman" w:hAnsi="Times New Roman" w:cs="Times New Roman" w:eastAsia="Times New Roman" w:hint="default"/>
        </w:rPr>
        <w:t>5</w:t>
      </w:r>
      <w:r>
        <w:rPr/>
        <w:t>月参加工作，在郑州工 </w:t>
      </w:r>
      <w:r>
        <w:rPr>
          <w:spacing w:val="-1"/>
        </w:rPr>
        <w:t>学院计算机自动化系任教；</w:t>
      </w:r>
      <w:r>
        <w:rPr>
          <w:rFonts w:ascii="Times New Roman" w:hAnsi="Times New Roman" w:cs="Times New Roman" w:eastAsia="Times New Roman" w:hint="default"/>
          <w:spacing w:val="-1"/>
        </w:rPr>
        <w:t>1996</w:t>
      </w:r>
      <w:r>
        <w:rPr>
          <w:spacing w:val="-1"/>
        </w:rPr>
        <w:t>年任河南省计算技术研究所所长助理；</w:t>
      </w:r>
      <w:r>
        <w:rPr>
          <w:rFonts w:ascii="Times New Roman" w:hAnsi="Times New Roman" w:cs="Times New Roman" w:eastAsia="Times New Roman" w:hint="default"/>
          <w:spacing w:val="-1"/>
        </w:rPr>
        <w:t>1998</w:t>
      </w:r>
      <w:r>
        <w:rPr>
          <w:spacing w:val="-1"/>
        </w:rPr>
        <w:t>年进入河南思达高科技股份有</w:t>
      </w:r>
      <w:r>
        <w:rPr>
          <w:spacing w:val="-79"/>
        </w:rPr>
        <w:t> </w:t>
      </w:r>
      <w:r>
        <w:rPr>
          <w:spacing w:val="-79"/>
        </w:rPr>
      </w:r>
      <w:r>
        <w:rPr>
          <w:spacing w:val="-5"/>
        </w:rPr>
        <w:t>限公司，历任系统集成分公司经理，副总经理、总经理；</w:t>
      </w:r>
      <w:r>
        <w:rPr>
          <w:rFonts w:ascii="Times New Roman" w:hAnsi="Times New Roman" w:cs="Times New Roman" w:eastAsia="Times New Roman" w:hint="default"/>
          <w:spacing w:val="-5"/>
        </w:rPr>
        <w:t>2003</w:t>
      </w:r>
      <w:r>
        <w:rPr>
          <w:spacing w:val="-5"/>
        </w:rPr>
        <w:t>年任河南思达科技发展股份有限公司副总裁；</w:t>
      </w:r>
      <w:r>
        <w:rPr>
          <w:spacing w:val="-93"/>
        </w:rPr>
        <w:t> </w:t>
      </w:r>
      <w:r>
        <w:rPr>
          <w:spacing w:val="-93"/>
        </w:rPr>
      </w:r>
      <w:r>
        <w:rPr>
          <w:rFonts w:ascii="Times New Roman" w:hAnsi="Times New Roman" w:cs="Times New Roman" w:eastAsia="Times New Roman" w:hint="default"/>
          <w:spacing w:val="-1"/>
        </w:rPr>
        <w:t>2006</w:t>
      </w:r>
      <w:r>
        <w:rPr>
          <w:spacing w:val="-1"/>
        </w:rPr>
        <w:t>年至今在本公司工作，现任公司董事、常务副总经理，系公司核心技术人员，主要负责公司研发、生</w:t>
      </w:r>
      <w:r>
        <w:rPr>
          <w:spacing w:val="-82"/>
        </w:rPr>
        <w:t> </w:t>
      </w:r>
      <w:r>
        <w:rPr>
          <w:spacing w:val="-82"/>
        </w:rPr>
      </w:r>
      <w:r>
        <w:rPr>
          <w:spacing w:val="-1"/>
        </w:rPr>
        <w:t>产、客服和营销等部门及业务的管理和协调，以及公司产品战略规划和重要产品评审决策。曾主持开发新</w:t>
      </w:r>
      <w:r>
        <w:rPr>
          <w:spacing w:val="-83"/>
        </w:rPr>
        <w:t> </w:t>
      </w:r>
      <w:r>
        <w:rPr>
          <w:spacing w:val="-83"/>
        </w:rPr>
      </w:r>
      <w:r>
        <w:rPr>
          <w:spacing w:val="-1"/>
        </w:rPr>
        <w:t>开普一卡通管理系统、智能集中电控系统、预付费电能表等产品，负责设计和实施的《河南省高级法院办</w:t>
      </w:r>
      <w:r>
        <w:rPr>
          <w:spacing w:val="-86"/>
        </w:rPr>
        <w:t> </w:t>
      </w:r>
      <w:r>
        <w:rPr>
          <w:spacing w:val="-86"/>
        </w:rPr>
      </w:r>
      <w:r>
        <w:rPr/>
        <w:t>公自动化系统》、《罗山县化肥厂氢氮比自动控制系统》曾获河南省科技进步三等奖。</w:t>
      </w:r>
    </w:p>
    <w:p>
      <w:pPr>
        <w:pStyle w:val="BodyText"/>
        <w:spacing w:line="386" w:lineRule="auto" w:before="58"/>
        <w:ind w:right="1130" w:firstLine="423"/>
        <w:jc w:val="both"/>
      </w:pPr>
      <w:r>
        <w:rPr>
          <w:spacing w:val="-5"/>
        </w:rPr>
        <w:t>尚卫国先生，男，</w:t>
      </w:r>
      <w:r>
        <w:rPr>
          <w:rFonts w:ascii="Times New Roman" w:hAnsi="Times New Roman" w:cs="Times New Roman" w:eastAsia="Times New Roman" w:hint="default"/>
          <w:spacing w:val="-5"/>
        </w:rPr>
        <w:t>1963</w:t>
      </w:r>
      <w:r>
        <w:rPr>
          <w:spacing w:val="-5"/>
        </w:rPr>
        <w:t>年</w:t>
      </w:r>
      <w:r>
        <w:rPr>
          <w:rFonts w:ascii="Times New Roman" w:hAnsi="Times New Roman" w:cs="Times New Roman" w:eastAsia="Times New Roman" w:hint="default"/>
          <w:spacing w:val="-5"/>
        </w:rPr>
        <w:t>10</w:t>
      </w:r>
      <w:r>
        <w:rPr>
          <w:spacing w:val="-5"/>
        </w:rPr>
        <w:t>月出生，专科学历，工程师。</w:t>
      </w:r>
      <w:r>
        <w:rPr>
          <w:rFonts w:ascii="Times New Roman" w:hAnsi="Times New Roman" w:cs="Times New Roman" w:eastAsia="Times New Roman" w:hint="default"/>
          <w:spacing w:val="-5"/>
        </w:rPr>
        <w:t>1983</w:t>
      </w:r>
      <w:r>
        <w:rPr>
          <w:spacing w:val="-5"/>
        </w:rPr>
        <w:t>年毕业于河南省公安高等专科学校；</w:t>
      </w:r>
      <w:r>
        <w:rPr>
          <w:rFonts w:ascii="Times New Roman" w:hAnsi="Times New Roman" w:cs="Times New Roman" w:eastAsia="Times New Roman" w:hint="default"/>
          <w:spacing w:val="-5"/>
        </w:rPr>
        <w:t>1984</w:t>
      </w:r>
      <w:r>
        <w:rPr>
          <w:rFonts w:ascii="Times New Roman" w:hAnsi="Times New Roman" w:cs="Times New Roman" w:eastAsia="Times New Roman" w:hint="default"/>
        </w:rPr>
        <w:t> </w:t>
      </w:r>
      <w:r>
        <w:rPr>
          <w:spacing w:val="-1"/>
        </w:rPr>
        <w:t>年至</w:t>
      </w:r>
      <w:r>
        <w:rPr>
          <w:rFonts w:ascii="Times New Roman" w:hAnsi="Times New Roman" w:cs="Times New Roman" w:eastAsia="Times New Roman" w:hint="default"/>
          <w:spacing w:val="-1"/>
        </w:rPr>
        <w:t>1986</w:t>
      </w:r>
      <w:r>
        <w:rPr>
          <w:spacing w:val="-1"/>
        </w:rPr>
        <w:t>年在郑州大学法律系学习。</w:t>
      </w:r>
      <w:r>
        <w:rPr>
          <w:rFonts w:ascii="Times New Roman" w:hAnsi="Times New Roman" w:cs="Times New Roman" w:eastAsia="Times New Roman" w:hint="default"/>
          <w:spacing w:val="-1"/>
        </w:rPr>
        <w:t>1983</w:t>
      </w:r>
      <w:r>
        <w:rPr>
          <w:spacing w:val="-1"/>
        </w:rPr>
        <w:t>年至</w:t>
      </w:r>
      <w:r>
        <w:rPr>
          <w:rFonts w:ascii="Times New Roman" w:hAnsi="Times New Roman" w:cs="Times New Roman" w:eastAsia="Times New Roman" w:hint="default"/>
          <w:spacing w:val="-1"/>
        </w:rPr>
        <w:t>1995</w:t>
      </w:r>
      <w:r>
        <w:rPr>
          <w:spacing w:val="-1"/>
        </w:rPr>
        <w:t>年，任郑州工学院机关干部；</w:t>
      </w:r>
      <w:r>
        <w:rPr>
          <w:rFonts w:ascii="Times New Roman" w:hAnsi="Times New Roman" w:cs="Times New Roman" w:eastAsia="Times New Roman" w:hint="default"/>
          <w:spacing w:val="-1"/>
        </w:rPr>
        <w:t>1995</w:t>
      </w:r>
      <w:r>
        <w:rPr>
          <w:spacing w:val="-1"/>
        </w:rPr>
        <w:t>年至</w:t>
      </w:r>
      <w:r>
        <w:rPr>
          <w:rFonts w:ascii="Times New Roman" w:hAnsi="Times New Roman" w:cs="Times New Roman" w:eastAsia="Times New Roman" w:hint="default"/>
          <w:spacing w:val="-1"/>
        </w:rPr>
        <w:t>2000</w:t>
      </w:r>
      <w:r>
        <w:rPr>
          <w:spacing w:val="-1"/>
        </w:rPr>
        <w:t>年任郑州工</w:t>
      </w:r>
      <w:r>
        <w:rPr>
          <w:spacing w:val="-77"/>
        </w:rPr>
        <w:t> </w:t>
      </w:r>
      <w:r>
        <w:rPr>
          <w:spacing w:val="-77"/>
        </w:rPr>
      </w:r>
      <w:r>
        <w:rPr/>
        <w:t>学院开普电子技术公司管理部经理；</w:t>
      </w:r>
      <w:r>
        <w:rPr>
          <w:rFonts w:ascii="Times New Roman" w:hAnsi="Times New Roman" w:cs="Times New Roman" w:eastAsia="Times New Roman" w:hint="default"/>
        </w:rPr>
        <w:t>2000</w:t>
      </w:r>
      <w:r>
        <w:rPr/>
        <w:t>年至今在公司工作，现任公司董事、副总经理。</w:t>
      </w:r>
    </w:p>
    <w:p>
      <w:pPr>
        <w:pStyle w:val="BodyText"/>
        <w:spacing w:line="240" w:lineRule="auto" w:before="35"/>
        <w:ind w:left="577" w:right="1117"/>
        <w:jc w:val="left"/>
      </w:pPr>
      <w:r>
        <w:rPr/>
        <w:t>赵利宾先生，男，</w:t>
      </w:r>
      <w:r>
        <w:rPr>
          <w:rFonts w:ascii="Times New Roman" w:hAnsi="Times New Roman" w:cs="Times New Roman" w:eastAsia="Times New Roman" w:hint="default"/>
        </w:rPr>
        <w:t>1967</w:t>
      </w:r>
      <w:r>
        <w:rPr/>
        <w:t>年</w:t>
      </w:r>
      <w:r>
        <w:rPr>
          <w:rFonts w:ascii="Times New Roman" w:hAnsi="Times New Roman" w:cs="Times New Roman" w:eastAsia="Times New Roman" w:hint="default"/>
        </w:rPr>
        <w:t>5</w:t>
      </w:r>
      <w:r>
        <w:rPr/>
        <w:t>月出生，专科学历，会计师。</w:t>
      </w:r>
      <w:r>
        <w:rPr>
          <w:rFonts w:ascii="Times New Roman" w:hAnsi="Times New Roman" w:cs="Times New Roman" w:eastAsia="Times New Roman" w:hint="default"/>
        </w:rPr>
        <w:t>1985</w:t>
      </w:r>
      <w:r>
        <w:rPr/>
        <w:t>年至</w:t>
      </w:r>
      <w:r>
        <w:rPr>
          <w:rFonts w:ascii="Times New Roman" w:hAnsi="Times New Roman" w:cs="Times New Roman" w:eastAsia="Times New Roman" w:hint="default"/>
        </w:rPr>
        <w:t>1987</w:t>
      </w:r>
      <w:r>
        <w:rPr/>
        <w:t>年在重庆石油专科学校学习会</w:t>
      </w:r>
    </w:p>
    <w:p>
      <w:pPr>
        <w:spacing w:after="0" w:line="240" w:lineRule="auto"/>
        <w:jc w:val="left"/>
        <w:sectPr>
          <w:pgSz w:w="11910" w:h="16840"/>
          <w:pgMar w:header="877" w:footer="979" w:top="1060" w:bottom="1160" w:left="980" w:right="0"/>
        </w:sectPr>
      </w:pPr>
    </w:p>
    <w:p>
      <w:pPr>
        <w:spacing w:line="240" w:lineRule="auto" w:before="0"/>
        <w:rPr>
          <w:rFonts w:ascii="宋体" w:hAnsi="宋体" w:cs="宋体" w:eastAsia="宋体" w:hint="default"/>
          <w:sz w:val="20"/>
          <w:szCs w:val="20"/>
        </w:rPr>
      </w:pPr>
    </w:p>
    <w:p>
      <w:pPr>
        <w:pStyle w:val="BodyText"/>
        <w:spacing w:line="386" w:lineRule="auto" w:before="174"/>
        <w:ind w:right="1131"/>
        <w:jc w:val="both"/>
      </w:pPr>
      <w:r>
        <w:rPr>
          <w:spacing w:val="-1"/>
        </w:rPr>
        <w:t>计学专业；</w:t>
      </w:r>
      <w:r>
        <w:rPr>
          <w:rFonts w:ascii="Times New Roman" w:hAnsi="Times New Roman" w:cs="Times New Roman" w:eastAsia="Times New Roman" w:hint="default"/>
          <w:spacing w:val="-1"/>
        </w:rPr>
        <w:t>1994</w:t>
      </w:r>
      <w:r>
        <w:rPr>
          <w:spacing w:val="-1"/>
        </w:rPr>
        <w:t>年毕业于河南财经学院财务会计专业，专科学历。</w:t>
      </w:r>
      <w:r>
        <w:rPr>
          <w:rFonts w:ascii="Times New Roman" w:hAnsi="Times New Roman" w:cs="Times New Roman" w:eastAsia="Times New Roman" w:hint="default"/>
          <w:spacing w:val="-1"/>
        </w:rPr>
        <w:t>1987</w:t>
      </w:r>
      <w:r>
        <w:rPr>
          <w:spacing w:val="-1"/>
        </w:rPr>
        <w:t>年至</w:t>
      </w:r>
      <w:r>
        <w:rPr>
          <w:rFonts w:ascii="Times New Roman" w:hAnsi="Times New Roman" w:cs="Times New Roman" w:eastAsia="Times New Roman" w:hint="default"/>
          <w:spacing w:val="-1"/>
        </w:rPr>
        <w:t>1990</w:t>
      </w:r>
      <w:r>
        <w:rPr>
          <w:spacing w:val="-1"/>
        </w:rPr>
        <w:t>年，任中原油田钻井四公</w:t>
      </w:r>
      <w:r>
        <w:rPr>
          <w:spacing w:val="-81"/>
        </w:rPr>
        <w:t> </w:t>
      </w:r>
      <w:r>
        <w:rPr>
          <w:spacing w:val="-81"/>
        </w:rPr>
      </w:r>
      <w:r>
        <w:rPr>
          <w:spacing w:val="-1"/>
        </w:rPr>
        <w:t>司财务科会计；</w:t>
      </w:r>
      <w:r>
        <w:rPr>
          <w:rFonts w:ascii="Times New Roman" w:hAnsi="Times New Roman" w:cs="Times New Roman" w:eastAsia="Times New Roman" w:hint="default"/>
          <w:spacing w:val="-1"/>
        </w:rPr>
        <w:t>1990</w:t>
      </w:r>
      <w:r>
        <w:rPr>
          <w:spacing w:val="-1"/>
        </w:rPr>
        <w:t>年至</w:t>
      </w:r>
      <w:r>
        <w:rPr>
          <w:rFonts w:ascii="Times New Roman" w:hAnsi="Times New Roman" w:cs="Times New Roman" w:eastAsia="Times New Roman" w:hint="default"/>
          <w:spacing w:val="-1"/>
        </w:rPr>
        <w:t>1994</w:t>
      </w:r>
      <w:r>
        <w:rPr>
          <w:spacing w:val="-1"/>
        </w:rPr>
        <w:t>年，在郑州工学院财务处工作；</w:t>
      </w:r>
      <w:r>
        <w:rPr>
          <w:rFonts w:ascii="Times New Roman" w:hAnsi="Times New Roman" w:cs="Times New Roman" w:eastAsia="Times New Roman" w:hint="default"/>
          <w:spacing w:val="-1"/>
        </w:rPr>
        <w:t>1994</w:t>
      </w:r>
      <w:r>
        <w:rPr>
          <w:spacing w:val="-1"/>
        </w:rPr>
        <w:t>年至</w:t>
      </w:r>
      <w:r>
        <w:rPr>
          <w:rFonts w:ascii="Times New Roman" w:hAnsi="Times New Roman" w:cs="Times New Roman" w:eastAsia="Times New Roman" w:hint="default"/>
          <w:spacing w:val="-1"/>
        </w:rPr>
        <w:t>1997</w:t>
      </w:r>
      <w:r>
        <w:rPr>
          <w:spacing w:val="-1"/>
        </w:rPr>
        <w:t>年任郑州工学院开普电子技术</w:t>
      </w:r>
      <w:r>
        <w:rPr>
          <w:spacing w:val="-76"/>
        </w:rPr>
        <w:t> </w:t>
      </w:r>
      <w:r>
        <w:rPr>
          <w:spacing w:val="-76"/>
        </w:rPr>
      </w:r>
      <w:r>
        <w:rPr/>
        <w:t>公司财务经理；</w:t>
      </w:r>
      <w:r>
        <w:rPr>
          <w:rFonts w:ascii="Times New Roman" w:hAnsi="Times New Roman" w:cs="Times New Roman" w:eastAsia="Times New Roman" w:hint="default"/>
        </w:rPr>
        <w:t>2000</w:t>
      </w:r>
      <w:r>
        <w:rPr/>
        <w:t>年至今在本公司工作，现任公司董事、副总经理。</w:t>
      </w:r>
    </w:p>
    <w:p>
      <w:pPr>
        <w:pStyle w:val="BodyText"/>
        <w:spacing w:line="398" w:lineRule="auto" w:before="36"/>
        <w:ind w:right="1131" w:firstLine="423"/>
        <w:jc w:val="both"/>
      </w:pPr>
      <w:r>
        <w:rPr>
          <w:spacing w:val="-5"/>
        </w:rPr>
        <w:t>司志刚先生，男，</w:t>
      </w:r>
      <w:r>
        <w:rPr>
          <w:rFonts w:ascii="Times New Roman" w:hAnsi="Times New Roman" w:cs="Times New Roman" w:eastAsia="Times New Roman" w:hint="default"/>
          <w:spacing w:val="-5"/>
        </w:rPr>
        <w:t>1965</w:t>
      </w:r>
      <w:r>
        <w:rPr>
          <w:spacing w:val="-5"/>
        </w:rPr>
        <w:t>年出生，硕士，教授。</w:t>
      </w:r>
      <w:r>
        <w:rPr>
          <w:rFonts w:ascii="Times New Roman" w:hAnsi="Times New Roman" w:cs="Times New Roman" w:eastAsia="Times New Roman" w:hint="default"/>
          <w:spacing w:val="-5"/>
        </w:rPr>
        <w:t>1987</w:t>
      </w:r>
      <w:r>
        <w:rPr>
          <w:spacing w:val="-5"/>
        </w:rPr>
        <w:t>年至</w:t>
      </w:r>
      <w:r>
        <w:rPr>
          <w:rFonts w:ascii="Times New Roman" w:hAnsi="Times New Roman" w:cs="Times New Roman" w:eastAsia="Times New Roman" w:hint="default"/>
          <w:spacing w:val="-5"/>
        </w:rPr>
        <w:t>2016</w:t>
      </w:r>
      <w:r>
        <w:rPr>
          <w:spacing w:val="-5"/>
        </w:rPr>
        <w:t>年任职于解放军信息工程大学，历任讲师、</w:t>
      </w:r>
      <w:r>
        <w:rPr/>
        <w:t> </w:t>
      </w:r>
      <w:r>
        <w:rPr>
          <w:spacing w:val="-1"/>
        </w:rPr>
        <w:t>副教授、教授。目前担任郑州市政府第二届专家委员会副主任委员，郑州市信息化促进会专家委员会副主</w:t>
      </w:r>
      <w:r>
        <w:rPr>
          <w:spacing w:val="-83"/>
        </w:rPr>
        <w:t> </w:t>
      </w:r>
      <w:r>
        <w:rPr>
          <w:spacing w:val="-83"/>
        </w:rPr>
      </w:r>
      <w:r>
        <w:rPr/>
        <w:t>任委员。</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3</w:t>
      </w:r>
      <w:r>
        <w:rPr/>
        <w:t>月起，担任公司董事。</w:t>
      </w:r>
    </w:p>
    <w:p>
      <w:pPr>
        <w:pStyle w:val="BodyText"/>
        <w:spacing w:line="403" w:lineRule="auto" w:before="24"/>
        <w:ind w:right="1131" w:firstLine="423"/>
        <w:jc w:val="both"/>
      </w:pPr>
      <w:r>
        <w:rPr>
          <w:spacing w:val="-1"/>
        </w:rPr>
        <w:t>毕会静女士，女，</w:t>
      </w:r>
      <w:r>
        <w:rPr>
          <w:rFonts w:ascii="Times New Roman" w:hAnsi="Times New Roman" w:cs="Times New Roman" w:eastAsia="Times New Roman" w:hint="default"/>
          <w:spacing w:val="-1"/>
        </w:rPr>
        <w:t>1973</w:t>
      </w:r>
      <w:r>
        <w:rPr>
          <w:spacing w:val="-1"/>
        </w:rPr>
        <w:t>年出生，本科学历，注册会计师，高级会计师。河南省注册会计师协会常务理</w:t>
      </w:r>
      <w:r>
        <w:rPr/>
        <w:t> </w:t>
      </w:r>
      <w:r>
        <w:rPr>
          <w:spacing w:val="-1"/>
        </w:rPr>
        <w:t>事、申诉与维权委员会副主任委员、专业技术委员会委员、惩戒委员会委员，河南省政协十一届委员、民</w:t>
      </w:r>
      <w:r>
        <w:rPr>
          <w:spacing w:val="-82"/>
        </w:rPr>
        <w:t> </w:t>
      </w:r>
      <w:r>
        <w:rPr>
          <w:spacing w:val="-82"/>
        </w:rPr>
      </w:r>
      <w:r>
        <w:rPr>
          <w:spacing w:val="-1"/>
        </w:rPr>
        <w:t>族宗教委员会委员，河南省省直机关青联委员。曾任河南金鼎会计师事务所副所长，河南天健会计师事务</w:t>
      </w:r>
      <w:r>
        <w:rPr>
          <w:spacing w:val="-83"/>
        </w:rPr>
        <w:t> </w:t>
      </w:r>
      <w:r>
        <w:rPr>
          <w:spacing w:val="-83"/>
        </w:rPr>
      </w:r>
      <w:r>
        <w:rPr>
          <w:spacing w:val="-1"/>
        </w:rPr>
        <w:t>所董事长，现任中审华会计师事务所（特殊普通合伙）河南分所所长，目前还担任好想你枣业股份有限公</w:t>
      </w:r>
      <w:r>
        <w:rPr>
          <w:spacing w:val="-86"/>
        </w:rPr>
        <w:t> </w:t>
      </w:r>
      <w:r>
        <w:rPr>
          <w:spacing w:val="-86"/>
        </w:rPr>
      </w:r>
      <w:r>
        <w:rPr/>
        <w:t>司独立董事。</w:t>
      </w:r>
      <w:r>
        <w:rPr>
          <w:rFonts w:ascii="Times New Roman" w:hAnsi="Times New Roman" w:cs="Times New Roman" w:eastAsia="Times New Roman" w:hint="default"/>
        </w:rPr>
        <w:t>2016</w:t>
      </w:r>
      <w:r>
        <w:rPr/>
        <w:t>年</w:t>
      </w:r>
      <w:r>
        <w:rPr>
          <w:rFonts w:ascii="Times New Roman" w:hAnsi="Times New Roman" w:cs="Times New Roman" w:eastAsia="Times New Roman" w:hint="default"/>
        </w:rPr>
        <w:t>5</w:t>
      </w:r>
      <w:r>
        <w:rPr/>
        <w:t>月起，担任公司独立董事。</w:t>
      </w:r>
    </w:p>
    <w:p>
      <w:pPr>
        <w:pStyle w:val="BodyText"/>
        <w:spacing w:line="386" w:lineRule="auto" w:before="19"/>
        <w:ind w:right="1211" w:firstLine="423"/>
        <w:jc w:val="both"/>
      </w:pPr>
      <w:r>
        <w:rPr/>
        <w:t>王玉辉女士，女，</w:t>
      </w:r>
      <w:r>
        <w:rPr>
          <w:rFonts w:ascii="Times New Roman" w:hAnsi="Times New Roman" w:cs="Times New Roman" w:eastAsia="Times New Roman" w:hint="default"/>
        </w:rPr>
        <w:t>1975</w:t>
      </w:r>
      <w:r>
        <w:rPr/>
        <w:t>年</w:t>
      </w:r>
      <w:r>
        <w:rPr>
          <w:rFonts w:ascii="Times New Roman" w:hAnsi="Times New Roman" w:cs="Times New Roman" w:eastAsia="Times New Roman" w:hint="default"/>
        </w:rPr>
        <w:t>4</w:t>
      </w:r>
      <w:r>
        <w:rPr/>
        <w:t>月出生，博士、教授。</w:t>
      </w:r>
      <w:r>
        <w:rPr>
          <w:rFonts w:ascii="Times New Roman" w:hAnsi="Times New Roman" w:cs="Times New Roman" w:eastAsia="Times New Roman" w:hint="default"/>
        </w:rPr>
        <w:t>2008</w:t>
      </w:r>
      <w:r>
        <w:rPr/>
        <w:t>年至今，任职于郑州大学；自</w:t>
      </w:r>
      <w:r>
        <w:rPr>
          <w:rFonts w:ascii="Times New Roman" w:hAnsi="Times New Roman" w:cs="Times New Roman" w:eastAsia="Times New Roman" w:hint="default"/>
        </w:rPr>
        <w:t>2008</w:t>
      </w:r>
      <w:r>
        <w:rPr/>
        <w:t>年起，担任 中国经济法学会理事；</w:t>
      </w:r>
      <w:r>
        <w:rPr>
          <w:rFonts w:ascii="Times New Roman" w:hAnsi="Times New Roman" w:cs="Times New Roman" w:eastAsia="Times New Roman" w:hint="default"/>
        </w:rPr>
        <w:t>2017</w:t>
      </w:r>
      <w:r>
        <w:rPr/>
        <w:t>年起，担任河南省省委法律专家库成员。</w:t>
      </w:r>
      <w:r>
        <w:rPr>
          <w:rFonts w:ascii="Times New Roman" w:hAnsi="Times New Roman" w:cs="Times New Roman" w:eastAsia="Times New Roman" w:hint="default"/>
        </w:rPr>
        <w:t>2016</w:t>
      </w:r>
      <w:r>
        <w:rPr/>
        <w:t>年</w:t>
      </w:r>
      <w:r>
        <w:rPr>
          <w:rFonts w:ascii="Times New Roman" w:hAnsi="Times New Roman" w:cs="Times New Roman" w:eastAsia="Times New Roman" w:hint="default"/>
        </w:rPr>
        <w:t>1</w:t>
      </w:r>
      <w:r>
        <w:rPr/>
        <w:t>月起，担任公司独立董事。</w:t>
      </w:r>
    </w:p>
    <w:p>
      <w:pPr>
        <w:pStyle w:val="BodyText"/>
        <w:spacing w:line="386" w:lineRule="auto" w:before="35"/>
        <w:ind w:right="1130" w:firstLine="423"/>
        <w:jc w:val="both"/>
      </w:pPr>
      <w:r>
        <w:rPr>
          <w:spacing w:val="-1"/>
        </w:rPr>
        <w:t>张英瑶先生，男，</w:t>
      </w:r>
      <w:r>
        <w:rPr>
          <w:rFonts w:ascii="Times New Roman" w:hAnsi="Times New Roman" w:cs="Times New Roman" w:eastAsia="Times New Roman" w:hint="default"/>
          <w:spacing w:val="-1"/>
        </w:rPr>
        <w:t>1950</w:t>
      </w:r>
      <w:r>
        <w:rPr>
          <w:spacing w:val="-1"/>
        </w:rPr>
        <w:t>年</w:t>
      </w:r>
      <w:r>
        <w:rPr>
          <w:rFonts w:ascii="Times New Roman" w:hAnsi="Times New Roman" w:cs="Times New Roman" w:eastAsia="Times New Roman" w:hint="default"/>
          <w:spacing w:val="-1"/>
        </w:rPr>
        <w:t>12</w:t>
      </w:r>
      <w:r>
        <w:rPr>
          <w:spacing w:val="-1"/>
        </w:rPr>
        <w:t>月出生，本科学历，高级工程师。</w:t>
      </w:r>
      <w:r>
        <w:rPr>
          <w:rFonts w:ascii="Times New Roman" w:hAnsi="Times New Roman" w:cs="Times New Roman" w:eastAsia="Times New Roman" w:hint="default"/>
          <w:spacing w:val="-1"/>
        </w:rPr>
        <w:t>1976</w:t>
      </w:r>
      <w:r>
        <w:rPr>
          <w:spacing w:val="-1"/>
        </w:rPr>
        <w:t>年至</w:t>
      </w:r>
      <w:r>
        <w:rPr>
          <w:rFonts w:ascii="Times New Roman" w:hAnsi="Times New Roman" w:cs="Times New Roman" w:eastAsia="Times New Roman" w:hint="default"/>
          <w:spacing w:val="-1"/>
        </w:rPr>
        <w:t>1996</w:t>
      </w:r>
      <w:r>
        <w:rPr>
          <w:spacing w:val="-1"/>
        </w:rPr>
        <w:t>年，历任河南省电子公司</w:t>
      </w:r>
      <w:r>
        <w:rPr/>
        <w:t> </w:t>
      </w:r>
      <w:r>
        <w:rPr>
          <w:spacing w:val="-1"/>
        </w:rPr>
        <w:t>技术科、河南省电子工业局、河南省机电厅电子办科长、主任；</w:t>
      </w:r>
      <w:r>
        <w:rPr>
          <w:rFonts w:ascii="Times New Roman" w:hAnsi="Times New Roman" w:cs="Times New Roman" w:eastAsia="Times New Roman" w:hint="default"/>
          <w:spacing w:val="-1"/>
        </w:rPr>
        <w:t>1996</w:t>
      </w:r>
      <w:r>
        <w:rPr>
          <w:spacing w:val="-1"/>
        </w:rPr>
        <w:t>年至</w:t>
      </w:r>
      <w:r>
        <w:rPr>
          <w:rFonts w:ascii="Times New Roman" w:hAnsi="Times New Roman" w:cs="Times New Roman" w:eastAsia="Times New Roman" w:hint="default"/>
          <w:spacing w:val="-1"/>
        </w:rPr>
        <w:t>2000</w:t>
      </w:r>
      <w:r>
        <w:rPr>
          <w:spacing w:val="-1"/>
        </w:rPr>
        <w:t>年，任河南省电子局总工程</w:t>
      </w:r>
      <w:r>
        <w:rPr>
          <w:spacing w:val="-80"/>
        </w:rPr>
        <w:t> </w:t>
      </w:r>
      <w:r>
        <w:rPr>
          <w:spacing w:val="-80"/>
        </w:rPr>
      </w:r>
      <w:r>
        <w:rPr>
          <w:spacing w:val="-1"/>
        </w:rPr>
        <w:t>师；</w:t>
      </w:r>
      <w:r>
        <w:rPr>
          <w:rFonts w:ascii="Times New Roman" w:hAnsi="Times New Roman" w:cs="Times New Roman" w:eastAsia="Times New Roman" w:hint="default"/>
          <w:spacing w:val="-1"/>
        </w:rPr>
        <w:t>2000</w:t>
      </w:r>
      <w:r>
        <w:rPr>
          <w:spacing w:val="-1"/>
        </w:rPr>
        <w:t>年至</w:t>
      </w:r>
      <w:r>
        <w:rPr>
          <w:rFonts w:ascii="Times New Roman" w:hAnsi="Times New Roman" w:cs="Times New Roman" w:eastAsia="Times New Roman" w:hint="default"/>
          <w:spacing w:val="-1"/>
        </w:rPr>
        <w:t>2007</w:t>
      </w:r>
      <w:r>
        <w:rPr>
          <w:spacing w:val="-1"/>
        </w:rPr>
        <w:t>年，任河南省信息产业厅总工程师；</w:t>
      </w:r>
      <w:r>
        <w:rPr>
          <w:rFonts w:ascii="Times New Roman" w:hAnsi="Times New Roman" w:cs="Times New Roman" w:eastAsia="Times New Roman" w:hint="default"/>
          <w:spacing w:val="-1"/>
        </w:rPr>
        <w:t>2007</w:t>
      </w:r>
      <w:r>
        <w:rPr>
          <w:spacing w:val="-1"/>
        </w:rPr>
        <w:t>年至</w:t>
      </w:r>
      <w:r>
        <w:rPr>
          <w:rFonts w:ascii="Times New Roman" w:hAnsi="Times New Roman" w:cs="Times New Roman" w:eastAsia="Times New Roman" w:hint="default"/>
          <w:spacing w:val="-1"/>
        </w:rPr>
        <w:t>2009</w:t>
      </w:r>
      <w:r>
        <w:rPr>
          <w:spacing w:val="-1"/>
        </w:rPr>
        <w:t>年，任河南省工业与信息化厅总工程</w:t>
      </w:r>
      <w:r>
        <w:rPr>
          <w:spacing w:val="-78"/>
        </w:rPr>
        <w:t> </w:t>
      </w:r>
      <w:r>
        <w:rPr>
          <w:spacing w:val="-78"/>
        </w:rPr>
      </w:r>
      <w:r>
        <w:rPr>
          <w:spacing w:val="-3"/>
        </w:rPr>
        <w:t>师；</w:t>
      </w:r>
      <w:r>
        <w:rPr>
          <w:rFonts w:ascii="Times New Roman" w:hAnsi="Times New Roman" w:cs="Times New Roman" w:eastAsia="Times New Roman" w:hint="default"/>
          <w:spacing w:val="-3"/>
        </w:rPr>
        <w:t>2009</w:t>
      </w:r>
      <w:r>
        <w:rPr>
          <w:spacing w:val="-3"/>
        </w:rPr>
        <w:t>年至今，任河南省软件协会秘书长，目前还担任新天科技股份有限公司独立董事。</w:t>
      </w:r>
      <w:r>
        <w:rPr>
          <w:rFonts w:ascii="Times New Roman" w:hAnsi="Times New Roman" w:cs="Times New Roman" w:eastAsia="Times New Roman" w:hint="default"/>
          <w:spacing w:val="-3"/>
        </w:rPr>
        <w:t>2016</w:t>
      </w:r>
      <w:r>
        <w:rPr>
          <w:spacing w:val="-3"/>
        </w:rPr>
        <w:t>年</w:t>
      </w:r>
      <w:r>
        <w:rPr>
          <w:rFonts w:ascii="Times New Roman" w:hAnsi="Times New Roman" w:cs="Times New Roman" w:eastAsia="Times New Roman" w:hint="default"/>
          <w:spacing w:val="-3"/>
        </w:rPr>
        <w:t>1</w:t>
      </w:r>
      <w:r>
        <w:rPr>
          <w:spacing w:val="-3"/>
        </w:rPr>
        <w:t>月起，</w:t>
      </w:r>
      <w:r>
        <w:rPr>
          <w:spacing w:val="-84"/>
        </w:rPr>
        <w:t> </w:t>
      </w:r>
      <w:r>
        <w:rPr/>
        <w:t>担任公司独立董事。</w:t>
      </w:r>
    </w:p>
    <w:p>
      <w:pPr>
        <w:pStyle w:val="BodyText"/>
        <w:spacing w:line="391" w:lineRule="auto" w:before="65"/>
        <w:ind w:right="1118" w:firstLine="423"/>
        <w:jc w:val="left"/>
      </w:pPr>
      <w:r>
        <w:rPr>
          <w:spacing w:val="-1"/>
        </w:rPr>
        <w:t>刘汴生先生，男，</w:t>
      </w:r>
      <w:r>
        <w:rPr>
          <w:rFonts w:ascii="Times New Roman" w:hAnsi="Times New Roman" w:cs="Times New Roman" w:eastAsia="Times New Roman" w:hint="default"/>
          <w:spacing w:val="-1"/>
        </w:rPr>
        <w:t>1953</w:t>
      </w:r>
      <w:r>
        <w:rPr>
          <w:spacing w:val="-1"/>
        </w:rPr>
        <w:t>年出生，中南财经政法大学工业经济专业硕士。河南财经政法大学教授，硕士</w:t>
      </w:r>
      <w:r>
        <w:rPr/>
        <w:t> </w:t>
      </w:r>
      <w:r>
        <w:rPr>
          <w:spacing w:val="-2"/>
        </w:rPr>
        <w:t>生导师。曾任河南财经政法大学工商管理学院院长，河南财经政法大学</w:t>
      </w:r>
      <w:r>
        <w:rPr>
          <w:rFonts w:ascii="Times New Roman" w:hAnsi="Times New Roman" w:cs="Times New Roman" w:eastAsia="Times New Roman" w:hint="default"/>
          <w:spacing w:val="-2"/>
        </w:rPr>
        <w:t>MBA</w:t>
      </w:r>
      <w:r>
        <w:rPr>
          <w:spacing w:val="-2"/>
        </w:rPr>
        <w:t>学院院长、工业经济研究所所</w:t>
      </w:r>
      <w:r>
        <w:rPr>
          <w:spacing w:val="-94"/>
        </w:rPr>
        <w:t> </w:t>
      </w:r>
      <w:r>
        <w:rPr>
          <w:spacing w:val="-94"/>
        </w:rPr>
      </w:r>
      <w:r>
        <w:rPr>
          <w:spacing w:val="-1"/>
        </w:rPr>
        <w:t>长，现已退休。现任河南省企业管理咨询协会会长、河南省商业经济学会副会长、河南省企业管理与教育</w:t>
      </w:r>
      <w:r>
        <w:rPr>
          <w:spacing w:val="-86"/>
        </w:rPr>
        <w:t> </w:t>
      </w:r>
      <w:r>
        <w:rPr>
          <w:spacing w:val="-86"/>
        </w:rPr>
      </w:r>
      <w:r>
        <w:rPr>
          <w:spacing w:val="-2"/>
        </w:rPr>
        <w:t>学会常务理事、河南省经济学会常务理事、河南营销协会专家委员，曾获</w:t>
      </w:r>
      <w:r>
        <w:rPr>
          <w:rFonts w:ascii="Times New Roman" w:hAnsi="Times New Roman" w:cs="Times New Roman" w:eastAsia="Times New Roman" w:hint="default"/>
          <w:spacing w:val="-2"/>
        </w:rPr>
        <w:t>“</w:t>
      </w:r>
      <w:r>
        <w:rPr>
          <w:spacing w:val="-2"/>
        </w:rPr>
        <w:t>河南省十大营销策划专家</w:t>
      </w:r>
      <w:r>
        <w:rPr>
          <w:rFonts w:ascii="Times New Roman" w:hAnsi="Times New Roman" w:cs="Times New Roman" w:eastAsia="Times New Roman" w:hint="default"/>
          <w:spacing w:val="-2"/>
        </w:rPr>
        <w:t>”</w:t>
      </w:r>
      <w:r>
        <w:rPr>
          <w:spacing w:val="-2"/>
        </w:rPr>
        <w:t>、</w:t>
      </w:r>
      <w:r>
        <w:rPr>
          <w:rFonts w:ascii="Times New Roman" w:hAnsi="Times New Roman" w:cs="Times New Roman" w:eastAsia="Times New Roman" w:hint="default"/>
          <w:spacing w:val="-2"/>
        </w:rPr>
        <w:t>“</w:t>
      </w:r>
      <w:r>
        <w:rPr>
          <w:spacing w:val="-2"/>
        </w:rPr>
        <w:t>河</w:t>
      </w:r>
      <w:r>
        <w:rPr>
          <w:spacing w:val="-101"/>
        </w:rPr>
        <w:t> </w:t>
      </w:r>
      <w:r>
        <w:rPr/>
        <w:t>南省十大管理英才</w:t>
      </w:r>
      <w:r>
        <w:rPr>
          <w:rFonts w:ascii="Times New Roman" w:hAnsi="Times New Roman" w:cs="Times New Roman" w:eastAsia="Times New Roman" w:hint="default"/>
        </w:rPr>
        <w:t>”</w:t>
      </w:r>
      <w:r>
        <w:rPr/>
        <w:t>等称号。目前还担任河南豫能控股股份有限公司、河南银鸽实业投资股份有限公司独 立董事。</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3</w:t>
      </w:r>
      <w:r>
        <w:rPr/>
        <w:t>月起，担任公司独立董事。</w:t>
      </w:r>
    </w:p>
    <w:p>
      <w:pPr>
        <w:pStyle w:val="BodyText"/>
        <w:spacing w:line="408" w:lineRule="auto" w:before="30"/>
        <w:ind w:left="577" w:right="1194"/>
        <w:jc w:val="left"/>
      </w:pPr>
      <w:r>
        <w:rPr/>
        <w:t>（二）监事会成员 公司监事会由</w:t>
      </w:r>
      <w:r>
        <w:rPr>
          <w:rFonts w:ascii="Times New Roman" w:hAnsi="Times New Roman" w:cs="Times New Roman" w:eastAsia="Times New Roman" w:hint="default"/>
        </w:rPr>
        <w:t>3</w:t>
      </w:r>
      <w:r>
        <w:rPr/>
        <w:t>人组成，其中职工代表监事</w:t>
      </w:r>
      <w:r>
        <w:rPr>
          <w:rFonts w:ascii="Times New Roman" w:hAnsi="Times New Roman" w:cs="Times New Roman" w:eastAsia="Times New Roman" w:hint="default"/>
        </w:rPr>
        <w:t>1</w:t>
      </w:r>
      <w:r>
        <w:rPr/>
        <w:t>人。公司第四届监事会任期至</w:t>
      </w:r>
      <w:r>
        <w:rPr>
          <w:rFonts w:ascii="Times New Roman" w:hAnsi="Times New Roman" w:cs="Times New Roman" w:eastAsia="Times New Roman" w:hint="default"/>
        </w:rPr>
        <w:t>2020</w:t>
      </w:r>
      <w:r>
        <w:rPr/>
        <w:t>年</w:t>
      </w:r>
      <w:r>
        <w:rPr>
          <w:rFonts w:ascii="Times New Roman" w:hAnsi="Times New Roman" w:cs="Times New Roman" w:eastAsia="Times New Roman" w:hint="default"/>
        </w:rPr>
        <w:t>3</w:t>
      </w:r>
      <w:r>
        <w:rPr/>
        <w:t>月</w:t>
      </w:r>
      <w:r>
        <w:rPr>
          <w:rFonts w:ascii="Times New Roman" w:hAnsi="Times New Roman" w:cs="Times New Roman" w:eastAsia="Times New Roman" w:hint="default"/>
        </w:rPr>
        <w:t>12</w:t>
      </w:r>
      <w:r>
        <w:rPr/>
        <w:t>日止，成员具</w:t>
      </w:r>
    </w:p>
    <w:p>
      <w:pPr>
        <w:pStyle w:val="BodyText"/>
        <w:spacing w:line="240" w:lineRule="auto" w:before="14"/>
        <w:ind w:right="0"/>
        <w:jc w:val="both"/>
      </w:pPr>
      <w:r>
        <w:rPr/>
        <w:t>体情况如下：</w:t>
      </w:r>
    </w:p>
    <w:p>
      <w:pPr>
        <w:spacing w:line="240" w:lineRule="auto" w:before="10"/>
        <w:rPr>
          <w:rFonts w:ascii="宋体" w:hAnsi="宋体" w:cs="宋体" w:eastAsia="宋体" w:hint="default"/>
          <w:sz w:val="14"/>
          <w:szCs w:val="14"/>
        </w:rPr>
      </w:pPr>
    </w:p>
    <w:p>
      <w:pPr>
        <w:pStyle w:val="BodyText"/>
        <w:spacing w:line="386" w:lineRule="auto" w:before="0"/>
        <w:ind w:right="1117" w:firstLine="423"/>
        <w:jc w:val="left"/>
      </w:pPr>
      <w:r>
        <w:rPr/>
        <w:t>刘恩臣先生，男，</w:t>
      </w:r>
      <w:r>
        <w:rPr>
          <w:rFonts w:ascii="Times New Roman" w:hAnsi="Times New Roman" w:cs="Times New Roman" w:eastAsia="Times New Roman" w:hint="default"/>
        </w:rPr>
        <w:t>1963</w:t>
      </w:r>
      <w:r>
        <w:rPr/>
        <w:t>年</w:t>
      </w:r>
      <w:r>
        <w:rPr>
          <w:rFonts w:ascii="Times New Roman" w:hAnsi="Times New Roman" w:cs="Times New Roman" w:eastAsia="Times New Roman" w:hint="default"/>
        </w:rPr>
        <w:t>2</w:t>
      </w:r>
      <w:r>
        <w:rPr/>
        <w:t>月出生，本科学历，高级工程师。</w:t>
      </w:r>
      <w:r>
        <w:rPr>
          <w:rFonts w:ascii="Times New Roman" w:hAnsi="Times New Roman" w:cs="Times New Roman" w:eastAsia="Times New Roman" w:hint="default"/>
        </w:rPr>
        <w:t>1984</w:t>
      </w:r>
      <w:r>
        <w:rPr/>
        <w:t>年毕业于四川大学物理系半导体专 </w:t>
      </w:r>
      <w:r>
        <w:rPr>
          <w:spacing w:val="-5"/>
        </w:rPr>
        <w:t>业，获学士学位；</w:t>
      </w:r>
      <w:r>
        <w:rPr>
          <w:rFonts w:ascii="Times New Roman" w:hAnsi="Times New Roman" w:cs="Times New Roman" w:eastAsia="Times New Roman" w:hint="default"/>
          <w:spacing w:val="-5"/>
        </w:rPr>
        <w:t>1991</w:t>
      </w:r>
      <w:r>
        <w:rPr>
          <w:spacing w:val="-5"/>
        </w:rPr>
        <w:t>年至</w:t>
      </w:r>
      <w:r>
        <w:rPr>
          <w:rFonts w:ascii="Times New Roman" w:hAnsi="Times New Roman" w:cs="Times New Roman" w:eastAsia="Times New Roman" w:hint="default"/>
          <w:spacing w:val="-5"/>
        </w:rPr>
        <w:t>1992</w:t>
      </w:r>
      <w:r>
        <w:rPr>
          <w:spacing w:val="-5"/>
        </w:rPr>
        <w:t>年，赴美国学习。</w:t>
      </w:r>
      <w:r>
        <w:rPr>
          <w:rFonts w:ascii="Times New Roman" w:hAnsi="Times New Roman" w:cs="Times New Roman" w:eastAsia="Times New Roman" w:hint="default"/>
          <w:spacing w:val="-5"/>
        </w:rPr>
        <w:t>1984</w:t>
      </w:r>
      <w:r>
        <w:rPr>
          <w:spacing w:val="-5"/>
        </w:rPr>
        <w:t>年至</w:t>
      </w:r>
      <w:r>
        <w:rPr>
          <w:rFonts w:ascii="Times New Roman" w:hAnsi="Times New Roman" w:cs="Times New Roman" w:eastAsia="Times New Roman" w:hint="default"/>
          <w:spacing w:val="-5"/>
        </w:rPr>
        <w:t>1991</w:t>
      </w:r>
      <w:r>
        <w:rPr>
          <w:spacing w:val="-5"/>
        </w:rPr>
        <w:t>年，在郑州工学院太阳能研究室工作；</w:t>
      </w:r>
      <w:r>
        <w:rPr>
          <w:rFonts w:ascii="Times New Roman" w:hAnsi="Times New Roman" w:cs="Times New Roman" w:eastAsia="Times New Roman" w:hint="default"/>
          <w:spacing w:val="-5"/>
        </w:rPr>
        <w:t>1992</w:t>
      </w:r>
      <w:r>
        <w:rPr>
          <w:rFonts w:ascii="Times New Roman" w:hAnsi="Times New Roman" w:cs="Times New Roman" w:eastAsia="Times New Roman" w:hint="default"/>
          <w:spacing w:val="-1"/>
        </w:rPr>
        <w:t> </w:t>
      </w:r>
      <w:r>
        <w:rPr>
          <w:spacing w:val="-1"/>
        </w:rPr>
        <w:t>年至</w:t>
      </w:r>
      <w:r>
        <w:rPr>
          <w:rFonts w:ascii="Times New Roman" w:hAnsi="Times New Roman" w:cs="Times New Roman" w:eastAsia="Times New Roman" w:hint="default"/>
          <w:spacing w:val="-1"/>
        </w:rPr>
        <w:t>1995</w:t>
      </w:r>
      <w:r>
        <w:rPr>
          <w:spacing w:val="-1"/>
        </w:rPr>
        <w:t>年，任郑州工业大学太阳能研究室工程师；</w:t>
      </w:r>
      <w:r>
        <w:rPr>
          <w:rFonts w:ascii="Times New Roman" w:hAnsi="Times New Roman" w:cs="Times New Roman" w:eastAsia="Times New Roman" w:hint="default"/>
          <w:spacing w:val="-1"/>
        </w:rPr>
        <w:t>1995</w:t>
      </w:r>
      <w:r>
        <w:rPr>
          <w:spacing w:val="-1"/>
        </w:rPr>
        <w:t>年至</w:t>
      </w:r>
      <w:r>
        <w:rPr>
          <w:rFonts w:ascii="Times New Roman" w:hAnsi="Times New Roman" w:cs="Times New Roman" w:eastAsia="Times New Roman" w:hint="default"/>
          <w:spacing w:val="-1"/>
        </w:rPr>
        <w:t>2000</w:t>
      </w:r>
      <w:r>
        <w:rPr>
          <w:spacing w:val="-1"/>
        </w:rPr>
        <w:t>年任郑州工学院开普电子技术公司主任</w:t>
      </w:r>
    </w:p>
    <w:p>
      <w:pPr>
        <w:spacing w:after="0" w:line="386" w:lineRule="auto"/>
        <w:jc w:val="left"/>
        <w:sectPr>
          <w:pgSz w:w="11910" w:h="16840"/>
          <w:pgMar w:header="877" w:footer="979" w:top="1060" w:bottom="1160" w:left="980" w:right="0"/>
        </w:sectPr>
      </w:pPr>
    </w:p>
    <w:p>
      <w:pPr>
        <w:spacing w:line="240" w:lineRule="auto" w:before="0"/>
        <w:rPr>
          <w:rFonts w:ascii="宋体" w:hAnsi="宋体" w:cs="宋体" w:eastAsia="宋体" w:hint="default"/>
          <w:sz w:val="20"/>
          <w:szCs w:val="20"/>
        </w:rPr>
      </w:pPr>
    </w:p>
    <w:p>
      <w:pPr>
        <w:pStyle w:val="BodyText"/>
        <w:spacing w:line="386" w:lineRule="auto" w:before="174"/>
        <w:ind w:left="577" w:right="1117" w:hanging="424"/>
        <w:jc w:val="left"/>
        <w:rPr>
          <w:rFonts w:ascii="Times New Roman" w:hAnsi="Times New Roman" w:cs="Times New Roman" w:eastAsia="Times New Roman" w:hint="default"/>
        </w:rPr>
      </w:pPr>
      <w:r>
        <w:rPr/>
        <w:t>工程师；</w:t>
      </w:r>
      <w:r>
        <w:rPr>
          <w:rFonts w:ascii="Times New Roman" w:hAnsi="Times New Roman" w:cs="Times New Roman" w:eastAsia="Times New Roman" w:hint="default"/>
        </w:rPr>
        <w:t>2000</w:t>
      </w:r>
      <w:r>
        <w:rPr/>
        <w:t>年至今在公司工作，现任公司监事会主席，系公司核心技术人员。 </w:t>
      </w:r>
      <w:r>
        <w:rPr>
          <w:spacing w:val="-1"/>
        </w:rPr>
        <w:t>王葆玲女士，女，</w:t>
      </w:r>
      <w:r>
        <w:rPr>
          <w:rFonts w:ascii="Times New Roman" w:hAnsi="Times New Roman" w:cs="Times New Roman" w:eastAsia="Times New Roman" w:hint="default"/>
          <w:spacing w:val="-1"/>
        </w:rPr>
        <w:t>1971</w:t>
      </w:r>
      <w:r>
        <w:rPr>
          <w:spacing w:val="-1"/>
        </w:rPr>
        <w:t>年</w:t>
      </w:r>
      <w:r>
        <w:rPr>
          <w:rFonts w:ascii="Times New Roman" w:hAnsi="Times New Roman" w:cs="Times New Roman" w:eastAsia="Times New Roman" w:hint="default"/>
          <w:spacing w:val="-1"/>
        </w:rPr>
        <w:t>5</w:t>
      </w:r>
      <w:r>
        <w:rPr>
          <w:spacing w:val="-1"/>
        </w:rPr>
        <w:t>月出生，专科学历。</w:t>
      </w:r>
      <w:r>
        <w:rPr>
          <w:rFonts w:ascii="Times New Roman" w:hAnsi="Times New Roman" w:cs="Times New Roman" w:eastAsia="Times New Roman" w:hint="default"/>
          <w:spacing w:val="-1"/>
        </w:rPr>
        <w:t>1995</w:t>
      </w:r>
      <w:r>
        <w:rPr>
          <w:spacing w:val="-1"/>
        </w:rPr>
        <w:t>年</w:t>
      </w:r>
      <w:r>
        <w:rPr>
          <w:rFonts w:ascii="Times New Roman" w:hAnsi="Times New Roman" w:cs="Times New Roman" w:eastAsia="Times New Roman" w:hint="default"/>
          <w:spacing w:val="-1"/>
        </w:rPr>
        <w:t>7</w:t>
      </w:r>
      <w:r>
        <w:rPr>
          <w:spacing w:val="-1"/>
        </w:rPr>
        <w:t>月毕业于河南财经学院会计专业。</w:t>
      </w:r>
      <w:r>
        <w:rPr>
          <w:rFonts w:ascii="Times New Roman" w:hAnsi="Times New Roman" w:cs="Times New Roman" w:eastAsia="Times New Roman" w:hint="default"/>
          <w:spacing w:val="-1"/>
        </w:rPr>
        <w:t>1995</w:t>
      </w:r>
      <w:r>
        <w:rPr>
          <w:spacing w:val="-1"/>
        </w:rPr>
        <w:t>至</w:t>
      </w:r>
      <w:r>
        <w:rPr>
          <w:rFonts w:ascii="Times New Roman" w:hAnsi="Times New Roman" w:cs="Times New Roman" w:eastAsia="Times New Roman" w:hint="default"/>
          <w:spacing w:val="-1"/>
        </w:rPr>
        <w:t>2000</w:t>
      </w:r>
    </w:p>
    <w:p>
      <w:pPr>
        <w:pStyle w:val="BodyText"/>
        <w:spacing w:line="386" w:lineRule="auto" w:before="35"/>
        <w:ind w:right="1117"/>
        <w:jc w:val="left"/>
      </w:pPr>
      <w:r>
        <w:rPr>
          <w:spacing w:val="-1"/>
        </w:rPr>
        <w:t>年在郑州工学院开普电子技术公司工作，历任银行出纳、会计、主管会计。</w:t>
      </w:r>
      <w:r>
        <w:rPr>
          <w:rFonts w:ascii="Times New Roman" w:hAnsi="Times New Roman" w:cs="Times New Roman" w:eastAsia="Times New Roman" w:hint="default"/>
          <w:spacing w:val="-1"/>
        </w:rPr>
        <w:t>2000</w:t>
      </w:r>
      <w:r>
        <w:rPr>
          <w:spacing w:val="-1"/>
        </w:rPr>
        <w:t>年至今在本公司工作，现</w:t>
      </w:r>
      <w:r>
        <w:rPr>
          <w:spacing w:val="-81"/>
        </w:rPr>
        <w:t> </w:t>
      </w:r>
      <w:r>
        <w:rPr>
          <w:spacing w:val="-81"/>
        </w:rPr>
      </w:r>
      <w:r>
        <w:rPr/>
        <w:t>任公司监事（职工代表监事）、审计部经理。</w:t>
      </w:r>
    </w:p>
    <w:p>
      <w:pPr>
        <w:pStyle w:val="BodyText"/>
        <w:spacing w:line="386" w:lineRule="auto" w:before="65"/>
        <w:ind w:right="0" w:firstLine="423"/>
        <w:jc w:val="left"/>
      </w:pPr>
      <w:r>
        <w:rPr>
          <w:spacing w:val="-5"/>
        </w:rPr>
        <w:t>张建英女士，女，</w:t>
      </w:r>
      <w:r>
        <w:rPr>
          <w:rFonts w:ascii="Times New Roman" w:hAnsi="Times New Roman" w:cs="Times New Roman" w:eastAsia="Times New Roman" w:hint="default"/>
          <w:spacing w:val="-5"/>
        </w:rPr>
        <w:t>1975</w:t>
      </w:r>
      <w:r>
        <w:rPr>
          <w:spacing w:val="-5"/>
        </w:rPr>
        <w:t>年</w:t>
      </w:r>
      <w:r>
        <w:rPr>
          <w:rFonts w:ascii="Times New Roman" w:hAnsi="Times New Roman" w:cs="Times New Roman" w:eastAsia="Times New Roman" w:hint="default"/>
          <w:spacing w:val="-5"/>
        </w:rPr>
        <w:t>4</w:t>
      </w:r>
      <w:r>
        <w:rPr>
          <w:spacing w:val="-5"/>
        </w:rPr>
        <w:t>月出生，本科学历。</w:t>
      </w:r>
      <w:r>
        <w:rPr>
          <w:rFonts w:ascii="Times New Roman" w:hAnsi="Times New Roman" w:cs="Times New Roman" w:eastAsia="Times New Roman" w:hint="default"/>
          <w:spacing w:val="-5"/>
        </w:rPr>
        <w:t>2009</w:t>
      </w:r>
      <w:r>
        <w:rPr>
          <w:spacing w:val="-5"/>
        </w:rPr>
        <w:t>年</w:t>
      </w:r>
      <w:r>
        <w:rPr>
          <w:rFonts w:ascii="Times New Roman" w:hAnsi="Times New Roman" w:cs="Times New Roman" w:eastAsia="Times New Roman" w:hint="default"/>
          <w:spacing w:val="-5"/>
        </w:rPr>
        <w:t>7</w:t>
      </w:r>
      <w:r>
        <w:rPr>
          <w:spacing w:val="-5"/>
        </w:rPr>
        <w:t>月毕业于中央广播电视大学工商管理专业。</w:t>
      </w:r>
      <w:r>
        <w:rPr>
          <w:rFonts w:ascii="Times New Roman" w:hAnsi="Times New Roman" w:cs="Times New Roman" w:eastAsia="Times New Roman" w:hint="default"/>
          <w:spacing w:val="-5"/>
        </w:rPr>
        <w:t>2000</w:t>
      </w:r>
      <w:r>
        <w:rPr>
          <w:rFonts w:ascii="Times New Roman" w:hAnsi="Times New Roman" w:cs="Times New Roman" w:eastAsia="Times New Roman" w:hint="default"/>
        </w:rPr>
        <w:t> </w:t>
      </w:r>
      <w:r>
        <w:rPr/>
        <w:t>年至今在公司工作，历任生产人员、采购员、采购主管，现任生产制造部经理并担任公司职工代表监事。</w:t>
      </w:r>
    </w:p>
    <w:p>
      <w:pPr>
        <w:pStyle w:val="BodyText"/>
        <w:spacing w:line="408" w:lineRule="auto" w:before="65"/>
        <w:ind w:left="577" w:right="6969"/>
        <w:jc w:val="left"/>
      </w:pPr>
      <w:r>
        <w:rPr/>
        <w:t>（三）高级管理人员 公司高级管理人员的具体情况如下：</w:t>
      </w:r>
    </w:p>
    <w:p>
      <w:pPr>
        <w:pStyle w:val="BodyText"/>
        <w:spacing w:line="386" w:lineRule="auto"/>
        <w:ind w:left="577" w:right="1194"/>
        <w:jc w:val="left"/>
      </w:pPr>
      <w:r>
        <w:rPr/>
        <w:t>杨维国先生：本公司董事长、总经理，简历详见本节之</w:t>
      </w:r>
      <w:r>
        <w:rPr>
          <w:rFonts w:ascii="Times New Roman" w:hAnsi="Times New Roman" w:cs="Times New Roman" w:eastAsia="Times New Roman" w:hint="default"/>
        </w:rPr>
        <w:t>“</w:t>
      </w:r>
      <w:r>
        <w:rPr/>
        <w:t>（一）董事会成员</w:t>
      </w:r>
      <w:r>
        <w:rPr>
          <w:rFonts w:ascii="Times New Roman" w:hAnsi="Times New Roman" w:cs="Times New Roman" w:eastAsia="Times New Roman" w:hint="default"/>
        </w:rPr>
        <w:t>”</w:t>
      </w:r>
      <w:r>
        <w:rPr/>
        <w:t>。 付秋生先生：本公司董事、常务副总经理，简历详见本节之</w:t>
      </w:r>
      <w:r>
        <w:rPr>
          <w:rFonts w:ascii="Times New Roman" w:hAnsi="Times New Roman" w:cs="Times New Roman" w:eastAsia="Times New Roman" w:hint="default"/>
        </w:rPr>
        <w:t>“</w:t>
      </w:r>
      <w:r>
        <w:rPr/>
        <w:t>（一）董事会成员</w:t>
      </w:r>
      <w:r>
        <w:rPr>
          <w:rFonts w:ascii="Times New Roman" w:hAnsi="Times New Roman" w:cs="Times New Roman" w:eastAsia="Times New Roman" w:hint="default"/>
        </w:rPr>
        <w:t>”</w:t>
      </w:r>
      <w:r>
        <w:rPr/>
        <w:t>。 尚卫国先生：本公司董事、副总经理，简历详见本节之</w:t>
      </w:r>
      <w:r>
        <w:rPr>
          <w:rFonts w:ascii="Times New Roman" w:hAnsi="Times New Roman" w:cs="Times New Roman" w:eastAsia="Times New Roman" w:hint="default"/>
        </w:rPr>
        <w:t>“</w:t>
      </w:r>
      <w:r>
        <w:rPr/>
        <w:t>（一）董事会成员</w:t>
      </w:r>
      <w:r>
        <w:rPr>
          <w:rFonts w:ascii="Times New Roman" w:hAnsi="Times New Roman" w:cs="Times New Roman" w:eastAsia="Times New Roman" w:hint="default"/>
        </w:rPr>
        <w:t>”</w:t>
      </w:r>
      <w:r>
        <w:rPr/>
        <w:t>。 赵利宾先生：本公司董事、副总经理，简历详见本节之</w:t>
      </w:r>
      <w:r>
        <w:rPr>
          <w:rFonts w:ascii="Times New Roman" w:hAnsi="Times New Roman" w:cs="Times New Roman" w:eastAsia="Times New Roman" w:hint="default"/>
        </w:rPr>
        <w:t>“</w:t>
      </w:r>
      <w:r>
        <w:rPr/>
        <w:t>（一）董事会成员</w:t>
      </w:r>
      <w:r>
        <w:rPr>
          <w:rFonts w:ascii="Times New Roman" w:hAnsi="Times New Roman" w:cs="Times New Roman" w:eastAsia="Times New Roman" w:hint="default"/>
        </w:rPr>
        <w:t>”</w:t>
      </w:r>
      <w:r>
        <w:rPr/>
        <w:t>。 华梦阳先生，男，</w:t>
      </w:r>
      <w:r>
        <w:rPr>
          <w:rFonts w:ascii="Times New Roman" w:hAnsi="Times New Roman" w:cs="Times New Roman" w:eastAsia="Times New Roman" w:hint="default"/>
        </w:rPr>
        <w:t>1970</w:t>
      </w:r>
      <w:r>
        <w:rPr/>
        <w:t>年</w:t>
      </w:r>
      <w:r>
        <w:rPr>
          <w:rFonts w:ascii="Times New Roman" w:hAnsi="Times New Roman" w:cs="Times New Roman" w:eastAsia="Times New Roman" w:hint="default"/>
        </w:rPr>
        <w:t>7</w:t>
      </w:r>
      <w:r>
        <w:rPr/>
        <w:t>月出生，大学学历。</w:t>
      </w:r>
      <w:r>
        <w:rPr>
          <w:rFonts w:ascii="Times New Roman" w:hAnsi="Times New Roman" w:cs="Times New Roman" w:eastAsia="Times New Roman" w:hint="default"/>
        </w:rPr>
        <w:t>1992</w:t>
      </w:r>
      <w:r>
        <w:rPr/>
        <w:t>年毕业于郑州工学院计算机与自动化系。</w:t>
      </w:r>
      <w:r>
        <w:rPr>
          <w:rFonts w:ascii="Times New Roman" w:hAnsi="Times New Roman" w:cs="Times New Roman" w:eastAsia="Times New Roman" w:hint="default"/>
        </w:rPr>
        <w:t>1992</w:t>
      </w:r>
      <w:r>
        <w:rPr/>
        <w:t>年</w:t>
      </w:r>
    </w:p>
    <w:p>
      <w:pPr>
        <w:pStyle w:val="BodyText"/>
        <w:spacing w:line="386" w:lineRule="auto" w:before="35"/>
        <w:ind w:right="1117"/>
        <w:jc w:val="left"/>
      </w:pPr>
      <w:r>
        <w:rPr>
          <w:spacing w:val="-1"/>
        </w:rPr>
        <w:t>至</w:t>
      </w:r>
      <w:r>
        <w:rPr>
          <w:rFonts w:ascii="Times New Roman" w:hAnsi="Times New Roman" w:cs="Times New Roman" w:eastAsia="Times New Roman" w:hint="default"/>
          <w:spacing w:val="-1"/>
        </w:rPr>
        <w:t>1995</w:t>
      </w:r>
      <w:r>
        <w:rPr>
          <w:spacing w:val="-1"/>
        </w:rPr>
        <w:t>年，任河南天地实业有限公司计算机事业部经理；</w:t>
      </w:r>
      <w:r>
        <w:rPr>
          <w:rFonts w:ascii="Times New Roman" w:hAnsi="Times New Roman" w:cs="Times New Roman" w:eastAsia="Times New Roman" w:hint="default"/>
          <w:spacing w:val="-1"/>
        </w:rPr>
        <w:t>1995</w:t>
      </w:r>
      <w:r>
        <w:rPr>
          <w:spacing w:val="-1"/>
        </w:rPr>
        <w:t>年至</w:t>
      </w:r>
      <w:r>
        <w:rPr>
          <w:rFonts w:ascii="Times New Roman" w:hAnsi="Times New Roman" w:cs="Times New Roman" w:eastAsia="Times New Roman" w:hint="default"/>
          <w:spacing w:val="-1"/>
        </w:rPr>
        <w:t>2000</w:t>
      </w:r>
      <w:r>
        <w:rPr>
          <w:spacing w:val="-1"/>
        </w:rPr>
        <w:t>年，在郑州工学院开普电子技术公</w:t>
      </w:r>
      <w:r>
        <w:rPr>
          <w:spacing w:val="-78"/>
        </w:rPr>
        <w:t> </w:t>
      </w:r>
      <w:r>
        <w:rPr>
          <w:spacing w:val="-78"/>
        </w:rPr>
      </w:r>
      <w:r>
        <w:rPr>
          <w:spacing w:val="-1"/>
        </w:rPr>
        <w:t>司工作，历任电脑经营部副经理、经理及市场部经理、董事会秘书。</w:t>
      </w:r>
      <w:r>
        <w:rPr>
          <w:rFonts w:ascii="Times New Roman" w:hAnsi="Times New Roman" w:cs="Times New Roman" w:eastAsia="Times New Roman" w:hint="default"/>
          <w:spacing w:val="-1"/>
        </w:rPr>
        <w:t>2000</w:t>
      </w:r>
      <w:r>
        <w:rPr>
          <w:spacing w:val="-1"/>
        </w:rPr>
        <w:t>年进入公司工作，现任公司副总</w:t>
      </w:r>
      <w:r>
        <w:rPr>
          <w:spacing w:val="-81"/>
        </w:rPr>
        <w:t> </w:t>
      </w:r>
      <w:r>
        <w:rPr>
          <w:spacing w:val="-81"/>
        </w:rPr>
      </w:r>
      <w:r>
        <w:rPr/>
        <w:t>经理。</w:t>
      </w:r>
      <w:r>
        <w:rPr>
          <w:rFonts w:ascii="Times New Roman" w:hAnsi="Times New Roman" w:cs="Times New Roman" w:eastAsia="Times New Roman" w:hint="default"/>
        </w:rPr>
        <w:t>2011</w:t>
      </w:r>
      <w:r>
        <w:rPr/>
        <w:t>年</w:t>
      </w:r>
      <w:r>
        <w:rPr>
          <w:rFonts w:ascii="Times New Roman" w:hAnsi="Times New Roman" w:cs="Times New Roman" w:eastAsia="Times New Roman" w:hint="default"/>
        </w:rPr>
        <w:t>9</w:t>
      </w:r>
      <w:r>
        <w:rPr/>
        <w:t>月参加深圳证券交易所创业板上市公司第三期董事会秘书培训班并取得董事会秘书资格证 书。</w:t>
      </w:r>
    </w:p>
    <w:p>
      <w:pPr>
        <w:pStyle w:val="BodyText"/>
        <w:spacing w:line="393" w:lineRule="auto" w:before="65"/>
        <w:ind w:right="1117" w:firstLine="423"/>
        <w:jc w:val="left"/>
      </w:pPr>
      <w:r>
        <w:rPr/>
        <w:t>李玉玲女士，女，</w:t>
      </w:r>
      <w:r>
        <w:rPr>
          <w:rFonts w:ascii="Times New Roman" w:hAnsi="Times New Roman" w:cs="Times New Roman" w:eastAsia="Times New Roman" w:hint="default"/>
        </w:rPr>
        <w:t>1971</w:t>
      </w:r>
      <w:r>
        <w:rPr/>
        <w:t>年</w:t>
      </w:r>
      <w:r>
        <w:rPr>
          <w:rFonts w:ascii="Times New Roman" w:hAnsi="Times New Roman" w:cs="Times New Roman" w:eastAsia="Times New Roman" w:hint="default"/>
        </w:rPr>
        <w:t>11</w:t>
      </w:r>
      <w:r>
        <w:rPr/>
        <w:t>月出生，本科学历，高级会计师，注册会计师，注册税务师。</w:t>
      </w:r>
      <w:r>
        <w:rPr>
          <w:rFonts w:ascii="Times New Roman" w:hAnsi="Times New Roman" w:cs="Times New Roman" w:eastAsia="Times New Roman" w:hint="default"/>
        </w:rPr>
        <w:t>1994</w:t>
      </w:r>
      <w:r>
        <w:rPr/>
        <w:t>年</w:t>
      </w:r>
      <w:r>
        <w:rPr>
          <w:rFonts w:ascii="Times New Roman" w:hAnsi="Times New Roman" w:cs="Times New Roman" w:eastAsia="Times New Roman" w:hint="default"/>
        </w:rPr>
        <w:t>7</w:t>
      </w:r>
      <w:r>
        <w:rPr/>
        <w:t>月 </w:t>
      </w:r>
      <w:r>
        <w:rPr>
          <w:spacing w:val="-1"/>
        </w:rPr>
        <w:t>毕业于河南财政税务高等专科学校会计专业；</w:t>
      </w:r>
      <w:r>
        <w:rPr>
          <w:rFonts w:ascii="Times New Roman" w:hAnsi="Times New Roman" w:cs="Times New Roman" w:eastAsia="Times New Roman" w:hint="default"/>
          <w:spacing w:val="-1"/>
        </w:rPr>
        <w:t>1998</w:t>
      </w:r>
      <w:r>
        <w:rPr>
          <w:spacing w:val="-1"/>
        </w:rPr>
        <w:t>年毕业于河南财经学院会计专业，获本科学历。曾担任</w:t>
      </w:r>
      <w:r>
        <w:rPr>
          <w:spacing w:val="-82"/>
        </w:rPr>
        <w:t> </w:t>
      </w:r>
      <w:r>
        <w:rPr>
          <w:spacing w:val="-82"/>
        </w:rPr>
      </w:r>
      <w:r>
        <w:rPr>
          <w:spacing w:val="-1"/>
        </w:rPr>
        <w:t>河南诚和会计师事务所审计部经理、所长助理，河南省注册会计师协会专业委员会委员，河南海联科技实</w:t>
      </w:r>
      <w:r>
        <w:rPr>
          <w:spacing w:val="-83"/>
        </w:rPr>
        <w:t> </w:t>
      </w:r>
      <w:r>
        <w:rPr>
          <w:spacing w:val="-83"/>
        </w:rPr>
      </w:r>
      <w:r>
        <w:rPr/>
        <w:t>业有限公司财务经理、郑州星之旅信息传播服务有限公司财务总监。</w:t>
      </w:r>
      <w:r>
        <w:rPr>
          <w:rFonts w:ascii="Times New Roman" w:hAnsi="Times New Roman" w:cs="Times New Roman" w:eastAsia="Times New Roman" w:hint="default"/>
        </w:rPr>
        <w:t>2010</w:t>
      </w:r>
      <w:r>
        <w:rPr/>
        <w:t>年</w:t>
      </w:r>
      <w:r>
        <w:rPr>
          <w:rFonts w:ascii="Times New Roman" w:hAnsi="Times New Roman" w:cs="Times New Roman" w:eastAsia="Times New Roman" w:hint="default"/>
        </w:rPr>
        <w:t>7</w:t>
      </w:r>
      <w:r>
        <w:rPr/>
        <w:t>月起担任公司财务总监。</w:t>
      </w:r>
    </w:p>
    <w:p>
      <w:pPr>
        <w:pStyle w:val="BodyText"/>
        <w:spacing w:line="386" w:lineRule="auto" w:before="28"/>
        <w:ind w:right="1117" w:firstLine="423"/>
        <w:jc w:val="left"/>
      </w:pPr>
      <w:r>
        <w:rPr/>
        <w:t>傅常顺先生，男，</w:t>
      </w:r>
      <w:r>
        <w:rPr>
          <w:rFonts w:ascii="Times New Roman" w:hAnsi="Times New Roman" w:cs="Times New Roman" w:eastAsia="Times New Roman" w:hint="default"/>
        </w:rPr>
        <w:t>1972</w:t>
      </w:r>
      <w:r>
        <w:rPr/>
        <w:t>年</w:t>
      </w:r>
      <w:r>
        <w:rPr>
          <w:rFonts w:ascii="Times New Roman" w:hAnsi="Times New Roman" w:cs="Times New Roman" w:eastAsia="Times New Roman" w:hint="default"/>
        </w:rPr>
        <w:t>1</w:t>
      </w:r>
      <w:r>
        <w:rPr/>
        <w:t>月出生，研究生学历，工程师、计算机信息系统集成高级项目经理、信息 </w:t>
      </w:r>
      <w:r>
        <w:rPr>
          <w:spacing w:val="-5"/>
        </w:rPr>
        <w:t>安全系统高级管理员、网络安全管理工程师。</w:t>
      </w:r>
      <w:r>
        <w:rPr>
          <w:rFonts w:ascii="Times New Roman" w:hAnsi="Times New Roman" w:cs="Times New Roman" w:eastAsia="Times New Roman" w:hint="default"/>
          <w:spacing w:val="-5"/>
        </w:rPr>
        <w:t>1994</w:t>
      </w:r>
      <w:r>
        <w:rPr>
          <w:spacing w:val="-5"/>
        </w:rPr>
        <w:t>年毕业于郑州工学院计算机应用专业，获学士学位；</w:t>
      </w:r>
      <w:r>
        <w:rPr>
          <w:rFonts w:ascii="Times New Roman" w:hAnsi="Times New Roman" w:cs="Times New Roman" w:eastAsia="Times New Roman" w:hint="default"/>
          <w:spacing w:val="-5"/>
        </w:rPr>
        <w:t>2001</w:t>
      </w:r>
      <w:r>
        <w:rPr>
          <w:rFonts w:ascii="Times New Roman" w:hAnsi="Times New Roman" w:cs="Times New Roman" w:eastAsia="Times New Roman" w:hint="default"/>
          <w:spacing w:val="-29"/>
        </w:rPr>
        <w:t> </w:t>
      </w:r>
      <w:r>
        <w:rPr>
          <w:spacing w:val="-1"/>
        </w:rPr>
        <w:t>年于郑州大学计算机应用技术专业研究生班进修结业；</w:t>
      </w:r>
      <w:r>
        <w:rPr>
          <w:rFonts w:ascii="Times New Roman" w:hAnsi="Times New Roman" w:cs="Times New Roman" w:eastAsia="Times New Roman" w:hint="default"/>
          <w:spacing w:val="-1"/>
        </w:rPr>
        <w:t>2014</w:t>
      </w:r>
      <w:r>
        <w:rPr>
          <w:spacing w:val="-1"/>
        </w:rPr>
        <w:t>年毕业于郑州大学商学院，获高级管理人员工</w:t>
      </w:r>
      <w:r>
        <w:rPr>
          <w:spacing w:val="-80"/>
        </w:rPr>
        <w:t> </w:t>
      </w:r>
      <w:r>
        <w:rPr>
          <w:spacing w:val="-80"/>
        </w:rPr>
      </w:r>
      <w:r>
        <w:rPr>
          <w:spacing w:val="-1"/>
        </w:rPr>
        <w:t>商管理硕士学位。</w:t>
      </w:r>
      <w:r>
        <w:rPr>
          <w:rFonts w:ascii="Times New Roman" w:hAnsi="Times New Roman" w:cs="Times New Roman" w:eastAsia="Times New Roman" w:hint="default"/>
          <w:spacing w:val="-1"/>
        </w:rPr>
        <w:t>1994</w:t>
      </w:r>
      <w:r>
        <w:rPr>
          <w:spacing w:val="-1"/>
        </w:rPr>
        <w:t>年至</w:t>
      </w:r>
      <w:r>
        <w:rPr>
          <w:rFonts w:ascii="Times New Roman" w:hAnsi="Times New Roman" w:cs="Times New Roman" w:eastAsia="Times New Roman" w:hint="default"/>
          <w:spacing w:val="-1"/>
        </w:rPr>
        <w:t>2000</w:t>
      </w:r>
      <w:r>
        <w:rPr>
          <w:spacing w:val="-1"/>
        </w:rPr>
        <w:t>年在郑州工学院开普电子技术公司工作，历任工程部经理、深圳办事处经</w:t>
      </w:r>
      <w:r>
        <w:rPr>
          <w:spacing w:val="-79"/>
        </w:rPr>
        <w:t> </w:t>
      </w:r>
      <w:r>
        <w:rPr>
          <w:spacing w:val="-79"/>
        </w:rPr>
      </w:r>
      <w:r>
        <w:rPr>
          <w:spacing w:val="-1"/>
        </w:rPr>
        <w:t>理、软件开发部经理；</w:t>
      </w:r>
      <w:r>
        <w:rPr>
          <w:rFonts w:ascii="Times New Roman" w:hAnsi="Times New Roman" w:cs="Times New Roman" w:eastAsia="Times New Roman" w:hint="default"/>
          <w:spacing w:val="-1"/>
        </w:rPr>
        <w:t>2000</w:t>
      </w:r>
      <w:r>
        <w:rPr>
          <w:spacing w:val="-1"/>
        </w:rPr>
        <w:t>年进入公司工作，历任公司技术总监、技术研究中心总经理、公司质控中心总</w:t>
      </w:r>
      <w:r>
        <w:rPr>
          <w:spacing w:val="-82"/>
        </w:rPr>
        <w:t> </w:t>
      </w:r>
      <w:r>
        <w:rPr>
          <w:spacing w:val="-82"/>
        </w:rPr>
      </w:r>
      <w:r>
        <w:rPr/>
        <w:t>经理、生产中心总经理，现任公司副总经理，系公司核心技术人员。</w:t>
      </w:r>
    </w:p>
    <w:p>
      <w:pPr>
        <w:pStyle w:val="BodyText"/>
        <w:spacing w:line="386" w:lineRule="auto" w:before="65"/>
        <w:ind w:right="1130" w:firstLine="423"/>
        <w:jc w:val="both"/>
      </w:pPr>
      <w:r>
        <w:rPr>
          <w:spacing w:val="-1"/>
        </w:rPr>
        <w:t>杜建平先生，男，</w:t>
      </w:r>
      <w:r>
        <w:rPr>
          <w:rFonts w:ascii="Times New Roman" w:hAnsi="Times New Roman" w:cs="Times New Roman" w:eastAsia="Times New Roman" w:hint="default"/>
          <w:spacing w:val="-1"/>
        </w:rPr>
        <w:t>1972</w:t>
      </w:r>
      <w:r>
        <w:rPr>
          <w:spacing w:val="-1"/>
        </w:rPr>
        <w:t>年</w:t>
      </w:r>
      <w:r>
        <w:rPr>
          <w:rFonts w:ascii="Times New Roman" w:hAnsi="Times New Roman" w:cs="Times New Roman" w:eastAsia="Times New Roman" w:hint="default"/>
          <w:spacing w:val="-1"/>
        </w:rPr>
        <w:t>10</w:t>
      </w:r>
      <w:r>
        <w:rPr>
          <w:spacing w:val="-1"/>
        </w:rPr>
        <w:t>月生，本科学历，计算机信息系统集成高级项目经理。</w:t>
      </w:r>
      <w:r>
        <w:rPr>
          <w:rFonts w:ascii="Times New Roman" w:hAnsi="Times New Roman" w:cs="Times New Roman" w:eastAsia="Times New Roman" w:hint="default"/>
          <w:spacing w:val="-1"/>
        </w:rPr>
        <w:t>1995</w:t>
      </w:r>
      <w:r>
        <w:rPr>
          <w:spacing w:val="-1"/>
        </w:rPr>
        <w:t>年毕业于郑州</w:t>
      </w:r>
      <w:r>
        <w:rPr/>
        <w:t> </w:t>
      </w:r>
      <w:r>
        <w:rPr>
          <w:spacing w:val="-1"/>
        </w:rPr>
        <w:t>工学院计算机与自动化系，获学士学位。</w:t>
      </w:r>
      <w:r>
        <w:rPr>
          <w:rFonts w:ascii="Times New Roman" w:hAnsi="Times New Roman" w:cs="Times New Roman" w:eastAsia="Times New Roman" w:hint="default"/>
          <w:spacing w:val="-1"/>
        </w:rPr>
        <w:t>1995</w:t>
      </w:r>
      <w:r>
        <w:rPr>
          <w:spacing w:val="-1"/>
        </w:rPr>
        <w:t>年至</w:t>
      </w:r>
      <w:r>
        <w:rPr>
          <w:rFonts w:ascii="Times New Roman" w:hAnsi="Times New Roman" w:cs="Times New Roman" w:eastAsia="Times New Roman" w:hint="default"/>
          <w:spacing w:val="-1"/>
        </w:rPr>
        <w:t>2000</w:t>
      </w:r>
      <w:r>
        <w:rPr>
          <w:spacing w:val="-1"/>
        </w:rPr>
        <w:t>年在郑州工学院开普电子技术公司工作；</w:t>
      </w:r>
      <w:r>
        <w:rPr>
          <w:rFonts w:ascii="Times New Roman" w:hAnsi="Times New Roman" w:cs="Times New Roman" w:eastAsia="Times New Roman" w:hint="default"/>
          <w:spacing w:val="-1"/>
        </w:rPr>
        <w:t>2000</w:t>
      </w:r>
      <w:r>
        <w:rPr>
          <w:spacing w:val="-1"/>
        </w:rPr>
        <w:t>年进</w:t>
      </w:r>
      <w:r>
        <w:rPr>
          <w:spacing w:val="-79"/>
        </w:rPr>
        <w:t> </w:t>
      </w:r>
      <w:r>
        <w:rPr/>
        <w:t>入公司工作，历任公司营销中心副总经理、营销中心总经理，现任公司副总经理。</w:t>
      </w:r>
    </w:p>
    <w:p>
      <w:pPr>
        <w:spacing w:after="0" w:line="386" w:lineRule="auto"/>
        <w:jc w:val="both"/>
        <w:sectPr>
          <w:pgSz w:w="11910" w:h="16840"/>
          <w:pgMar w:header="877" w:footer="979" w:top="1060" w:bottom="1160" w:left="980" w:right="0"/>
        </w:sectPr>
      </w:pPr>
    </w:p>
    <w:p>
      <w:pPr>
        <w:spacing w:line="240" w:lineRule="auto" w:before="0"/>
        <w:rPr>
          <w:rFonts w:ascii="宋体" w:hAnsi="宋体" w:cs="宋体" w:eastAsia="宋体" w:hint="default"/>
          <w:sz w:val="20"/>
          <w:szCs w:val="20"/>
        </w:rPr>
      </w:pPr>
    </w:p>
    <w:p>
      <w:pPr>
        <w:pStyle w:val="BodyText"/>
        <w:spacing w:line="386" w:lineRule="auto" w:before="174"/>
        <w:ind w:right="1146" w:firstLine="423"/>
        <w:jc w:val="both"/>
      </w:pPr>
      <w:r>
        <w:rPr/>
        <w:t>刘永春先生，男，</w:t>
      </w:r>
      <w:r>
        <w:rPr>
          <w:rFonts w:ascii="Times New Roman" w:hAnsi="Times New Roman" w:cs="Times New Roman" w:eastAsia="Times New Roman" w:hint="default"/>
        </w:rPr>
        <w:t>1969</w:t>
      </w:r>
      <w:r>
        <w:rPr/>
        <w:t>年</w:t>
      </w:r>
      <w:r>
        <w:rPr>
          <w:rFonts w:ascii="Times New Roman" w:hAnsi="Times New Roman" w:cs="Times New Roman" w:eastAsia="Times New Roman" w:hint="default"/>
        </w:rPr>
        <w:t>8</w:t>
      </w:r>
      <w:r>
        <w:rPr/>
        <w:t>月生，本科学历。</w:t>
      </w:r>
      <w:r>
        <w:rPr>
          <w:rFonts w:ascii="Times New Roman" w:hAnsi="Times New Roman" w:cs="Times New Roman" w:eastAsia="Times New Roman" w:hint="default"/>
        </w:rPr>
        <w:t>1992</w:t>
      </w:r>
      <w:r>
        <w:rPr/>
        <w:t>年毕业于北京航空航天大学计算机辅助设计和辅助 制造专业，</w:t>
      </w:r>
      <w:r>
        <w:rPr>
          <w:rFonts w:ascii="Times New Roman" w:hAnsi="Times New Roman" w:cs="Times New Roman" w:eastAsia="Times New Roman" w:hint="default"/>
        </w:rPr>
        <w:t>1992</w:t>
      </w:r>
      <w:r>
        <w:rPr/>
        <w:t>年</w:t>
      </w:r>
      <w:r>
        <w:rPr>
          <w:rFonts w:ascii="Times New Roman" w:hAnsi="Times New Roman" w:cs="Times New Roman" w:eastAsia="Times New Roman" w:hint="default"/>
        </w:rPr>
        <w:t>7</w:t>
      </w:r>
      <w:r>
        <w:rPr/>
        <w:t>月至</w:t>
      </w:r>
      <w:r>
        <w:rPr>
          <w:rFonts w:ascii="Times New Roman" w:hAnsi="Times New Roman" w:cs="Times New Roman" w:eastAsia="Times New Roman" w:hint="default"/>
        </w:rPr>
        <w:t>1993</w:t>
      </w:r>
      <w:r>
        <w:rPr/>
        <w:t>年</w:t>
      </w:r>
      <w:r>
        <w:rPr>
          <w:rFonts w:ascii="Times New Roman" w:hAnsi="Times New Roman" w:cs="Times New Roman" w:eastAsia="Times New Roman" w:hint="default"/>
        </w:rPr>
        <w:t>7</w:t>
      </w:r>
      <w:r>
        <w:rPr/>
        <w:t>月任沈阳飞机制造公司工艺员；</w:t>
      </w:r>
      <w:r>
        <w:rPr>
          <w:rFonts w:ascii="Times New Roman" w:hAnsi="Times New Roman" w:cs="Times New Roman" w:eastAsia="Times New Roman" w:hint="default"/>
        </w:rPr>
        <w:t>1993</w:t>
      </w:r>
      <w:r>
        <w:rPr/>
        <w:t>年</w:t>
      </w:r>
      <w:r>
        <w:rPr>
          <w:rFonts w:ascii="Times New Roman" w:hAnsi="Times New Roman" w:cs="Times New Roman" w:eastAsia="Times New Roman" w:hint="default"/>
        </w:rPr>
        <w:t>7</w:t>
      </w:r>
      <w:r>
        <w:rPr/>
        <w:t>月至</w:t>
      </w:r>
      <w:r>
        <w:rPr>
          <w:rFonts w:ascii="Times New Roman" w:hAnsi="Times New Roman" w:cs="Times New Roman" w:eastAsia="Times New Roman" w:hint="default"/>
        </w:rPr>
        <w:t>1993</w:t>
      </w:r>
      <w:r>
        <w:rPr/>
        <w:t>年</w:t>
      </w:r>
      <w:r>
        <w:rPr>
          <w:rFonts w:ascii="Times New Roman" w:hAnsi="Times New Roman" w:cs="Times New Roman" w:eastAsia="Times New Roman" w:hint="default"/>
        </w:rPr>
        <w:t>12</w:t>
      </w:r>
      <w:r>
        <w:rPr/>
        <w:t>月任香港文思顿实 业有限公司销售员；</w:t>
      </w:r>
      <w:r>
        <w:rPr>
          <w:rFonts w:ascii="Times New Roman" w:hAnsi="Times New Roman" w:cs="Times New Roman" w:eastAsia="Times New Roman" w:hint="default"/>
        </w:rPr>
        <w:t>1994</w:t>
      </w:r>
      <w:r>
        <w:rPr/>
        <w:t>年</w:t>
      </w:r>
      <w:r>
        <w:rPr>
          <w:rFonts w:ascii="Times New Roman" w:hAnsi="Times New Roman" w:cs="Times New Roman" w:eastAsia="Times New Roman" w:hint="default"/>
        </w:rPr>
        <w:t>5</w:t>
      </w:r>
      <w:r>
        <w:rPr/>
        <w:t>月至</w:t>
      </w:r>
      <w:r>
        <w:rPr>
          <w:rFonts w:ascii="Times New Roman" w:hAnsi="Times New Roman" w:cs="Times New Roman" w:eastAsia="Times New Roman" w:hint="default"/>
        </w:rPr>
        <w:t>1995</w:t>
      </w:r>
      <w:r>
        <w:rPr/>
        <w:t>年</w:t>
      </w:r>
      <w:r>
        <w:rPr>
          <w:rFonts w:ascii="Times New Roman" w:hAnsi="Times New Roman" w:cs="Times New Roman" w:eastAsia="Times New Roman" w:hint="default"/>
        </w:rPr>
        <w:t>7</w:t>
      </w:r>
      <w:r>
        <w:rPr/>
        <w:t>月任北京泰立电子技术有限公司市场部经理；</w:t>
      </w:r>
      <w:r>
        <w:rPr>
          <w:rFonts w:ascii="Times New Roman" w:hAnsi="Times New Roman" w:cs="Times New Roman" w:eastAsia="Times New Roman" w:hint="default"/>
        </w:rPr>
        <w:t>1995</w:t>
      </w:r>
      <w:r>
        <w:rPr/>
        <w:t>年</w:t>
      </w:r>
      <w:r>
        <w:rPr>
          <w:rFonts w:ascii="Times New Roman" w:hAnsi="Times New Roman" w:cs="Times New Roman" w:eastAsia="Times New Roman" w:hint="default"/>
        </w:rPr>
        <w:t>7</w:t>
      </w:r>
      <w:r>
        <w:rPr/>
        <w:t>月至</w:t>
      </w:r>
      <w:r>
        <w:rPr>
          <w:rFonts w:ascii="Times New Roman" w:hAnsi="Times New Roman" w:cs="Times New Roman" w:eastAsia="Times New Roman" w:hint="default"/>
        </w:rPr>
        <w:t>1997 </w:t>
      </w:r>
      <w:r>
        <w:rPr/>
        <w:t>年</w:t>
      </w:r>
      <w:r>
        <w:rPr>
          <w:rFonts w:ascii="Times New Roman" w:hAnsi="Times New Roman" w:cs="Times New Roman" w:eastAsia="Times New Roman" w:hint="default"/>
        </w:rPr>
        <w:t>5</w:t>
      </w:r>
      <w:r>
        <w:rPr/>
        <w:t>月任北京斯维格</w:t>
      </w:r>
      <w:r>
        <w:rPr>
          <w:rFonts w:ascii="Times New Roman" w:hAnsi="Times New Roman" w:cs="Times New Roman" w:eastAsia="Times New Roman" w:hint="default"/>
        </w:rPr>
        <w:t>-</w:t>
      </w:r>
      <w:r>
        <w:rPr/>
        <w:t>泰德公司副总经理；</w:t>
      </w:r>
      <w:r>
        <w:rPr>
          <w:rFonts w:ascii="Times New Roman" w:hAnsi="Times New Roman" w:cs="Times New Roman" w:eastAsia="Times New Roman" w:hint="default"/>
        </w:rPr>
        <w:t>1997</w:t>
      </w:r>
      <w:r>
        <w:rPr/>
        <w:t>年</w:t>
      </w:r>
      <w:r>
        <w:rPr>
          <w:rFonts w:ascii="Times New Roman" w:hAnsi="Times New Roman" w:cs="Times New Roman" w:eastAsia="Times New Roman" w:hint="default"/>
        </w:rPr>
        <w:t>5</w:t>
      </w:r>
      <w:r>
        <w:rPr/>
        <w:t>月至</w:t>
      </w:r>
      <w:r>
        <w:rPr>
          <w:rFonts w:ascii="Times New Roman" w:hAnsi="Times New Roman" w:cs="Times New Roman" w:eastAsia="Times New Roman" w:hint="default"/>
        </w:rPr>
        <w:t>1998</w:t>
      </w:r>
      <w:r>
        <w:rPr/>
        <w:t>年</w:t>
      </w:r>
      <w:r>
        <w:rPr>
          <w:rFonts w:ascii="Times New Roman" w:hAnsi="Times New Roman" w:cs="Times New Roman" w:eastAsia="Times New Roman" w:hint="default"/>
        </w:rPr>
        <w:t>6</w:t>
      </w:r>
      <w:r>
        <w:rPr/>
        <w:t>月任北京银兰科技有限公司副总经理；</w:t>
      </w:r>
      <w:r>
        <w:rPr>
          <w:rFonts w:ascii="Times New Roman" w:hAnsi="Times New Roman" w:cs="Times New Roman" w:eastAsia="Times New Roman" w:hint="default"/>
        </w:rPr>
        <w:t>1998 </w:t>
      </w:r>
      <w:r>
        <w:rPr/>
        <w:t>年</w:t>
      </w:r>
      <w:r>
        <w:rPr>
          <w:rFonts w:ascii="Times New Roman" w:hAnsi="Times New Roman" w:cs="Times New Roman" w:eastAsia="Times New Roman" w:hint="default"/>
        </w:rPr>
        <w:t>6</w:t>
      </w:r>
      <w:r>
        <w:rPr/>
        <w:t>月至</w:t>
      </w:r>
      <w:r>
        <w:rPr>
          <w:rFonts w:ascii="Times New Roman" w:hAnsi="Times New Roman" w:cs="Times New Roman" w:eastAsia="Times New Roman" w:hint="default"/>
        </w:rPr>
        <w:t>2001</w:t>
      </w:r>
      <w:r>
        <w:rPr/>
        <w:t>年</w:t>
      </w:r>
      <w:r>
        <w:rPr>
          <w:rFonts w:ascii="Times New Roman" w:hAnsi="Times New Roman" w:cs="Times New Roman" w:eastAsia="Times New Roman" w:hint="default"/>
        </w:rPr>
        <w:t>4</w:t>
      </w:r>
      <w:r>
        <w:rPr/>
        <w:t>月任北京迪科创新科技有限公司副总经理；</w:t>
      </w:r>
      <w:r>
        <w:rPr>
          <w:rFonts w:ascii="Times New Roman" w:hAnsi="Times New Roman" w:cs="Times New Roman" w:eastAsia="Times New Roman" w:hint="default"/>
        </w:rPr>
        <w:t>2001</w:t>
      </w:r>
      <w:r>
        <w:rPr/>
        <w:t>年</w:t>
      </w:r>
      <w:r>
        <w:rPr>
          <w:rFonts w:ascii="Times New Roman" w:hAnsi="Times New Roman" w:cs="Times New Roman" w:eastAsia="Times New Roman" w:hint="default"/>
        </w:rPr>
        <w:t>5</w:t>
      </w:r>
      <w:r>
        <w:rPr/>
        <w:t>月创立北京迪科远望科技股份有限公 司（现已更名为北京迪科远望科技有限公司），</w:t>
      </w:r>
      <w:r>
        <w:rPr>
          <w:rFonts w:ascii="Times New Roman" w:hAnsi="Times New Roman" w:cs="Times New Roman" w:eastAsia="Times New Roman" w:hint="default"/>
        </w:rPr>
        <w:t>2001</w:t>
      </w:r>
      <w:r>
        <w:rPr/>
        <w:t>年</w:t>
      </w:r>
      <w:r>
        <w:rPr>
          <w:rFonts w:ascii="Times New Roman" w:hAnsi="Times New Roman" w:cs="Times New Roman" w:eastAsia="Times New Roman" w:hint="default"/>
        </w:rPr>
        <w:t>5</w:t>
      </w:r>
      <w:r>
        <w:rPr/>
        <w:t>月至</w:t>
      </w:r>
      <w:r>
        <w:rPr>
          <w:rFonts w:ascii="Times New Roman" w:hAnsi="Times New Roman" w:cs="Times New Roman" w:eastAsia="Times New Roman" w:hint="default"/>
        </w:rPr>
        <w:t>2015</w:t>
      </w:r>
      <w:r>
        <w:rPr/>
        <w:t>年</w:t>
      </w:r>
      <w:r>
        <w:rPr>
          <w:rFonts w:ascii="Times New Roman" w:hAnsi="Times New Roman" w:cs="Times New Roman" w:eastAsia="Times New Roman" w:hint="default"/>
        </w:rPr>
        <w:t>7</w:t>
      </w:r>
      <w:r>
        <w:rPr/>
        <w:t>月担任董事长。</w:t>
      </w:r>
      <w:r>
        <w:rPr>
          <w:rFonts w:ascii="Times New Roman" w:hAnsi="Times New Roman" w:cs="Times New Roman" w:eastAsia="Times New Roman" w:hint="default"/>
        </w:rPr>
        <w:t>2015</w:t>
      </w:r>
      <w:r>
        <w:rPr/>
        <w:t>年</w:t>
      </w:r>
      <w:r>
        <w:rPr>
          <w:rFonts w:ascii="Times New Roman" w:hAnsi="Times New Roman" w:cs="Times New Roman" w:eastAsia="Times New Roman" w:hint="default"/>
        </w:rPr>
        <w:t>7</w:t>
      </w:r>
      <w:r>
        <w:rPr/>
        <w:t>月至今，任 北京迪科远望科技有限公司副董事长。</w:t>
      </w:r>
      <w:r>
        <w:rPr>
          <w:rFonts w:ascii="Times New Roman" w:hAnsi="Times New Roman" w:cs="Times New Roman" w:eastAsia="Times New Roman" w:hint="default"/>
        </w:rPr>
        <w:t>2015</w:t>
      </w:r>
      <w:r>
        <w:rPr/>
        <w:t>年</w:t>
      </w:r>
      <w:r>
        <w:rPr>
          <w:rFonts w:ascii="Times New Roman" w:hAnsi="Times New Roman" w:cs="Times New Roman" w:eastAsia="Times New Roman" w:hint="default"/>
        </w:rPr>
        <w:t>10</w:t>
      </w:r>
      <w:r>
        <w:rPr/>
        <w:t>月起任公司副总经理。</w:t>
      </w:r>
    </w:p>
    <w:p>
      <w:pPr>
        <w:pStyle w:val="BodyText"/>
        <w:spacing w:line="386" w:lineRule="auto" w:before="35"/>
        <w:ind w:right="1129" w:firstLine="423"/>
        <w:jc w:val="both"/>
      </w:pPr>
      <w:r>
        <w:rPr>
          <w:spacing w:val="-1"/>
        </w:rPr>
        <w:t>杨长昆，男，</w:t>
      </w:r>
      <w:r>
        <w:rPr>
          <w:rFonts w:ascii="Times New Roman" w:hAnsi="Times New Roman" w:cs="Times New Roman" w:eastAsia="Times New Roman" w:hint="default"/>
          <w:spacing w:val="-1"/>
        </w:rPr>
        <w:t>1981</w:t>
      </w:r>
      <w:r>
        <w:rPr>
          <w:spacing w:val="-1"/>
        </w:rPr>
        <w:t>年</w:t>
      </w:r>
      <w:r>
        <w:rPr>
          <w:rFonts w:ascii="Times New Roman" w:hAnsi="Times New Roman" w:cs="Times New Roman" w:eastAsia="Times New Roman" w:hint="default"/>
          <w:spacing w:val="-1"/>
        </w:rPr>
        <w:t>12</w:t>
      </w:r>
      <w:r>
        <w:rPr>
          <w:spacing w:val="-1"/>
        </w:rPr>
        <w:t>月生，大专学历。</w:t>
      </w:r>
      <w:r>
        <w:rPr>
          <w:rFonts w:ascii="Times New Roman" w:hAnsi="Times New Roman" w:cs="Times New Roman" w:eastAsia="Times New Roman" w:hint="default"/>
          <w:spacing w:val="-1"/>
        </w:rPr>
        <w:t>2004</w:t>
      </w:r>
      <w:r>
        <w:rPr>
          <w:spacing w:val="-1"/>
        </w:rPr>
        <w:t>年毕业于中原工学院计算机及应用专业，</w:t>
      </w:r>
      <w:r>
        <w:rPr>
          <w:rFonts w:ascii="Times New Roman" w:hAnsi="Times New Roman" w:cs="Times New Roman" w:eastAsia="Times New Roman" w:hint="default"/>
          <w:spacing w:val="-1"/>
        </w:rPr>
        <w:t>2004</w:t>
      </w:r>
      <w:r>
        <w:rPr>
          <w:spacing w:val="-1"/>
        </w:rPr>
        <w:t>年至今在</w:t>
      </w:r>
      <w:r>
        <w:rPr/>
        <w:t> </w:t>
      </w:r>
      <w:r>
        <w:rPr>
          <w:spacing w:val="-1"/>
        </w:rPr>
        <w:t>本公司工作。先后担任公司技术支持工程师、项目经理、客服经理、成都分公司总经理等职务。</w:t>
      </w:r>
      <w:r>
        <w:rPr>
          <w:rFonts w:ascii="Times New Roman" w:hAnsi="Times New Roman" w:cs="Times New Roman" w:eastAsia="Times New Roman" w:hint="default"/>
          <w:spacing w:val="-1"/>
        </w:rPr>
        <w:t>2014</w:t>
      </w:r>
      <w:r>
        <w:rPr>
          <w:spacing w:val="-1"/>
        </w:rPr>
        <w:t>年</w:t>
      </w:r>
      <w:r>
        <w:rPr>
          <w:rFonts w:ascii="Times New Roman" w:hAnsi="Times New Roman" w:cs="Times New Roman" w:eastAsia="Times New Roman" w:hint="default"/>
          <w:spacing w:val="-1"/>
        </w:rPr>
        <w:t>11</w:t>
      </w:r>
      <w:r>
        <w:rPr>
          <w:rFonts w:ascii="Times New Roman" w:hAnsi="Times New Roman" w:cs="Times New Roman" w:eastAsia="Times New Roman" w:hint="default"/>
          <w:spacing w:val="-27"/>
        </w:rPr>
        <w:t> </w:t>
      </w:r>
      <w:r>
        <w:rPr/>
        <w:t>月至今任公司营销中心总经理。</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3</w:t>
      </w:r>
      <w:r>
        <w:rPr/>
        <w:t>月起，任公司副总经理。</w:t>
      </w:r>
    </w:p>
    <w:p>
      <w:pPr>
        <w:pStyle w:val="BodyText"/>
        <w:spacing w:line="386" w:lineRule="auto" w:before="35"/>
        <w:ind w:right="1130" w:firstLine="423"/>
        <w:jc w:val="left"/>
      </w:pPr>
      <w:r>
        <w:rPr/>
        <w:t>何伟先生，男，</w:t>
      </w:r>
      <w:r>
        <w:rPr>
          <w:rFonts w:ascii="Times New Roman" w:hAnsi="Times New Roman" w:cs="Times New Roman" w:eastAsia="Times New Roman" w:hint="default"/>
        </w:rPr>
        <w:t>1970</w:t>
      </w:r>
      <w:r>
        <w:rPr/>
        <w:t>年</w:t>
      </w:r>
      <w:r>
        <w:rPr>
          <w:rFonts w:ascii="Times New Roman" w:hAnsi="Times New Roman" w:cs="Times New Roman" w:eastAsia="Times New Roman" w:hint="default"/>
        </w:rPr>
        <w:t>1</w:t>
      </w:r>
      <w:r>
        <w:rPr/>
        <w:t>月生，研究生学历。</w:t>
      </w:r>
      <w:r>
        <w:rPr>
          <w:rFonts w:ascii="Times New Roman" w:hAnsi="Times New Roman" w:cs="Times New Roman" w:eastAsia="Times New Roman" w:hint="default"/>
        </w:rPr>
        <w:t>1991</w:t>
      </w:r>
      <w:r>
        <w:rPr>
          <w:rFonts w:ascii="Times New Roman" w:hAnsi="Times New Roman" w:cs="Times New Roman" w:eastAsia="Times New Roman" w:hint="default"/>
          <w:spacing w:val="26"/>
        </w:rPr>
        <w:t> </w:t>
      </w:r>
      <w:r>
        <w:rPr/>
        <w:t>年国防科学技术大学计算机系本科毕业，</w:t>
      </w:r>
      <w:r>
        <w:rPr>
          <w:rFonts w:ascii="Times New Roman" w:hAnsi="Times New Roman" w:cs="Times New Roman" w:eastAsia="Times New Roman" w:hint="default"/>
        </w:rPr>
        <w:t>1994</w:t>
      </w:r>
      <w:r>
        <w:rPr/>
        <w:t>年复 旦大学计算机系数据库专业研究生毕业。</w:t>
      </w:r>
      <w:r>
        <w:rPr>
          <w:rFonts w:ascii="Times New Roman" w:hAnsi="Times New Roman" w:cs="Times New Roman" w:eastAsia="Times New Roman" w:hint="default"/>
        </w:rPr>
        <w:t>2002</w:t>
      </w:r>
      <w:r>
        <w:rPr/>
        <w:t>年</w:t>
      </w:r>
      <w:r>
        <w:rPr>
          <w:rFonts w:ascii="Times New Roman" w:hAnsi="Times New Roman" w:cs="Times New Roman" w:eastAsia="Times New Roman" w:hint="default"/>
        </w:rPr>
        <w:t>-2004</w:t>
      </w:r>
      <w:r>
        <w:rPr/>
        <w:t>年中欧商学院 </w:t>
      </w:r>
      <w:r>
        <w:rPr>
          <w:rFonts w:ascii="Times New Roman" w:hAnsi="Times New Roman" w:cs="Times New Roman" w:eastAsia="Times New Roman" w:hint="default"/>
        </w:rPr>
        <w:t>EMBA</w:t>
      </w:r>
      <w:r>
        <w:rPr>
          <w:rFonts w:ascii="Times New Roman" w:hAnsi="Times New Roman" w:cs="Times New Roman" w:eastAsia="Times New Roman" w:hint="default"/>
          <w:spacing w:val="30"/>
        </w:rPr>
        <w:t> </w:t>
      </w:r>
      <w:r>
        <w:rPr>
          <w:spacing w:val="-3"/>
        </w:rPr>
        <w:t>硕士。</w:t>
      </w:r>
      <w:r>
        <w:rPr>
          <w:rFonts w:ascii="Times New Roman" w:hAnsi="Times New Roman" w:cs="Times New Roman" w:eastAsia="Times New Roman" w:hint="default"/>
          <w:spacing w:val="-3"/>
        </w:rPr>
        <w:t>1994</w:t>
      </w:r>
      <w:r>
        <w:rPr>
          <w:spacing w:val="-3"/>
        </w:rPr>
        <w:t>年至</w:t>
      </w:r>
      <w:r>
        <w:rPr>
          <w:rFonts w:ascii="Times New Roman" w:hAnsi="Times New Roman" w:cs="Times New Roman" w:eastAsia="Times New Roman" w:hint="default"/>
          <w:spacing w:val="-3"/>
        </w:rPr>
        <w:t>2006</w:t>
      </w:r>
      <w:r>
        <w:rPr>
          <w:spacing w:val="-3"/>
        </w:rPr>
        <w:t>年在上海</w:t>
      </w:r>
      <w:r>
        <w:rPr/>
        <w:t> 复旦金仕达计算机有限公司工作，历任软件工程师、市场部经理、事业部总经理、</w:t>
      </w:r>
      <w:r>
        <w:rPr>
          <w:rFonts w:ascii="Times New Roman" w:hAnsi="Times New Roman" w:cs="Times New Roman" w:eastAsia="Times New Roman" w:hint="default"/>
        </w:rPr>
        <w:t>CTO </w:t>
      </w:r>
      <w:r>
        <w:rPr/>
        <w:t>等职务；</w:t>
      </w:r>
      <w:r>
        <w:rPr>
          <w:rFonts w:ascii="Times New Roman" w:hAnsi="Times New Roman" w:cs="Times New Roman" w:eastAsia="Times New Roman" w:hint="default"/>
        </w:rPr>
        <w:t>2006</w:t>
      </w:r>
      <w:r>
        <w:rPr/>
        <w:t>年 </w:t>
      </w:r>
      <w:r>
        <w:rPr>
          <w:spacing w:val="-1"/>
        </w:rPr>
        <w:t>至</w:t>
      </w:r>
      <w:r>
        <w:rPr>
          <w:rFonts w:ascii="Times New Roman" w:hAnsi="Times New Roman" w:cs="Times New Roman" w:eastAsia="Times New Roman" w:hint="default"/>
          <w:spacing w:val="-1"/>
        </w:rPr>
        <w:t>2011</w:t>
      </w:r>
      <w:r>
        <w:rPr>
          <w:spacing w:val="-1"/>
        </w:rPr>
        <w:t>年在胜科金仕达数据系统（中国）有限公司工作，担任高教事业部总经理、公司副总裁职务。</w:t>
      </w:r>
      <w:r>
        <w:rPr>
          <w:rFonts w:ascii="Times New Roman" w:hAnsi="Times New Roman" w:cs="Times New Roman" w:eastAsia="Times New Roman" w:hint="default"/>
          <w:spacing w:val="-1"/>
        </w:rPr>
        <w:t>2012</w:t>
      </w:r>
      <w:r>
        <w:rPr>
          <w:rFonts w:ascii="Times New Roman" w:hAnsi="Times New Roman" w:cs="Times New Roman" w:eastAsia="Times New Roman" w:hint="default"/>
          <w:spacing w:val="-28"/>
        </w:rPr>
        <w:t> </w:t>
      </w:r>
      <w:r>
        <w:rPr/>
        <w:t>年至今在上海树维信息科技有限公司工作，担任总经理职务。</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3</w:t>
      </w:r>
      <w:r>
        <w:rPr/>
        <w:t>月起任公司副总经理。</w:t>
      </w:r>
    </w:p>
    <w:p>
      <w:pPr>
        <w:pStyle w:val="BodyText"/>
        <w:spacing w:line="240" w:lineRule="auto" w:before="36"/>
        <w:ind w:left="577" w:right="0"/>
        <w:jc w:val="left"/>
      </w:pPr>
      <w:r>
        <w:rPr/>
        <w:t>赵鑫先生，男，</w:t>
      </w:r>
      <w:r>
        <w:rPr>
          <w:rFonts w:ascii="Times New Roman" w:hAnsi="Times New Roman" w:cs="Times New Roman" w:eastAsia="Times New Roman" w:hint="default"/>
        </w:rPr>
        <w:t>1983</w:t>
      </w:r>
      <w:r>
        <w:rPr/>
        <w:t>年</w:t>
      </w:r>
      <w:r>
        <w:rPr>
          <w:rFonts w:ascii="Times New Roman" w:hAnsi="Times New Roman" w:cs="Times New Roman" w:eastAsia="Times New Roman" w:hint="default"/>
        </w:rPr>
        <w:t>9</w:t>
      </w:r>
      <w:r>
        <w:rPr/>
        <w:t>月出生，</w:t>
      </w:r>
      <w:r>
        <w:rPr>
          <w:rFonts w:ascii="Times New Roman" w:hAnsi="Times New Roman" w:cs="Times New Roman" w:eastAsia="Times New Roman" w:hint="default"/>
        </w:rPr>
        <w:t>2006</w:t>
      </w:r>
      <w:r>
        <w:rPr/>
        <w:t>年</w:t>
      </w:r>
      <w:r>
        <w:rPr>
          <w:rFonts w:ascii="Times New Roman" w:hAnsi="Times New Roman" w:cs="Times New Roman" w:eastAsia="Times New Roman" w:hint="default"/>
        </w:rPr>
        <w:t>7</w:t>
      </w:r>
      <w:r>
        <w:rPr/>
        <w:t>月毕业于河南农业大学英语专业，获文学学士学位。</w:t>
      </w:r>
      <w:r>
        <w:rPr>
          <w:rFonts w:ascii="Times New Roman" w:hAnsi="Times New Roman" w:cs="Times New Roman" w:eastAsia="Times New Roman" w:hint="default"/>
        </w:rPr>
        <w:t>2007</w:t>
      </w:r>
      <w:r>
        <w:rPr/>
        <w:t>年</w:t>
      </w:r>
    </w:p>
    <w:p>
      <w:pPr>
        <w:pStyle w:val="BodyText"/>
        <w:spacing w:line="420" w:lineRule="auto" w:before="177"/>
        <w:ind w:left="577" w:right="0" w:hanging="424"/>
        <w:jc w:val="left"/>
      </w:pPr>
      <w:r>
        <w:rPr>
          <w:rFonts w:ascii="Times New Roman" w:hAnsi="Times New Roman" w:cs="Times New Roman" w:eastAsia="Times New Roman" w:hint="default"/>
        </w:rPr>
        <w:t>3</w:t>
      </w:r>
      <w:r>
        <w:rPr/>
        <w:t>月进入公司工作，历任公司研发中心</w:t>
      </w:r>
      <w:r>
        <w:rPr>
          <w:rFonts w:ascii="Times New Roman" w:hAnsi="Times New Roman" w:cs="Times New Roman" w:eastAsia="Times New Roman" w:hint="default"/>
        </w:rPr>
        <w:t>QA</w:t>
      </w:r>
      <w:r>
        <w:rPr/>
        <w:t>、人力资源部经理等职务，现任公司副总经理兼证券事务代表。</w:t>
      </w:r>
      <w:r>
        <w:rPr>
          <w:spacing w:val="-25"/>
        </w:rPr>
        <w:t> </w:t>
      </w:r>
      <w:r>
        <w:rPr>
          <w:spacing w:val="-25"/>
        </w:rPr>
      </w:r>
      <w:r>
        <w:rPr>
          <w:spacing w:val="-4"/>
        </w:rPr>
        <w:t>赵璇，女，</w:t>
      </w:r>
      <w:r>
        <w:rPr>
          <w:rFonts w:ascii="Times New Roman" w:hAnsi="Times New Roman" w:cs="Times New Roman" w:eastAsia="Times New Roman" w:hint="default"/>
          <w:spacing w:val="-4"/>
        </w:rPr>
        <w:t>1986</w:t>
      </w:r>
      <w:r>
        <w:rPr>
          <w:rFonts w:ascii="Times New Roman" w:hAnsi="Times New Roman" w:cs="Times New Roman" w:eastAsia="Times New Roman" w:hint="default"/>
          <w:spacing w:val="-14"/>
        </w:rPr>
        <w:t> </w:t>
      </w:r>
      <w:r>
        <w:rPr/>
        <w:t>年</w:t>
      </w:r>
      <w:r>
        <w:rPr>
          <w:spacing w:val="-58"/>
        </w:rPr>
        <w:t> </w:t>
      </w:r>
      <w:r>
        <w:rPr>
          <w:rFonts w:ascii="Times New Roman" w:hAnsi="Times New Roman" w:cs="Times New Roman" w:eastAsia="Times New Roman" w:hint="default"/>
        </w:rPr>
        <w:t>10</w:t>
      </w:r>
      <w:r>
        <w:rPr>
          <w:rFonts w:ascii="Times New Roman" w:hAnsi="Times New Roman" w:cs="Times New Roman" w:eastAsia="Times New Roman" w:hint="default"/>
          <w:spacing w:val="-14"/>
        </w:rPr>
        <w:t> </w:t>
      </w:r>
      <w:r>
        <w:rPr/>
        <w:t>月出生，北京工商大学管理学学士学位。</w:t>
      </w:r>
      <w:r>
        <w:rPr>
          <w:rFonts w:ascii="Times New Roman" w:hAnsi="Times New Roman" w:cs="Times New Roman" w:eastAsia="Times New Roman" w:hint="default"/>
        </w:rPr>
        <w:t>2009</w:t>
      </w:r>
      <w:r>
        <w:rPr>
          <w:rFonts w:ascii="Times New Roman" w:hAnsi="Times New Roman" w:cs="Times New Roman" w:eastAsia="Times New Roman" w:hint="default"/>
          <w:spacing w:val="-15"/>
        </w:rPr>
        <w:t> </w:t>
      </w:r>
      <w:r>
        <w:rPr/>
        <w:t>年</w:t>
      </w:r>
      <w:r>
        <w:rPr>
          <w:spacing w:val="-58"/>
        </w:rPr>
        <w:t> </w:t>
      </w:r>
      <w:r>
        <w:rPr>
          <w:rFonts w:ascii="Times New Roman" w:hAnsi="Times New Roman" w:cs="Times New Roman" w:eastAsia="Times New Roman" w:hint="default"/>
        </w:rPr>
        <w:t>6</w:t>
      </w:r>
      <w:r>
        <w:rPr>
          <w:rFonts w:ascii="Times New Roman" w:hAnsi="Times New Roman" w:cs="Times New Roman" w:eastAsia="Times New Roman" w:hint="default"/>
          <w:spacing w:val="-15"/>
        </w:rPr>
        <w:t> </w:t>
      </w:r>
      <w:r>
        <w:rPr/>
        <w:t>月</w:t>
      </w:r>
      <w:r>
        <w:rPr>
          <w:rFonts w:ascii="Times New Roman" w:hAnsi="Times New Roman" w:cs="Times New Roman" w:eastAsia="Times New Roman" w:hint="default"/>
        </w:rPr>
        <w:t>-2011</w:t>
      </w:r>
      <w:r>
        <w:rPr>
          <w:rFonts w:ascii="Times New Roman" w:hAnsi="Times New Roman" w:cs="Times New Roman" w:eastAsia="Times New Roman" w:hint="default"/>
          <w:spacing w:val="-15"/>
        </w:rPr>
        <w:t> </w:t>
      </w:r>
      <w:r>
        <w:rPr/>
        <w:t>年</w:t>
      </w:r>
      <w:r>
        <w:rPr>
          <w:spacing w:val="-58"/>
        </w:rPr>
        <w:t> </w:t>
      </w:r>
      <w:r>
        <w:rPr>
          <w:rFonts w:ascii="Times New Roman" w:hAnsi="Times New Roman" w:cs="Times New Roman" w:eastAsia="Times New Roman" w:hint="default"/>
        </w:rPr>
        <w:t>8</w:t>
      </w:r>
      <w:r>
        <w:rPr>
          <w:rFonts w:ascii="Times New Roman" w:hAnsi="Times New Roman" w:cs="Times New Roman" w:eastAsia="Times New Roman" w:hint="default"/>
          <w:spacing w:val="-16"/>
        </w:rPr>
        <w:t> </w:t>
      </w:r>
      <w:r>
        <w:rPr>
          <w:spacing w:val="-3"/>
        </w:rPr>
        <w:t>月，任职于北京</w:t>
      </w:r>
    </w:p>
    <w:p>
      <w:pPr>
        <w:pStyle w:val="BodyText"/>
        <w:spacing w:line="240" w:lineRule="auto" w:before="1"/>
        <w:ind w:right="0"/>
        <w:jc w:val="left"/>
      </w:pPr>
      <w:r>
        <w:rPr/>
        <w:t>三聚环保新材料股份有限公司董事会办公室，</w:t>
      </w:r>
      <w:r>
        <w:rPr>
          <w:rFonts w:ascii="Times New Roman" w:hAnsi="Times New Roman" w:cs="Times New Roman" w:eastAsia="Times New Roman" w:hint="default"/>
        </w:rPr>
        <w:t>2011</w:t>
      </w:r>
      <w:r>
        <w:rPr>
          <w:rFonts w:ascii="Times New Roman" w:hAnsi="Times New Roman" w:cs="Times New Roman" w:eastAsia="Times New Roman" w:hint="default"/>
          <w:spacing w:val="-17"/>
        </w:rPr>
        <w:t> </w:t>
      </w:r>
      <w:r>
        <w:rPr/>
        <w:t>年</w:t>
      </w:r>
      <w:r>
        <w:rPr>
          <w:spacing w:val="-59"/>
        </w:rPr>
        <w:t> </w:t>
      </w:r>
      <w:r>
        <w:rPr>
          <w:rFonts w:ascii="Times New Roman" w:hAnsi="Times New Roman" w:cs="Times New Roman" w:eastAsia="Times New Roman" w:hint="default"/>
        </w:rPr>
        <w:t>8</w:t>
      </w:r>
      <w:r>
        <w:rPr>
          <w:rFonts w:ascii="Times New Roman" w:hAnsi="Times New Roman" w:cs="Times New Roman" w:eastAsia="Times New Roman" w:hint="default"/>
          <w:spacing w:val="-15"/>
        </w:rPr>
        <w:t> </w:t>
      </w:r>
      <w:r>
        <w:rPr/>
        <w:t>月至</w:t>
      </w:r>
      <w:r>
        <w:rPr>
          <w:spacing w:val="-59"/>
        </w:rPr>
        <w:t> </w:t>
      </w:r>
      <w:r>
        <w:rPr>
          <w:rFonts w:ascii="Times New Roman" w:hAnsi="Times New Roman" w:cs="Times New Roman" w:eastAsia="Times New Roman" w:hint="default"/>
        </w:rPr>
        <w:t>2017</w:t>
      </w:r>
      <w:r>
        <w:rPr>
          <w:rFonts w:ascii="Times New Roman" w:hAnsi="Times New Roman" w:cs="Times New Roman" w:eastAsia="Times New Roman" w:hint="default"/>
          <w:spacing w:val="-15"/>
        </w:rPr>
        <w:t> </w:t>
      </w:r>
      <w:r>
        <w:rPr/>
        <w:t>年</w:t>
      </w:r>
      <w:r>
        <w:rPr>
          <w:spacing w:val="-60"/>
        </w:rPr>
        <w:t> </w:t>
      </w:r>
      <w:r>
        <w:rPr>
          <w:rFonts w:ascii="Times New Roman" w:hAnsi="Times New Roman" w:cs="Times New Roman" w:eastAsia="Times New Roman" w:hint="default"/>
        </w:rPr>
        <w:t>10</w:t>
      </w:r>
      <w:r>
        <w:rPr>
          <w:rFonts w:ascii="Times New Roman" w:hAnsi="Times New Roman" w:cs="Times New Roman" w:eastAsia="Times New Roman" w:hint="default"/>
          <w:spacing w:val="-15"/>
        </w:rPr>
        <w:t> </w:t>
      </w:r>
      <w:r>
        <w:rPr/>
        <w:t>月，历任广西博世科环保科技股份</w:t>
      </w:r>
    </w:p>
    <w:p>
      <w:pPr>
        <w:pStyle w:val="BodyText"/>
        <w:spacing w:line="240" w:lineRule="auto" w:before="177"/>
        <w:ind w:right="0"/>
        <w:jc w:val="left"/>
      </w:pPr>
      <w:r>
        <w:rPr/>
        <w:t>有限公司证券事务代表、董事长助理、副总经理及董事会秘书。赵璇女士于</w:t>
      </w:r>
      <w:r>
        <w:rPr>
          <w:spacing w:val="-52"/>
        </w:rPr>
        <w:t> </w:t>
      </w:r>
      <w:r>
        <w:rPr>
          <w:rFonts w:ascii="Times New Roman" w:hAnsi="Times New Roman" w:cs="Times New Roman" w:eastAsia="Times New Roman" w:hint="default"/>
        </w:rPr>
        <w:t>2012</w:t>
      </w:r>
      <w:r>
        <w:rPr>
          <w:rFonts w:ascii="Times New Roman" w:hAnsi="Times New Roman" w:cs="Times New Roman" w:eastAsia="Times New Roman" w:hint="default"/>
          <w:spacing w:val="-12"/>
        </w:rPr>
        <w:t> </w:t>
      </w:r>
      <w:r>
        <w:rPr/>
        <w:t>年</w:t>
      </w:r>
      <w:r>
        <w:rPr>
          <w:spacing w:val="-54"/>
        </w:rPr>
        <w:t> </w:t>
      </w:r>
      <w:r>
        <w:rPr>
          <w:rFonts w:ascii="Times New Roman" w:hAnsi="Times New Roman" w:cs="Times New Roman" w:eastAsia="Times New Roman" w:hint="default"/>
        </w:rPr>
        <w:t>10</w:t>
      </w:r>
      <w:r>
        <w:rPr>
          <w:rFonts w:ascii="Times New Roman" w:hAnsi="Times New Roman" w:cs="Times New Roman" w:eastAsia="Times New Roman" w:hint="default"/>
          <w:spacing w:val="-11"/>
        </w:rPr>
        <w:t> </w:t>
      </w:r>
      <w:r>
        <w:rPr/>
        <w:t>月获深圳证券交易</w:t>
      </w:r>
    </w:p>
    <w:p>
      <w:pPr>
        <w:pStyle w:val="BodyText"/>
        <w:spacing w:line="240" w:lineRule="auto" w:before="177"/>
        <w:ind w:right="0"/>
        <w:jc w:val="left"/>
      </w:pPr>
      <w:r>
        <w:rPr/>
        <w:t>所颁发的董事会秘书资格证书并分别于</w:t>
      </w:r>
      <w:r>
        <w:rPr>
          <w:spacing w:val="-62"/>
        </w:rPr>
        <w:t> </w:t>
      </w:r>
      <w:r>
        <w:rPr>
          <w:rFonts w:ascii="Times New Roman" w:hAnsi="Times New Roman" w:cs="Times New Roman" w:eastAsia="Times New Roman" w:hint="default"/>
        </w:rPr>
        <w:t>2014</w:t>
      </w:r>
      <w:r>
        <w:rPr>
          <w:rFonts w:ascii="Times New Roman" w:hAnsi="Times New Roman" w:cs="Times New Roman" w:eastAsia="Times New Roman" w:hint="default"/>
          <w:spacing w:val="-14"/>
        </w:rPr>
        <w:t> </w:t>
      </w:r>
      <w:r>
        <w:rPr/>
        <w:t>年</w:t>
      </w:r>
      <w:r>
        <w:rPr>
          <w:spacing w:val="-63"/>
        </w:rPr>
        <w:t> </w:t>
      </w:r>
      <w:r>
        <w:rPr>
          <w:rFonts w:ascii="Times New Roman" w:hAnsi="Times New Roman" w:cs="Times New Roman" w:eastAsia="Times New Roman" w:hint="default"/>
        </w:rPr>
        <w:t>12</w:t>
      </w:r>
      <w:r>
        <w:rPr>
          <w:rFonts w:ascii="Times New Roman" w:hAnsi="Times New Roman" w:cs="Times New Roman" w:eastAsia="Times New Roman" w:hint="default"/>
          <w:spacing w:val="-15"/>
        </w:rPr>
        <w:t> </w:t>
      </w:r>
      <w:r>
        <w:rPr/>
        <w:t>月</w:t>
      </w:r>
      <w:r>
        <w:rPr>
          <w:spacing w:val="-106"/>
        </w:rPr>
        <w:t>、</w:t>
      </w:r>
      <w:r>
        <w:rPr>
          <w:rFonts w:ascii="Times New Roman" w:hAnsi="Times New Roman" w:cs="Times New Roman" w:eastAsia="Times New Roman" w:hint="default"/>
        </w:rPr>
        <w:t>2016</w:t>
      </w:r>
      <w:r>
        <w:rPr>
          <w:rFonts w:ascii="Times New Roman" w:hAnsi="Times New Roman" w:cs="Times New Roman" w:eastAsia="Times New Roman" w:hint="default"/>
          <w:spacing w:val="-16"/>
        </w:rPr>
        <w:t> </w:t>
      </w:r>
      <w:r>
        <w:rPr/>
        <w:t>年</w:t>
      </w:r>
      <w:r>
        <w:rPr>
          <w:spacing w:val="-62"/>
        </w:rPr>
        <w:t> </w:t>
      </w:r>
      <w:r>
        <w:rPr>
          <w:rFonts w:ascii="Times New Roman" w:hAnsi="Times New Roman" w:cs="Times New Roman" w:eastAsia="Times New Roman" w:hint="default"/>
        </w:rPr>
        <w:t>8</w:t>
      </w:r>
      <w:r>
        <w:rPr>
          <w:rFonts w:ascii="Times New Roman" w:hAnsi="Times New Roman" w:cs="Times New Roman" w:eastAsia="Times New Roman" w:hint="default"/>
          <w:spacing w:val="-15"/>
        </w:rPr>
        <w:t> </w:t>
      </w:r>
      <w:r>
        <w:rPr/>
        <w:t>月</w:t>
      </w:r>
      <w:r>
        <w:rPr>
          <w:spacing w:val="-105"/>
        </w:rPr>
        <w:t>、</w:t>
      </w:r>
      <w:r>
        <w:rPr>
          <w:rFonts w:ascii="Times New Roman" w:hAnsi="Times New Roman" w:cs="Times New Roman" w:eastAsia="Times New Roman" w:hint="default"/>
        </w:rPr>
        <w:t>2017</w:t>
      </w:r>
      <w:r>
        <w:rPr>
          <w:rFonts w:ascii="Times New Roman" w:hAnsi="Times New Roman" w:cs="Times New Roman" w:eastAsia="Times New Roman" w:hint="default"/>
          <w:spacing w:val="-16"/>
        </w:rPr>
        <w:t> </w:t>
      </w:r>
      <w:r>
        <w:rPr/>
        <w:t>年</w:t>
      </w:r>
      <w:r>
        <w:rPr>
          <w:spacing w:val="-62"/>
        </w:rPr>
        <w:t> </w:t>
      </w:r>
      <w:r>
        <w:rPr>
          <w:rFonts w:ascii="Times New Roman" w:hAnsi="Times New Roman" w:cs="Times New Roman" w:eastAsia="Times New Roman" w:hint="default"/>
        </w:rPr>
        <w:t>9</w:t>
      </w:r>
      <w:r>
        <w:rPr>
          <w:rFonts w:ascii="Times New Roman" w:hAnsi="Times New Roman" w:cs="Times New Roman" w:eastAsia="Times New Roman" w:hint="default"/>
          <w:spacing w:val="-15"/>
        </w:rPr>
        <w:t> </w:t>
      </w:r>
      <w:r>
        <w:rPr/>
        <w:t>月参加董事会秘书后续培训。</w:t>
      </w:r>
    </w:p>
    <w:p>
      <w:pPr>
        <w:pStyle w:val="BodyText"/>
        <w:spacing w:line="240" w:lineRule="auto" w:before="178"/>
        <w:ind w:right="1117"/>
        <w:jc w:val="left"/>
      </w:pPr>
      <w:r>
        <w:rPr>
          <w:rFonts w:ascii="Times New Roman" w:hAnsi="Times New Roman" w:cs="Times New Roman" w:eastAsia="Times New Roman" w:hint="default"/>
        </w:rPr>
        <w:t>2018</w:t>
      </w:r>
      <w:r>
        <w:rPr>
          <w:rFonts w:ascii="Times New Roman" w:hAnsi="Times New Roman" w:cs="Times New Roman" w:eastAsia="Times New Roman" w:hint="default"/>
          <w:spacing w:val="-11"/>
        </w:rPr>
        <w:t> </w:t>
      </w:r>
      <w:r>
        <w:rPr/>
        <w:t>年</w:t>
      </w:r>
      <w:r>
        <w:rPr>
          <w:spacing w:val="-54"/>
        </w:rPr>
        <w:t> </w:t>
      </w:r>
      <w:r>
        <w:rPr>
          <w:rFonts w:ascii="Times New Roman" w:hAnsi="Times New Roman" w:cs="Times New Roman" w:eastAsia="Times New Roman" w:hint="default"/>
        </w:rPr>
        <w:t>8</w:t>
      </w:r>
      <w:r>
        <w:rPr>
          <w:rFonts w:ascii="Times New Roman" w:hAnsi="Times New Roman" w:cs="Times New Roman" w:eastAsia="Times New Roman" w:hint="default"/>
          <w:spacing w:val="-11"/>
        </w:rPr>
        <w:t> </w:t>
      </w:r>
      <w:r>
        <w:rPr/>
        <w:t>月起任公司副总经理、董事会秘书。</w:t>
      </w:r>
    </w:p>
    <w:p>
      <w:pPr>
        <w:spacing w:before="165"/>
        <w:ind w:left="154" w:right="1117" w:firstLine="0"/>
        <w:jc w:val="left"/>
        <w:rPr>
          <w:rFonts w:ascii="宋体" w:hAnsi="宋体" w:cs="宋体" w:eastAsia="宋体" w:hint="default"/>
          <w:sz w:val="18"/>
          <w:szCs w:val="18"/>
        </w:rPr>
      </w:pPr>
      <w:r>
        <w:rPr>
          <w:rFonts w:ascii="宋体" w:hAnsi="宋体" w:cs="宋体" w:eastAsia="宋体" w:hint="default"/>
          <w:sz w:val="18"/>
          <w:szCs w:val="18"/>
        </w:rPr>
        <w:t>在股东单位任职情况</w:t>
      </w:r>
    </w:p>
    <w:p>
      <w:pPr>
        <w:spacing w:line="338" w:lineRule="auto" w:before="116"/>
        <w:ind w:left="154" w:right="913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适用</w:t>
      </w:r>
      <w:r>
        <w:rPr>
          <w:rFonts w:ascii="Times New Roman" w:hAnsi="Times New Roman" w:cs="Times New Roman" w:eastAsia="Times New Roman" w:hint="default"/>
          <w:sz w:val="18"/>
          <w:szCs w:val="18"/>
        </w:rPr>
        <w:t>√</w:t>
      </w:r>
      <w:r>
        <w:rPr>
          <w:rFonts w:ascii="宋体" w:hAnsi="宋体" w:cs="宋体" w:eastAsia="宋体" w:hint="default"/>
          <w:sz w:val="18"/>
          <w:szCs w:val="18"/>
        </w:rPr>
        <w:t>不适用 在其他单位任职情况</w:t>
      </w:r>
    </w:p>
    <w:p>
      <w:pPr>
        <w:spacing w:before="43"/>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适用</w:t>
      </w:r>
      <w:r>
        <w:rPr>
          <w:rFonts w:ascii="Times New Roman" w:hAnsi="Times New Roman" w:cs="Times New Roman" w:eastAsia="Times New Roman" w:hint="default"/>
          <w:sz w:val="18"/>
          <w:szCs w:val="18"/>
        </w:rPr>
        <w:t>□</w:t>
      </w:r>
      <w:r>
        <w:rPr>
          <w:rFonts w:ascii="宋体" w:hAnsi="宋体" w:cs="宋体" w:eastAsia="宋体" w:hint="default"/>
          <w:sz w:val="18"/>
          <w:szCs w:val="18"/>
        </w:rPr>
        <w:t>不适用</w:t>
      </w:r>
    </w:p>
    <w:p>
      <w:pPr>
        <w:spacing w:line="240" w:lineRule="auto" w:before="12"/>
        <w:rPr>
          <w:rFonts w:ascii="宋体" w:hAnsi="宋体" w:cs="宋体" w:eastAsia="宋体" w:hint="default"/>
          <w:sz w:val="6"/>
          <w:szCs w:val="6"/>
        </w:rPr>
      </w:pPr>
    </w:p>
    <w:tbl>
      <w:tblPr>
        <w:tblW w:w="0" w:type="auto"/>
        <w:jc w:val="left"/>
        <w:tblInd w:w="149" w:type="dxa"/>
        <w:tblLayout w:type="fixed"/>
        <w:tblCellMar>
          <w:top w:w="0" w:type="dxa"/>
          <w:left w:w="0" w:type="dxa"/>
          <w:bottom w:w="0" w:type="dxa"/>
          <w:right w:w="0" w:type="dxa"/>
        </w:tblCellMar>
        <w:tblLook w:val="01E0"/>
      </w:tblPr>
      <w:tblGrid>
        <w:gridCol w:w="1202"/>
        <w:gridCol w:w="3190"/>
        <w:gridCol w:w="1063"/>
        <w:gridCol w:w="1196"/>
        <w:gridCol w:w="1324"/>
        <w:gridCol w:w="1594"/>
      </w:tblGrid>
      <w:tr>
        <w:trPr>
          <w:trHeight w:val="714" w:hRule="exact"/>
        </w:trPr>
        <w:tc>
          <w:tcPr>
            <w:tcW w:w="1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5" w:right="0"/>
              <w:jc w:val="left"/>
              <w:rPr>
                <w:rFonts w:ascii="宋体" w:hAnsi="宋体" w:cs="宋体" w:eastAsia="宋体" w:hint="default"/>
                <w:sz w:val="18"/>
                <w:szCs w:val="18"/>
              </w:rPr>
            </w:pPr>
            <w:r>
              <w:rPr>
                <w:rFonts w:ascii="宋体" w:hAnsi="宋体" w:cs="宋体" w:eastAsia="宋体" w:hint="default"/>
                <w:sz w:val="18"/>
                <w:szCs w:val="18"/>
              </w:rPr>
              <w:t>任职人员姓名</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50" w:right="0"/>
              <w:jc w:val="left"/>
              <w:rPr>
                <w:rFonts w:ascii="宋体" w:hAnsi="宋体" w:cs="宋体" w:eastAsia="宋体" w:hint="default"/>
                <w:sz w:val="18"/>
                <w:szCs w:val="18"/>
              </w:rPr>
            </w:pPr>
            <w:r>
              <w:rPr>
                <w:rFonts w:ascii="宋体" w:hAnsi="宋体" w:cs="宋体" w:eastAsia="宋体" w:hint="default"/>
                <w:sz w:val="18"/>
                <w:szCs w:val="18"/>
              </w:rPr>
              <w:t>其他单位名称</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75" w:right="77"/>
              <w:jc w:val="left"/>
              <w:rPr>
                <w:rFonts w:ascii="宋体" w:hAnsi="宋体" w:cs="宋体" w:eastAsia="宋体" w:hint="default"/>
                <w:sz w:val="18"/>
                <w:szCs w:val="18"/>
              </w:rPr>
            </w:pPr>
            <w:r>
              <w:rPr>
                <w:rFonts w:ascii="宋体" w:hAnsi="宋体" w:cs="宋体" w:eastAsia="宋体" w:hint="default"/>
                <w:sz w:val="18"/>
                <w:szCs w:val="18"/>
              </w:rPr>
              <w:t>在其他单位 担任的职务</w:t>
            </w: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2" w:right="0"/>
              <w:jc w:val="left"/>
              <w:rPr>
                <w:rFonts w:ascii="宋体" w:hAnsi="宋体" w:cs="宋体" w:eastAsia="宋体" w:hint="default"/>
                <w:sz w:val="18"/>
                <w:szCs w:val="18"/>
              </w:rPr>
            </w:pPr>
            <w:r>
              <w:rPr>
                <w:rFonts w:ascii="宋体" w:hAnsi="宋体" w:cs="宋体" w:eastAsia="宋体" w:hint="default"/>
                <w:sz w:val="18"/>
                <w:szCs w:val="18"/>
              </w:rPr>
              <w:t>任期起始日期</w:t>
            </w:r>
          </w:p>
        </w:tc>
        <w:tc>
          <w:tcPr>
            <w:tcW w:w="1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16" w:right="0"/>
              <w:jc w:val="left"/>
              <w:rPr>
                <w:rFonts w:ascii="宋体" w:hAnsi="宋体" w:cs="宋体" w:eastAsia="宋体" w:hint="default"/>
                <w:sz w:val="18"/>
                <w:szCs w:val="18"/>
              </w:rPr>
            </w:pPr>
            <w:r>
              <w:rPr>
                <w:rFonts w:ascii="宋体" w:hAnsi="宋体" w:cs="宋体" w:eastAsia="宋体" w:hint="default"/>
                <w:sz w:val="18"/>
                <w:szCs w:val="18"/>
              </w:rPr>
              <w:t>任期终止日期</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342" w:right="71" w:hanging="270"/>
              <w:jc w:val="left"/>
              <w:rPr>
                <w:rFonts w:ascii="宋体" w:hAnsi="宋体" w:cs="宋体" w:eastAsia="宋体" w:hint="default"/>
                <w:sz w:val="18"/>
                <w:szCs w:val="18"/>
              </w:rPr>
            </w:pPr>
            <w:r>
              <w:rPr>
                <w:rFonts w:ascii="宋体" w:hAnsi="宋体" w:cs="宋体" w:eastAsia="宋体" w:hint="default"/>
                <w:sz w:val="18"/>
                <w:szCs w:val="18"/>
              </w:rPr>
              <w:t>在其他单位是否领 取报酬津贴</w:t>
            </w:r>
          </w:p>
        </w:tc>
      </w:tr>
      <w:tr>
        <w:trPr>
          <w:trHeight w:val="714"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杨维国</w:t>
            </w:r>
          </w:p>
        </w:tc>
        <w:tc>
          <w:tcPr>
            <w:tcW w:w="3190" w:type="dxa"/>
            <w:tcBorders>
              <w:top w:val="single" w:sz="4" w:space="0" w:color="000000"/>
              <w:left w:val="single" w:sz="4" w:space="0" w:color="000000"/>
              <w:bottom w:val="single" w:sz="4" w:space="0" w:color="000000"/>
              <w:right w:val="single" w:sz="13" w:space="0" w:color="FFFFFF"/>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44"/>
              <w:jc w:val="left"/>
              <w:rPr>
                <w:rFonts w:ascii="宋体" w:hAnsi="宋体" w:cs="宋体" w:eastAsia="宋体" w:hint="default"/>
                <w:sz w:val="18"/>
                <w:szCs w:val="18"/>
              </w:rPr>
            </w:pPr>
            <w:r>
              <w:rPr>
                <w:rFonts w:ascii="宋体" w:hAnsi="宋体" w:cs="宋体" w:eastAsia="宋体" w:hint="default"/>
                <w:spacing w:val="-3"/>
                <w:sz w:val="18"/>
                <w:szCs w:val="18"/>
              </w:rPr>
              <w:t>郑州佳辰企业管理咨询中心（有限合伙）</w:t>
            </w:r>
            <w:r>
              <w:rPr>
                <w:rFonts w:ascii="宋体" w:hAnsi="宋体" w:cs="宋体" w:eastAsia="宋体" w:hint="default"/>
                <w:sz w:val="18"/>
                <w:szCs w:val="18"/>
              </w:rPr>
            </w:r>
          </w:p>
        </w:tc>
        <w:tc>
          <w:tcPr>
            <w:tcW w:w="1063" w:type="dxa"/>
            <w:tcBorders>
              <w:top w:val="single" w:sz="4" w:space="0" w:color="000000"/>
              <w:left w:val="single" w:sz="13" w:space="0" w:color="FFFFFF"/>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1" w:right="0"/>
              <w:jc w:val="left"/>
              <w:rPr>
                <w:rFonts w:ascii="宋体" w:hAnsi="宋体" w:cs="宋体" w:eastAsia="宋体" w:hint="default"/>
                <w:sz w:val="18"/>
                <w:szCs w:val="18"/>
              </w:rPr>
            </w:pPr>
            <w:r>
              <w:rPr>
                <w:rFonts w:ascii="宋体" w:hAnsi="宋体" w:cs="宋体" w:eastAsia="宋体" w:hint="default"/>
                <w:sz w:val="18"/>
                <w:szCs w:val="18"/>
              </w:rPr>
              <w:t>普通合伙人</w:t>
            </w:r>
          </w:p>
          <w:p>
            <w:pPr>
              <w:pStyle w:val="TableParagraph"/>
              <w:spacing w:line="240" w:lineRule="auto" w:before="12"/>
              <w:ind w:right="0"/>
              <w:jc w:val="left"/>
              <w:rPr>
                <w:rFonts w:ascii="宋体" w:hAnsi="宋体" w:cs="宋体" w:eastAsia="宋体" w:hint="default"/>
                <w:sz w:val="11"/>
                <w:szCs w:val="11"/>
              </w:rPr>
            </w:pPr>
          </w:p>
          <w:p>
            <w:pPr>
              <w:pStyle w:val="TableParagraph"/>
              <w:spacing w:line="392" w:lineRule="exact"/>
              <w:ind w:left="11" w:right="-28"/>
              <w:jc w:val="left"/>
              <w:rPr>
                <w:rFonts w:ascii="宋体" w:hAnsi="宋体" w:cs="宋体" w:eastAsia="宋体" w:hint="default"/>
                <w:sz w:val="20"/>
                <w:szCs w:val="20"/>
              </w:rPr>
            </w:pPr>
            <w:r>
              <w:rPr>
                <w:rFonts w:ascii="宋体" w:hAnsi="宋体" w:cs="宋体" w:eastAsia="宋体" w:hint="default"/>
                <w:position w:val="-7"/>
                <w:sz w:val="20"/>
                <w:szCs w:val="20"/>
              </w:rPr>
              <w:pict>
                <v:group style="width:50.4pt;height:19.650pt;mso-position-horizontal-relative:char;mso-position-vertical-relative:line" coordorigin="0,0" coordsize="1008,393">
                  <v:group style="position:absolute;left:0;top:0;width:1008;height:393" coordorigin="0,0" coordsize="1008,393">
                    <v:shape style="position:absolute;left:0;top:0;width:1008;height:393" coordorigin="0,0" coordsize="1008,393" path="m0,392l1008,392,1008,0,0,0,0,392xe" filled="true" fillcolor="#ffffff" stroked="false">
                      <v:path arrowok="t"/>
                      <v:fill type="solid"/>
                    </v:shape>
                  </v:group>
                </v:group>
              </w:pict>
            </w:r>
            <w:r>
              <w:rPr>
                <w:rFonts w:ascii="宋体" w:hAnsi="宋体" w:cs="宋体" w:eastAsia="宋体" w:hint="default"/>
                <w:position w:val="-7"/>
                <w:sz w:val="20"/>
                <w:szCs w:val="20"/>
              </w:rPr>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4"/>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2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杨维国</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漫时尚品（北京）电子商务有限公司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4"/>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2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spacing w:after="0" w:line="240" w:lineRule="auto"/>
        <w:jc w:val="left"/>
        <w:rPr>
          <w:rFonts w:ascii="宋体" w:hAnsi="宋体" w:cs="宋体" w:eastAsia="宋体" w:hint="default"/>
          <w:sz w:val="18"/>
          <w:szCs w:val="18"/>
        </w:rPr>
        <w:sectPr>
          <w:pgSz w:w="11910" w:h="16840"/>
          <w:pgMar w:header="87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202"/>
        <w:gridCol w:w="3190"/>
        <w:gridCol w:w="1063"/>
        <w:gridCol w:w="1196"/>
        <w:gridCol w:w="1324"/>
        <w:gridCol w:w="1594"/>
      </w:tblGrid>
      <w:tr>
        <w:trPr>
          <w:trHeight w:val="714"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杨维国</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北京迪科远望科技有限公司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4"/>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2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杨维国</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上海树维信息科技有限公司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4"/>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2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付秋生</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福建新开普信息科技有限公司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4"/>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2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4"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付秋生</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北京迪科远望科技有限公司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4"/>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2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付秋生</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上海树维信息科技有限公司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4"/>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2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付秋生</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凯里智慧城市通卡管理有限公司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4"/>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2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尚卫国</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北京新洞察信息服务有限责任公司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4"/>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2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尚卫国</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95"/>
              <w:jc w:val="left"/>
              <w:rPr>
                <w:rFonts w:ascii="宋体" w:hAnsi="宋体" w:cs="宋体" w:eastAsia="宋体" w:hint="default"/>
                <w:sz w:val="18"/>
                <w:szCs w:val="18"/>
              </w:rPr>
            </w:pPr>
            <w:r>
              <w:rPr>
                <w:rFonts w:ascii="宋体" w:hAnsi="宋体" w:cs="宋体" w:eastAsia="宋体" w:hint="default"/>
                <w:sz w:val="18"/>
                <w:szCs w:val="18"/>
              </w:rPr>
              <w:t>河南佳弘信诚企业管理咨询中心（有限 合伙）</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普通合伙人</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4"/>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2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赵利宾</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凯里智慧城市通卡管理有限公司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4"/>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2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司志刚</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郑州市政府第二届专家委员会</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副主任委员</w:t>
            </w:r>
          </w:p>
        </w:tc>
        <w:tc>
          <w:tcPr>
            <w:tcW w:w="1196" w:type="dxa"/>
            <w:tcBorders>
              <w:top w:val="single" w:sz="4" w:space="0" w:color="000000"/>
              <w:left w:val="single" w:sz="4" w:space="0" w:color="000000"/>
              <w:bottom w:val="single" w:sz="4" w:space="0" w:color="000000"/>
              <w:right w:val="single" w:sz="4" w:space="0" w:color="000000"/>
            </w:tcBorders>
          </w:tcPr>
          <w:p>
            <w:pPr/>
          </w:p>
        </w:tc>
        <w:tc>
          <w:tcPr>
            <w:tcW w:w="132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司志刚</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郑州市信息化促进会专家委员会</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副主任委员</w:t>
            </w:r>
          </w:p>
        </w:tc>
        <w:tc>
          <w:tcPr>
            <w:tcW w:w="1196" w:type="dxa"/>
            <w:tcBorders>
              <w:top w:val="single" w:sz="4" w:space="0" w:color="000000"/>
              <w:left w:val="single" w:sz="4" w:space="0" w:color="000000"/>
              <w:bottom w:val="single" w:sz="4" w:space="0" w:color="000000"/>
              <w:right w:val="single" w:sz="4" w:space="0" w:color="000000"/>
            </w:tcBorders>
          </w:tcPr>
          <w:p>
            <w:pPr/>
          </w:p>
        </w:tc>
        <w:tc>
          <w:tcPr>
            <w:tcW w:w="132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傅常顺</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北京乐智科技有限公司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4"/>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2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傅常顺</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成都兰途网络科技有限公司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4"/>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2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傅常顺</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北京希嘉创智教育科技有限公司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196" w:type="dxa"/>
            <w:tcBorders>
              <w:top w:val="single" w:sz="4" w:space="0" w:color="000000"/>
              <w:left w:val="single" w:sz="4" w:space="0" w:color="000000"/>
              <w:bottom w:val="single" w:sz="4" w:space="0" w:color="000000"/>
              <w:right w:val="single" w:sz="4" w:space="0" w:color="000000"/>
            </w:tcBorders>
          </w:tcPr>
          <w:p>
            <w:pPr/>
          </w:p>
        </w:tc>
        <w:tc>
          <w:tcPr>
            <w:tcW w:w="132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杜建平</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湖南科瑞特科技有限公司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4"/>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2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华梦阳</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河南华夏海纳创业投资集团有限公司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196" w:type="dxa"/>
            <w:tcBorders>
              <w:top w:val="single" w:sz="4" w:space="0" w:color="000000"/>
              <w:left w:val="single" w:sz="4" w:space="0" w:color="000000"/>
              <w:bottom w:val="single" w:sz="4" w:space="0" w:color="000000"/>
              <w:right w:val="single" w:sz="4" w:space="0" w:color="000000"/>
            </w:tcBorders>
          </w:tcPr>
          <w:p>
            <w:pPr/>
          </w:p>
        </w:tc>
        <w:tc>
          <w:tcPr>
            <w:tcW w:w="132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华梦阳</w:t>
            </w:r>
          </w:p>
        </w:tc>
        <w:tc>
          <w:tcPr>
            <w:tcW w:w="3190" w:type="dxa"/>
            <w:tcBorders>
              <w:top w:val="single" w:sz="4" w:space="0" w:color="000000"/>
              <w:left w:val="single" w:sz="4" w:space="0" w:color="000000"/>
              <w:bottom w:val="single" w:sz="4" w:space="0" w:color="000000"/>
              <w:right w:val="single" w:sz="13" w:space="0" w:color="FFFFFF"/>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44"/>
              <w:jc w:val="left"/>
              <w:rPr>
                <w:rFonts w:ascii="宋体" w:hAnsi="宋体" w:cs="宋体" w:eastAsia="宋体" w:hint="default"/>
                <w:sz w:val="18"/>
                <w:szCs w:val="18"/>
              </w:rPr>
            </w:pPr>
            <w:r>
              <w:rPr>
                <w:rFonts w:ascii="宋体" w:hAnsi="宋体" w:cs="宋体" w:eastAsia="宋体" w:hint="default"/>
                <w:spacing w:val="-3"/>
                <w:sz w:val="18"/>
                <w:szCs w:val="18"/>
              </w:rPr>
              <w:t>河南瑞弘企业管理咨询中心（有限合伙）</w:t>
            </w:r>
            <w:r>
              <w:rPr>
                <w:rFonts w:ascii="宋体" w:hAnsi="宋体" w:cs="宋体" w:eastAsia="宋体" w:hint="default"/>
                <w:sz w:val="18"/>
                <w:szCs w:val="18"/>
              </w:rPr>
            </w:r>
          </w:p>
        </w:tc>
        <w:tc>
          <w:tcPr>
            <w:tcW w:w="1063" w:type="dxa"/>
            <w:tcBorders>
              <w:top w:val="single" w:sz="4" w:space="0" w:color="000000"/>
              <w:left w:val="single" w:sz="13" w:space="0" w:color="FFFFFF"/>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1" w:right="0"/>
              <w:jc w:val="left"/>
              <w:rPr>
                <w:rFonts w:ascii="宋体" w:hAnsi="宋体" w:cs="宋体" w:eastAsia="宋体" w:hint="default"/>
                <w:sz w:val="18"/>
                <w:szCs w:val="18"/>
              </w:rPr>
            </w:pPr>
            <w:r>
              <w:rPr>
                <w:rFonts w:ascii="宋体" w:hAnsi="宋体" w:cs="宋体" w:eastAsia="宋体" w:hint="default"/>
                <w:sz w:val="18"/>
                <w:szCs w:val="18"/>
              </w:rPr>
              <w:t>普通合伙人</w:t>
            </w:r>
          </w:p>
          <w:p>
            <w:pPr>
              <w:pStyle w:val="TableParagraph"/>
              <w:spacing w:line="240" w:lineRule="auto" w:before="7"/>
              <w:ind w:right="0"/>
              <w:jc w:val="left"/>
              <w:rPr>
                <w:rFonts w:ascii="Times New Roman" w:hAnsi="Times New Roman" w:cs="Times New Roman" w:eastAsia="Times New Roman" w:hint="default"/>
                <w:sz w:val="13"/>
                <w:szCs w:val="13"/>
              </w:rPr>
            </w:pPr>
          </w:p>
          <w:p>
            <w:pPr>
              <w:pStyle w:val="TableParagraph"/>
              <w:spacing w:line="392" w:lineRule="exact"/>
              <w:ind w:left="11" w:right="-28"/>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7"/>
                <w:sz w:val="20"/>
                <w:szCs w:val="20"/>
              </w:rPr>
              <w:pict>
                <v:group style="width:50.4pt;height:19.650pt;mso-position-horizontal-relative:char;mso-position-vertical-relative:line" coordorigin="0,0" coordsize="1008,393">
                  <v:group style="position:absolute;left:0;top:0;width:1008;height:393" coordorigin="0,0" coordsize="1008,393">
                    <v:shape style="position:absolute;left:0;top:0;width:1008;height:393" coordorigin="0,0" coordsize="1008,393" path="m0,392l1008,392,1008,0,0,0,0,392xe" filled="true" fillcolor="#ffffff" stroked="false">
                      <v:path arrowok="t"/>
                      <v:fill type="solid"/>
                    </v:shape>
                  </v:group>
                </v:group>
              </w:pict>
            </w:r>
            <w:r>
              <w:rPr>
                <w:rFonts w:ascii="Times New Roman" w:hAnsi="Times New Roman" w:cs="Times New Roman" w:eastAsia="Times New Roman" w:hint="default"/>
                <w:position w:val="-7"/>
                <w:sz w:val="20"/>
                <w:szCs w:val="20"/>
              </w:rPr>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4"/>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2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华梦阳</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完美数联（北京）科技有限公司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4"/>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02</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李玉玲</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福建新开普信息科技有限公司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4"/>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2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4"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刘永春</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北京迪科远望科技有限公司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副董事长</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4"/>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2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王玉辉</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郑州大学</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教授</w:t>
            </w:r>
          </w:p>
        </w:tc>
        <w:tc>
          <w:tcPr>
            <w:tcW w:w="1196" w:type="dxa"/>
            <w:tcBorders>
              <w:top w:val="single" w:sz="4" w:space="0" w:color="000000"/>
              <w:left w:val="single" w:sz="4" w:space="0" w:color="000000"/>
              <w:bottom w:val="single" w:sz="4" w:space="0" w:color="000000"/>
              <w:right w:val="single" w:sz="4" w:space="0" w:color="000000"/>
            </w:tcBorders>
          </w:tcPr>
          <w:p>
            <w:pPr/>
          </w:p>
        </w:tc>
        <w:tc>
          <w:tcPr>
            <w:tcW w:w="132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王玉辉</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中国经济法学会</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理事</w:t>
            </w:r>
          </w:p>
        </w:tc>
        <w:tc>
          <w:tcPr>
            <w:tcW w:w="1196" w:type="dxa"/>
            <w:tcBorders>
              <w:top w:val="single" w:sz="4" w:space="0" w:color="000000"/>
              <w:left w:val="single" w:sz="4" w:space="0" w:color="000000"/>
              <w:bottom w:val="single" w:sz="4" w:space="0" w:color="000000"/>
              <w:right w:val="single" w:sz="4" w:space="0" w:color="000000"/>
            </w:tcBorders>
          </w:tcPr>
          <w:p>
            <w:pPr/>
          </w:p>
        </w:tc>
        <w:tc>
          <w:tcPr>
            <w:tcW w:w="132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spacing w:after="0" w:line="240" w:lineRule="auto"/>
        <w:jc w:val="left"/>
        <w:rPr>
          <w:rFonts w:ascii="宋体" w:hAnsi="宋体" w:cs="宋体" w:eastAsia="宋体" w:hint="default"/>
          <w:sz w:val="18"/>
          <w:szCs w:val="18"/>
        </w:rPr>
        <w:sectPr>
          <w:pgSz w:w="11910" w:h="16840"/>
          <w:pgMar w:header="87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202"/>
        <w:gridCol w:w="3190"/>
        <w:gridCol w:w="1063"/>
        <w:gridCol w:w="1196"/>
        <w:gridCol w:w="1324"/>
        <w:gridCol w:w="1594"/>
      </w:tblGrid>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张英瑶</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河南省软件协会</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秘书长</w:t>
            </w:r>
          </w:p>
        </w:tc>
        <w:tc>
          <w:tcPr>
            <w:tcW w:w="1196" w:type="dxa"/>
            <w:tcBorders>
              <w:top w:val="single" w:sz="4" w:space="0" w:color="000000"/>
              <w:left w:val="single" w:sz="4" w:space="0" w:color="000000"/>
              <w:bottom w:val="single" w:sz="4" w:space="0" w:color="000000"/>
              <w:right w:val="single" w:sz="4" w:space="0" w:color="000000"/>
            </w:tcBorders>
          </w:tcPr>
          <w:p>
            <w:pPr/>
          </w:p>
        </w:tc>
        <w:tc>
          <w:tcPr>
            <w:tcW w:w="132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4"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毕会静</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95"/>
              <w:jc w:val="left"/>
              <w:rPr>
                <w:rFonts w:ascii="宋体" w:hAnsi="宋体" w:cs="宋体" w:eastAsia="宋体" w:hint="default"/>
                <w:sz w:val="18"/>
                <w:szCs w:val="18"/>
              </w:rPr>
            </w:pPr>
            <w:r>
              <w:rPr>
                <w:rFonts w:ascii="宋体" w:hAnsi="宋体" w:cs="宋体" w:eastAsia="宋体" w:hint="default"/>
                <w:sz w:val="18"/>
                <w:szCs w:val="18"/>
              </w:rPr>
              <w:t>中审华会计师事务所（特殊普通合伙） 河南分所</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所长</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4"/>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2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4"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毕会静</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好想你枣业股份有限公司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4"/>
              <w:ind w:left="22" w:right="0"/>
              <w:jc w:val="left"/>
              <w:rPr>
                <w:rFonts w:ascii="宋体" w:hAnsi="宋体" w:cs="宋体" w:eastAsia="宋体" w:hint="default"/>
                <w:sz w:val="18"/>
                <w:szCs w:val="18"/>
              </w:rPr>
            </w:pPr>
            <w:r>
              <w:rPr>
                <w:rFonts w:ascii="Times New Roman" w:hAnsi="Times New Roman" w:cs="Times New Roman" w:eastAsia="Times New Roman" w:hint="default"/>
                <w:spacing w:val="-4"/>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4"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刘汴生</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河南豫能控股股份有限公司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4"/>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4"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刘汴生</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河南银鸽实业投资股份有限公司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4"/>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16</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4"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何伟</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上海树维信息科技有限公司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22"/>
              <w:jc w:val="left"/>
              <w:rPr>
                <w:rFonts w:ascii="宋体" w:hAnsi="宋体" w:cs="宋体" w:eastAsia="宋体" w:hint="default"/>
                <w:sz w:val="18"/>
                <w:szCs w:val="18"/>
              </w:rPr>
            </w:pPr>
            <w:r>
              <w:rPr>
                <w:rFonts w:ascii="宋体" w:hAnsi="宋体" w:cs="宋体" w:eastAsia="宋体" w:hint="default"/>
                <w:spacing w:val="-13"/>
                <w:sz w:val="18"/>
                <w:szCs w:val="18"/>
              </w:rPr>
              <w:t>董事、法定代</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表人</w:t>
            </w:r>
          </w:p>
        </w:tc>
        <w:tc>
          <w:tcPr>
            <w:tcW w:w="1196" w:type="dxa"/>
            <w:tcBorders>
              <w:top w:val="single" w:sz="4" w:space="0" w:color="000000"/>
              <w:left w:val="single" w:sz="4" w:space="0" w:color="000000"/>
              <w:bottom w:val="single" w:sz="4" w:space="0" w:color="000000"/>
              <w:right w:val="single" w:sz="4" w:space="0" w:color="000000"/>
            </w:tcBorders>
          </w:tcPr>
          <w:p>
            <w:pPr/>
          </w:p>
        </w:tc>
        <w:tc>
          <w:tcPr>
            <w:tcW w:w="132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4"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何伟</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上海皓石资产管理有限公司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22"/>
              <w:jc w:val="left"/>
              <w:rPr>
                <w:rFonts w:ascii="宋体" w:hAnsi="宋体" w:cs="宋体" w:eastAsia="宋体" w:hint="default"/>
                <w:sz w:val="18"/>
                <w:szCs w:val="18"/>
              </w:rPr>
            </w:pPr>
            <w:r>
              <w:rPr>
                <w:rFonts w:ascii="宋体" w:hAnsi="宋体" w:cs="宋体" w:eastAsia="宋体" w:hint="default"/>
                <w:spacing w:val="-13"/>
                <w:sz w:val="18"/>
                <w:szCs w:val="18"/>
              </w:rPr>
              <w:t>董事、法定代</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表人</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4"/>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2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赵鑫</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北京希嘉创智教育科技有限公司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4"/>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2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赵鑫</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上海渲图信息科技有限公司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4"/>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2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赵鑫</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完美数联（北京）科技有限公司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4"/>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2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87"/>
              <w:jc w:val="left"/>
              <w:rPr>
                <w:rFonts w:ascii="宋体" w:hAnsi="宋体" w:cs="宋体" w:eastAsia="宋体" w:hint="default"/>
                <w:sz w:val="18"/>
                <w:szCs w:val="18"/>
              </w:rPr>
            </w:pPr>
            <w:r>
              <w:rPr>
                <w:rFonts w:ascii="宋体" w:hAnsi="宋体" w:cs="宋体" w:eastAsia="宋体" w:hint="default"/>
                <w:sz w:val="18"/>
                <w:szCs w:val="18"/>
              </w:rPr>
              <w:t>在其他单位任 职情况的说明</w:t>
            </w:r>
          </w:p>
        </w:tc>
        <w:tc>
          <w:tcPr>
            <w:tcW w:w="8367"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无</w:t>
            </w:r>
          </w:p>
        </w:tc>
      </w:tr>
    </w:tbl>
    <w:p>
      <w:pPr>
        <w:spacing w:before="51"/>
        <w:ind w:left="154" w:right="1117" w:firstLine="0"/>
        <w:jc w:val="left"/>
        <w:rPr>
          <w:rFonts w:ascii="宋体" w:hAnsi="宋体" w:cs="宋体" w:eastAsia="宋体" w:hint="default"/>
          <w:sz w:val="18"/>
          <w:szCs w:val="18"/>
        </w:rPr>
      </w:pPr>
      <w:r>
        <w:rPr>
          <w:rFonts w:ascii="宋体" w:hAnsi="宋体" w:cs="宋体" w:eastAsia="宋体" w:hint="default"/>
          <w:sz w:val="18"/>
          <w:szCs w:val="18"/>
        </w:rPr>
        <w:t>公司现任及报告期内离任董事、监事和高级管理人员近三年证券监管机构处罚的情况</w:t>
      </w:r>
    </w:p>
    <w:p>
      <w:pPr>
        <w:spacing w:before="117"/>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适用</w:t>
      </w:r>
      <w:r>
        <w:rPr>
          <w:rFonts w:ascii="Times New Roman" w:hAnsi="Times New Roman" w:cs="Times New Roman" w:eastAsia="Times New Roman" w:hint="default"/>
          <w:sz w:val="18"/>
          <w:szCs w:val="18"/>
        </w:rPr>
        <w:t>√</w:t>
      </w:r>
      <w:r>
        <w:rPr>
          <w:rFonts w:ascii="宋体" w:hAnsi="宋体" w:cs="宋体" w:eastAsia="宋体" w:hint="default"/>
          <w:sz w:val="18"/>
          <w:szCs w:val="18"/>
        </w:rPr>
        <w:t>不适用</w:t>
      </w:r>
    </w:p>
    <w:p>
      <w:pPr>
        <w:spacing w:line="240" w:lineRule="auto" w:before="12"/>
        <w:rPr>
          <w:rFonts w:ascii="宋体" w:hAnsi="宋体" w:cs="宋体" w:eastAsia="宋体" w:hint="default"/>
          <w:sz w:val="23"/>
          <w:szCs w:val="23"/>
        </w:rPr>
      </w:pPr>
    </w:p>
    <w:p>
      <w:pPr>
        <w:pStyle w:val="Heading2"/>
        <w:spacing w:line="240" w:lineRule="auto"/>
        <w:ind w:right="1117"/>
        <w:jc w:val="left"/>
        <w:rPr>
          <w:b w:val="0"/>
          <w:bCs w:val="0"/>
        </w:rPr>
      </w:pPr>
      <w:bookmarkStart w:name="四、董事、监事、高级管理人员报酬情况" w:id="128"/>
      <w:bookmarkEnd w:id="128"/>
      <w:r>
        <w:rPr>
          <w:b w:val="0"/>
          <w:bCs w:val="0"/>
        </w:rPr>
      </w:r>
      <w:r>
        <w:rPr/>
        <w:t>四、董事、监事、高级管理人员报酬情况</w:t>
      </w:r>
      <w:r>
        <w:rPr>
          <w:b w:val="0"/>
          <w:bCs w:val="0"/>
        </w:rPr>
      </w:r>
    </w:p>
    <w:p>
      <w:pPr>
        <w:spacing w:line="240" w:lineRule="auto" w:before="9"/>
        <w:rPr>
          <w:rFonts w:ascii="宋体" w:hAnsi="宋体" w:cs="宋体" w:eastAsia="宋体" w:hint="default"/>
          <w:b/>
          <w:bCs/>
          <w:sz w:val="26"/>
          <w:szCs w:val="26"/>
        </w:rPr>
      </w:pPr>
    </w:p>
    <w:p>
      <w:pPr>
        <w:spacing w:before="0"/>
        <w:ind w:left="154" w:right="1117" w:firstLine="0"/>
        <w:jc w:val="left"/>
        <w:rPr>
          <w:rFonts w:ascii="宋体" w:hAnsi="宋体" w:cs="宋体" w:eastAsia="宋体" w:hint="default"/>
          <w:sz w:val="18"/>
          <w:szCs w:val="18"/>
        </w:rPr>
      </w:pPr>
      <w:r>
        <w:rPr>
          <w:rFonts w:ascii="宋体" w:hAnsi="宋体" w:cs="宋体" w:eastAsia="宋体" w:hint="default"/>
          <w:sz w:val="18"/>
          <w:szCs w:val="18"/>
        </w:rPr>
        <w:t>董事、监事、高级管理人员报酬的决策程序、确定依据、实际支付情况</w:t>
      </w:r>
    </w:p>
    <w:p>
      <w:pPr>
        <w:spacing w:line="240" w:lineRule="auto" w:before="10"/>
        <w:rPr>
          <w:rFonts w:ascii="宋体" w:hAnsi="宋体" w:cs="宋体" w:eastAsia="宋体" w:hint="default"/>
          <w:sz w:val="12"/>
          <w:szCs w:val="12"/>
        </w:rPr>
      </w:pPr>
    </w:p>
    <w:p>
      <w:pPr>
        <w:pStyle w:val="BodyText"/>
        <w:spacing w:line="240" w:lineRule="auto" w:before="0"/>
        <w:ind w:left="577" w:right="1117"/>
        <w:jc w:val="left"/>
      </w:pPr>
      <w:r>
        <w:rPr>
          <w:rFonts w:ascii="Times New Roman" w:hAnsi="Times New Roman" w:cs="Times New Roman" w:eastAsia="Times New Roman" w:hint="default"/>
        </w:rPr>
        <w:t>1</w:t>
      </w:r>
      <w:r>
        <w:rPr/>
        <w:t>、董事、监事、高级管理人员报酬的决策程序</w:t>
      </w:r>
    </w:p>
    <w:p>
      <w:pPr>
        <w:pStyle w:val="BodyText"/>
        <w:spacing w:line="400" w:lineRule="auto" w:before="177"/>
        <w:ind w:right="1117" w:firstLine="423"/>
        <w:jc w:val="left"/>
      </w:pPr>
      <w:r>
        <w:rPr/>
        <w:t>（</w:t>
      </w:r>
      <w:r>
        <w:rPr>
          <w:rFonts w:ascii="Times New Roman" w:hAnsi="Times New Roman" w:cs="Times New Roman" w:eastAsia="Times New Roman" w:hint="default"/>
        </w:rPr>
        <w:t>1</w:t>
      </w:r>
      <w:r>
        <w:rPr/>
        <w:t>）根据《郑州新开普电子股份有限公司董事、监事薪酬制度》、《郑州新开普电子股份有限公司 </w:t>
      </w:r>
      <w:r>
        <w:rPr>
          <w:spacing w:val="-1"/>
        </w:rPr>
        <w:t>高级管理人员薪酬制度》。董事报酬经董事会薪酬与考核委员会审核、董事会审议通过后提交股东大会审</w:t>
      </w:r>
      <w:r>
        <w:rPr>
          <w:spacing w:val="-83"/>
        </w:rPr>
        <w:t> </w:t>
      </w:r>
      <w:r>
        <w:rPr>
          <w:spacing w:val="-83"/>
        </w:rPr>
      </w:r>
      <w:r>
        <w:rPr>
          <w:spacing w:val="-1"/>
        </w:rPr>
        <w:t>议，监事报酬经监事会审议通过后提交股东大会审议，高级管理人员报酬经董事会薪酬与考核委员会审核</w:t>
      </w:r>
      <w:r>
        <w:rPr>
          <w:spacing w:val="-81"/>
        </w:rPr>
        <w:t> </w:t>
      </w:r>
      <w:r>
        <w:rPr>
          <w:spacing w:val="-81"/>
        </w:rPr>
      </w:r>
      <w:r>
        <w:rPr/>
        <w:t>通过后提交董事会审议；</w:t>
      </w:r>
    </w:p>
    <w:p>
      <w:pPr>
        <w:pStyle w:val="BodyText"/>
        <w:spacing w:line="386" w:lineRule="auto" w:before="52"/>
        <w:ind w:right="1130" w:firstLine="423"/>
        <w:jc w:val="both"/>
      </w:pPr>
      <w:r>
        <w:rPr>
          <w:spacing w:val="-1"/>
        </w:rPr>
        <w:t>（</w:t>
      </w:r>
      <w:r>
        <w:rPr>
          <w:rFonts w:ascii="Times New Roman" w:hAnsi="Times New Roman" w:cs="Times New Roman" w:eastAsia="Times New Roman" w:hint="default"/>
          <w:spacing w:val="-1"/>
        </w:rPr>
        <w:t>2</w:t>
      </w:r>
      <w:r>
        <w:rPr>
          <w:spacing w:val="-1"/>
        </w:rPr>
        <w:t>）</w:t>
      </w:r>
      <w:r>
        <w:rPr>
          <w:rFonts w:ascii="Times New Roman" w:hAnsi="Times New Roman" w:cs="Times New Roman" w:eastAsia="Times New Roman" w:hint="default"/>
          <w:spacing w:val="-1"/>
        </w:rPr>
        <w:t>2018</w:t>
      </w:r>
      <w:r>
        <w:rPr>
          <w:spacing w:val="-1"/>
        </w:rPr>
        <w:t>年</w:t>
      </w:r>
      <w:r>
        <w:rPr>
          <w:rFonts w:ascii="Times New Roman" w:hAnsi="Times New Roman" w:cs="Times New Roman" w:eastAsia="Times New Roman" w:hint="default"/>
          <w:spacing w:val="-1"/>
        </w:rPr>
        <w:t>3</w:t>
      </w:r>
      <w:r>
        <w:rPr>
          <w:spacing w:val="-1"/>
        </w:rPr>
        <w:t>月</w:t>
      </w:r>
      <w:r>
        <w:rPr>
          <w:rFonts w:ascii="Times New Roman" w:hAnsi="Times New Roman" w:cs="Times New Roman" w:eastAsia="Times New Roman" w:hint="default"/>
          <w:spacing w:val="-1"/>
        </w:rPr>
        <w:t>15</w:t>
      </w:r>
      <w:r>
        <w:rPr>
          <w:spacing w:val="-1"/>
        </w:rPr>
        <w:t>日，公司第四次董事会第十次会议审议通过了《关于审议新开普电子股份有限公司</w:t>
      </w:r>
      <w:r>
        <w:rPr/>
        <w:t> </w:t>
      </w:r>
      <w:r>
        <w:rPr>
          <w:rFonts w:ascii="Times New Roman" w:hAnsi="Times New Roman" w:cs="Times New Roman" w:eastAsia="Times New Roman" w:hint="default"/>
          <w:spacing w:val="-1"/>
        </w:rPr>
        <w:t>2018</w:t>
      </w:r>
      <w:r>
        <w:rPr>
          <w:spacing w:val="-1"/>
        </w:rPr>
        <w:t>年度董事薪酬政策的议案》、《关于审议新开普电子股份有限公司</w:t>
      </w:r>
      <w:r>
        <w:rPr>
          <w:rFonts w:ascii="Times New Roman" w:hAnsi="Times New Roman" w:cs="Times New Roman" w:eastAsia="Times New Roman" w:hint="default"/>
          <w:spacing w:val="-1"/>
        </w:rPr>
        <w:t>2018</w:t>
      </w:r>
      <w:r>
        <w:rPr>
          <w:spacing w:val="-1"/>
        </w:rPr>
        <w:t>年度高级管理人员薪酬政策的</w:t>
      </w:r>
      <w:r>
        <w:rPr>
          <w:spacing w:val="-80"/>
        </w:rPr>
        <w:t> </w:t>
      </w:r>
      <w:r>
        <w:rPr>
          <w:spacing w:val="-80"/>
        </w:rPr>
      </w:r>
      <w:r>
        <w:rPr>
          <w:spacing w:val="-1"/>
        </w:rPr>
        <w:t>议案》，公司第四次监事会第九次会议审议通过了《关于审议新开普电子股份有限公司</w:t>
      </w:r>
      <w:r>
        <w:rPr>
          <w:rFonts w:ascii="Times New Roman" w:hAnsi="Times New Roman" w:cs="Times New Roman" w:eastAsia="Times New Roman" w:hint="default"/>
          <w:spacing w:val="-1"/>
        </w:rPr>
        <w:t>2018</w:t>
      </w:r>
      <w:r>
        <w:rPr>
          <w:spacing w:val="-1"/>
        </w:rPr>
        <w:t>年度监事薪酬</w:t>
      </w:r>
      <w:r>
        <w:rPr>
          <w:spacing w:val="-81"/>
        </w:rPr>
        <w:t> </w:t>
      </w:r>
      <w:r>
        <w:rPr/>
        <w:t>政策的议案》；</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10</w:t>
      </w:r>
      <w:r>
        <w:rPr/>
        <w:t>日，公司</w:t>
      </w:r>
      <w:r>
        <w:rPr>
          <w:rFonts w:ascii="Times New Roman" w:hAnsi="Times New Roman" w:cs="Times New Roman" w:eastAsia="Times New Roman" w:hint="default"/>
        </w:rPr>
        <w:t>2017</w:t>
      </w:r>
      <w:r>
        <w:rPr/>
        <w:t>年度股东大会审议通过了《关于审议新开普电子股份有限公司</w:t>
      </w:r>
    </w:p>
    <w:p>
      <w:pPr>
        <w:spacing w:after="0" w:line="386" w:lineRule="auto"/>
        <w:jc w:val="both"/>
        <w:sectPr>
          <w:pgSz w:w="11910" w:h="16840"/>
          <w:pgMar w:header="877" w:footer="979" w:top="1060" w:bottom="1160" w:left="980" w:right="0"/>
        </w:sectPr>
      </w:pPr>
    </w:p>
    <w:p>
      <w:pPr>
        <w:spacing w:line="240" w:lineRule="auto" w:before="0"/>
        <w:rPr>
          <w:rFonts w:ascii="宋体" w:hAnsi="宋体" w:cs="宋体" w:eastAsia="宋体" w:hint="default"/>
          <w:sz w:val="20"/>
          <w:szCs w:val="20"/>
        </w:rPr>
      </w:pPr>
    </w:p>
    <w:p>
      <w:pPr>
        <w:pStyle w:val="BodyText"/>
        <w:spacing w:line="240" w:lineRule="auto" w:before="174"/>
        <w:ind w:right="0"/>
        <w:jc w:val="left"/>
      </w:pPr>
      <w:r>
        <w:rPr>
          <w:rFonts w:ascii="Times New Roman" w:hAnsi="Times New Roman" w:cs="Times New Roman" w:eastAsia="Times New Roman" w:hint="default"/>
        </w:rPr>
        <w:t>2018</w:t>
      </w:r>
      <w:r>
        <w:rPr/>
        <w:t>年度董事薪酬政策的议案》、《关于审议新开普电子股份有限公司</w:t>
      </w:r>
      <w:r>
        <w:rPr>
          <w:rFonts w:ascii="Times New Roman" w:hAnsi="Times New Roman" w:cs="Times New Roman" w:eastAsia="Times New Roman" w:hint="default"/>
        </w:rPr>
        <w:t>2018</w:t>
      </w:r>
      <w:r>
        <w:rPr/>
        <w:t>年度监事薪酬政策的议案》。</w:t>
      </w:r>
    </w:p>
    <w:p>
      <w:pPr>
        <w:pStyle w:val="BodyText"/>
        <w:spacing w:line="386" w:lineRule="auto" w:before="177"/>
        <w:ind w:left="577" w:right="1117"/>
        <w:jc w:val="left"/>
      </w:pPr>
      <w:r>
        <w:rPr>
          <w:rFonts w:ascii="Times New Roman" w:hAnsi="Times New Roman" w:cs="Times New Roman" w:eastAsia="Times New Roman" w:hint="default"/>
        </w:rPr>
        <w:t>2</w:t>
      </w:r>
      <w:r>
        <w:rPr/>
        <w:t>、董事、监事、高级管理人员报酬确定依据 </w:t>
      </w:r>
      <w:r>
        <w:rPr>
          <w:spacing w:val="-1"/>
        </w:rPr>
        <w:t>董事、监事和高级管理人员的报酬按照《新开普电子股份有限公司章程》、《新开普电子股份有限公</w:t>
      </w:r>
    </w:p>
    <w:p>
      <w:pPr>
        <w:pStyle w:val="BodyText"/>
        <w:spacing w:line="408" w:lineRule="auto" w:before="65"/>
        <w:ind w:right="1117"/>
        <w:jc w:val="left"/>
      </w:pPr>
      <w:r>
        <w:rPr>
          <w:spacing w:val="-1"/>
        </w:rPr>
        <w:t>司董事、监事薪酬制度》、《新开普电子股份有限公司高级管理人员薪酬制度》等规定，结合其职位、责</w:t>
      </w:r>
      <w:r>
        <w:rPr>
          <w:spacing w:val="-85"/>
        </w:rPr>
        <w:t> </w:t>
      </w:r>
      <w:r>
        <w:rPr>
          <w:spacing w:val="-85"/>
        </w:rPr>
      </w:r>
      <w:r>
        <w:rPr/>
        <w:t>任、能力、绩效考核情况、市场薪资行等因素确定并发放。</w:t>
      </w:r>
    </w:p>
    <w:p>
      <w:pPr>
        <w:pStyle w:val="BodyText"/>
        <w:spacing w:line="386" w:lineRule="auto"/>
        <w:ind w:left="577" w:right="3819"/>
        <w:jc w:val="left"/>
      </w:pPr>
      <w:r>
        <w:rPr>
          <w:rFonts w:ascii="Times New Roman" w:hAnsi="Times New Roman" w:cs="Times New Roman" w:eastAsia="Times New Roman" w:hint="default"/>
        </w:rPr>
        <w:t>3</w:t>
      </w:r>
      <w:r>
        <w:rPr/>
        <w:t>、董事、监事和高级管理人员报酬的实际支付情况 董事、监事和高级管理人员的薪酬均已按照确定的薪酬标准全额支付。</w:t>
      </w:r>
    </w:p>
    <w:p>
      <w:pPr>
        <w:spacing w:line="240" w:lineRule="auto" w:before="7"/>
        <w:rPr>
          <w:rFonts w:ascii="宋体" w:hAnsi="宋体" w:cs="宋体" w:eastAsia="宋体" w:hint="default"/>
          <w:sz w:val="24"/>
          <w:szCs w:val="24"/>
        </w:rPr>
      </w:pPr>
    </w:p>
    <w:p>
      <w:pPr>
        <w:spacing w:before="44"/>
        <w:ind w:left="154" w:right="1117" w:firstLine="0"/>
        <w:jc w:val="left"/>
        <w:rPr>
          <w:rFonts w:ascii="宋体" w:hAnsi="宋体" w:cs="宋体" w:eastAsia="宋体" w:hint="default"/>
          <w:sz w:val="18"/>
          <w:szCs w:val="18"/>
        </w:rPr>
      </w:pPr>
      <w:r>
        <w:rPr>
          <w:rFonts w:ascii="宋体" w:hAnsi="宋体" w:cs="宋体" w:eastAsia="宋体" w:hint="default"/>
          <w:sz w:val="18"/>
          <w:szCs w:val="18"/>
        </w:rPr>
        <w:t>公司报告期内董事、监事和高级管理人员报酬情况</w:t>
      </w:r>
    </w:p>
    <w:p>
      <w:pPr>
        <w:spacing w:before="117"/>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单位：万元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370"/>
        <w:gridCol w:w="1367"/>
        <w:gridCol w:w="1367"/>
        <w:gridCol w:w="1367"/>
        <w:gridCol w:w="1368"/>
        <w:gridCol w:w="1367"/>
        <w:gridCol w:w="1367"/>
      </w:tblGrid>
      <w:tr>
        <w:trPr>
          <w:trHeight w:val="714" w:hRule="exact"/>
        </w:trPr>
        <w:tc>
          <w:tcPr>
            <w:tcW w:w="13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姓名</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职务</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性别</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年龄</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19" w:right="0"/>
              <w:jc w:val="left"/>
              <w:rPr>
                <w:rFonts w:ascii="宋体" w:hAnsi="宋体" w:cs="宋体" w:eastAsia="宋体" w:hint="default"/>
                <w:sz w:val="18"/>
                <w:szCs w:val="18"/>
              </w:rPr>
            </w:pPr>
            <w:r>
              <w:rPr>
                <w:rFonts w:ascii="宋体" w:hAnsi="宋体" w:cs="宋体" w:eastAsia="宋体" w:hint="default"/>
                <w:sz w:val="18"/>
                <w:szCs w:val="18"/>
              </w:rPr>
              <w:t>任职状态</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8" w:right="47" w:hanging="181"/>
              <w:jc w:val="left"/>
              <w:rPr>
                <w:rFonts w:ascii="宋体" w:hAnsi="宋体" w:cs="宋体" w:eastAsia="宋体" w:hint="default"/>
                <w:sz w:val="18"/>
                <w:szCs w:val="18"/>
              </w:rPr>
            </w:pPr>
            <w:r>
              <w:rPr>
                <w:rFonts w:ascii="宋体" w:hAnsi="宋体" w:cs="宋体" w:eastAsia="宋体" w:hint="default"/>
                <w:sz w:val="18"/>
                <w:szCs w:val="18"/>
              </w:rPr>
              <w:t>从公司获得的税 前报酬总额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7" w:right="47" w:hanging="180"/>
              <w:jc w:val="left"/>
              <w:rPr>
                <w:rFonts w:ascii="宋体" w:hAnsi="宋体" w:cs="宋体" w:eastAsia="宋体" w:hint="default"/>
                <w:sz w:val="18"/>
                <w:szCs w:val="18"/>
              </w:rPr>
            </w:pPr>
            <w:r>
              <w:rPr>
                <w:rFonts w:ascii="宋体" w:hAnsi="宋体" w:cs="宋体" w:eastAsia="宋体" w:hint="default"/>
                <w:sz w:val="18"/>
                <w:szCs w:val="18"/>
              </w:rPr>
              <w:t>是否在公司关联 方获取报酬</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杨维国</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23.96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付秋生</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28.1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尚卫国</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21.07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赵利宾</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19.76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司志刚</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刘汴生</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张英瑶</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王玉辉</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毕会静</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刘恩臣</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监事会主席</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18.56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王葆玲</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2"/>
                <w:sz w:val="18"/>
              </w:rPr>
              <w:t>11.37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张建英</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职工代表监事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14.19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华梦阳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27.17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李玉玲</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财务总监</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39.71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傅常顺</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27.16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杜建平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23.16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刘永春</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49.22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杨长昆</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35.52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何伟</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37.26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赵鑫</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17.57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赵璇</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副总经理、董事 会秘书</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7.9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spacing w:after="0" w:line="240" w:lineRule="auto"/>
        <w:jc w:val="left"/>
        <w:rPr>
          <w:rFonts w:ascii="宋体" w:hAnsi="宋体" w:cs="宋体" w:eastAsia="宋体" w:hint="default"/>
          <w:sz w:val="18"/>
          <w:szCs w:val="18"/>
        </w:rPr>
        <w:sectPr>
          <w:pgSz w:w="11910" w:h="16840"/>
          <w:pgMar w:header="87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370"/>
        <w:gridCol w:w="1367"/>
        <w:gridCol w:w="1367"/>
        <w:gridCol w:w="1367"/>
        <w:gridCol w:w="1367"/>
        <w:gridCol w:w="1368"/>
        <w:gridCol w:w="1367"/>
      </w:tblGrid>
      <w:tr>
        <w:trPr>
          <w:trHeight w:val="402" w:hRule="exact"/>
        </w:trPr>
        <w:tc>
          <w:tcPr>
            <w:tcW w:w="13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41" w:right="0"/>
              <w:jc w:val="left"/>
              <w:rPr>
                <w:rFonts w:ascii="Times New Roman" w:hAnsi="Times New Roman" w:cs="Times New Roman" w:eastAsia="Times New Roman" w:hint="default"/>
                <w:sz w:val="18"/>
                <w:szCs w:val="18"/>
              </w:rPr>
            </w:pPr>
            <w:r>
              <w:rPr>
                <w:rFonts w:ascii="Times New Roman"/>
                <w:sz w:val="18"/>
              </w:rPr>
              <w:t>431.68</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r>
    </w:tbl>
    <w:p>
      <w:pPr>
        <w:spacing w:before="51"/>
        <w:ind w:left="154" w:right="1117" w:firstLine="0"/>
        <w:jc w:val="left"/>
        <w:rPr>
          <w:rFonts w:ascii="宋体" w:hAnsi="宋体" w:cs="宋体" w:eastAsia="宋体" w:hint="default"/>
          <w:sz w:val="18"/>
          <w:szCs w:val="18"/>
        </w:rPr>
      </w:pPr>
      <w:r>
        <w:rPr>
          <w:rFonts w:ascii="宋体" w:hAnsi="宋体" w:cs="宋体" w:eastAsia="宋体" w:hint="default"/>
          <w:sz w:val="18"/>
          <w:szCs w:val="18"/>
        </w:rPr>
        <w:t>公司董事、高级管理人员报告期内被授予的股权激励情况</w:t>
      </w:r>
    </w:p>
    <w:p>
      <w:pPr>
        <w:spacing w:before="117"/>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适用</w:t>
      </w:r>
      <w:r>
        <w:rPr>
          <w:rFonts w:ascii="Times New Roman" w:hAnsi="Times New Roman" w:cs="Times New Roman" w:eastAsia="Times New Roman" w:hint="default"/>
          <w:sz w:val="18"/>
          <w:szCs w:val="18"/>
        </w:rPr>
        <w:t>√</w:t>
      </w:r>
      <w:r>
        <w:rPr>
          <w:rFonts w:ascii="宋体" w:hAnsi="宋体" w:cs="宋体" w:eastAsia="宋体" w:hint="default"/>
          <w:sz w:val="18"/>
          <w:szCs w:val="18"/>
        </w:rPr>
        <w:t>不适用</w:t>
      </w:r>
    </w:p>
    <w:p>
      <w:pPr>
        <w:spacing w:line="240" w:lineRule="auto" w:before="13"/>
        <w:rPr>
          <w:rFonts w:ascii="宋体" w:hAnsi="宋体" w:cs="宋体" w:eastAsia="宋体" w:hint="default"/>
          <w:sz w:val="23"/>
          <w:szCs w:val="23"/>
        </w:rPr>
      </w:pPr>
    </w:p>
    <w:p>
      <w:pPr>
        <w:pStyle w:val="Heading2"/>
        <w:spacing w:line="240" w:lineRule="auto"/>
        <w:ind w:right="1117"/>
        <w:jc w:val="left"/>
        <w:rPr>
          <w:b w:val="0"/>
          <w:bCs w:val="0"/>
        </w:rPr>
      </w:pPr>
      <w:bookmarkStart w:name="五、公司员工情况" w:id="129"/>
      <w:bookmarkEnd w:id="129"/>
      <w:r>
        <w:rPr>
          <w:b w:val="0"/>
          <w:bCs w:val="0"/>
        </w:rPr>
      </w:r>
      <w:r>
        <w:rPr/>
        <w:t>五、公司员工情况</w:t>
      </w:r>
      <w:r>
        <w:rPr>
          <w:b w:val="0"/>
          <w:bCs w:val="0"/>
        </w:rPr>
      </w:r>
    </w:p>
    <w:p>
      <w:pPr>
        <w:spacing w:line="240" w:lineRule="auto" w:before="9"/>
        <w:rPr>
          <w:rFonts w:ascii="宋体" w:hAnsi="宋体" w:cs="宋体" w:eastAsia="宋体" w:hint="default"/>
          <w:b/>
          <w:bCs/>
          <w:sz w:val="24"/>
          <w:szCs w:val="24"/>
        </w:rPr>
      </w:pPr>
    </w:p>
    <w:p>
      <w:pPr>
        <w:pStyle w:val="Heading4"/>
        <w:spacing w:line="240" w:lineRule="auto"/>
        <w:ind w:right="1117"/>
        <w:jc w:val="left"/>
        <w:rPr>
          <w:b w:val="0"/>
          <w:bCs w:val="0"/>
        </w:rPr>
      </w:pPr>
      <w:bookmarkStart w:name="1、员工数量、专业构成及教育程度" w:id="130"/>
      <w:bookmarkEnd w:id="130"/>
      <w:r>
        <w:rPr>
          <w:b w:val="0"/>
          <w:bCs w:val="0"/>
        </w:rPr>
      </w:r>
      <w:r>
        <w:rPr>
          <w:rFonts w:ascii="Times New Roman" w:hAnsi="Times New Roman" w:cs="Times New Roman" w:eastAsia="Times New Roman" w:hint="default"/>
        </w:rPr>
        <w:t>1</w:t>
      </w:r>
      <w:r>
        <w:rPr/>
        <w:t>、员工数量、专业构成及教育程度</w:t>
      </w:r>
      <w:r>
        <w:rPr>
          <w:b w:val="0"/>
          <w:bCs w:val="0"/>
        </w:rPr>
      </w:r>
    </w:p>
    <w:p>
      <w:pPr>
        <w:spacing w:line="240" w:lineRule="auto" w:before="9"/>
        <w:rPr>
          <w:rFonts w:ascii="宋体" w:hAnsi="宋体" w:cs="宋体" w:eastAsia="宋体" w:hint="default"/>
          <w:b/>
          <w:bCs/>
          <w:sz w:val="25"/>
          <w:szCs w:val="25"/>
        </w:rPr>
      </w:pPr>
    </w:p>
    <w:tbl>
      <w:tblPr>
        <w:tblW w:w="0" w:type="auto"/>
        <w:jc w:val="left"/>
        <w:tblInd w:w="160" w:type="dxa"/>
        <w:tblLayout w:type="fixed"/>
        <w:tblCellMar>
          <w:top w:w="0" w:type="dxa"/>
          <w:left w:w="0" w:type="dxa"/>
          <w:bottom w:w="0" w:type="dxa"/>
          <w:right w:w="0" w:type="dxa"/>
        </w:tblCellMar>
        <w:tblLook w:val="01E0"/>
      </w:tblPr>
      <w:tblGrid>
        <w:gridCol w:w="4766"/>
        <w:gridCol w:w="4792"/>
      </w:tblGrid>
      <w:tr>
        <w:trPr>
          <w:trHeight w:val="402" w:hRule="exact"/>
        </w:trPr>
        <w:tc>
          <w:tcPr>
            <w:tcW w:w="47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母公司在职员工的数量（人）</w:t>
            </w:r>
          </w:p>
        </w:tc>
        <w:tc>
          <w:tcPr>
            <w:tcW w:w="479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1,508</w:t>
            </w:r>
          </w:p>
        </w:tc>
      </w:tr>
      <w:tr>
        <w:trPr>
          <w:trHeight w:val="402" w:hRule="exact"/>
        </w:trPr>
        <w:tc>
          <w:tcPr>
            <w:tcW w:w="47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主要子公司在职员工的数量（人）</w:t>
            </w:r>
          </w:p>
        </w:tc>
        <w:tc>
          <w:tcPr>
            <w:tcW w:w="479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664</w:t>
            </w:r>
          </w:p>
        </w:tc>
      </w:tr>
      <w:tr>
        <w:trPr>
          <w:trHeight w:val="402" w:hRule="exact"/>
        </w:trPr>
        <w:tc>
          <w:tcPr>
            <w:tcW w:w="47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在职员工的数量合计（人）</w:t>
            </w:r>
          </w:p>
        </w:tc>
        <w:tc>
          <w:tcPr>
            <w:tcW w:w="479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2,172</w:t>
            </w:r>
          </w:p>
        </w:tc>
      </w:tr>
      <w:tr>
        <w:trPr>
          <w:trHeight w:val="402" w:hRule="exact"/>
        </w:trPr>
        <w:tc>
          <w:tcPr>
            <w:tcW w:w="47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当期领取薪酬员工总人数（人）</w:t>
            </w:r>
          </w:p>
        </w:tc>
        <w:tc>
          <w:tcPr>
            <w:tcW w:w="479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2,172</w:t>
            </w:r>
          </w:p>
        </w:tc>
      </w:tr>
      <w:tr>
        <w:trPr>
          <w:trHeight w:val="407" w:hRule="exact"/>
        </w:trPr>
        <w:tc>
          <w:tcPr>
            <w:tcW w:w="47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母公司及主要子公司需承担费用的离退休职工人数（人）</w:t>
            </w:r>
          </w:p>
        </w:tc>
        <w:tc>
          <w:tcPr>
            <w:tcW w:w="479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w:t>
            </w:r>
          </w:p>
        </w:tc>
      </w:tr>
      <w:tr>
        <w:trPr>
          <w:trHeight w:val="392" w:hRule="exact"/>
        </w:trPr>
        <w:tc>
          <w:tcPr>
            <w:tcW w:w="9557"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1" w:right="10"/>
              <w:jc w:val="center"/>
              <w:rPr>
                <w:rFonts w:ascii="宋体" w:hAnsi="宋体" w:cs="宋体" w:eastAsia="宋体" w:hint="default"/>
                <w:sz w:val="18"/>
                <w:szCs w:val="18"/>
              </w:rPr>
            </w:pPr>
            <w:r>
              <w:rPr>
                <w:rFonts w:ascii="宋体" w:hAnsi="宋体" w:cs="宋体" w:eastAsia="宋体" w:hint="default"/>
                <w:sz w:val="18"/>
                <w:szCs w:val="18"/>
              </w:rPr>
              <w:t>专业构成</w:t>
            </w:r>
          </w:p>
        </w:tc>
      </w:tr>
      <w:tr>
        <w:trPr>
          <w:trHeight w:val="407" w:hRule="exact"/>
        </w:trPr>
        <w:tc>
          <w:tcPr>
            <w:tcW w:w="47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1" w:right="2"/>
              <w:jc w:val="center"/>
              <w:rPr>
                <w:rFonts w:ascii="宋体" w:hAnsi="宋体" w:cs="宋体" w:eastAsia="宋体" w:hint="default"/>
                <w:sz w:val="18"/>
                <w:szCs w:val="18"/>
              </w:rPr>
            </w:pPr>
            <w:r>
              <w:rPr>
                <w:rFonts w:ascii="宋体" w:hAnsi="宋体" w:cs="宋体" w:eastAsia="宋体" w:hint="default"/>
                <w:sz w:val="18"/>
                <w:szCs w:val="18"/>
              </w:rPr>
              <w:t>专业构成类别</w:t>
            </w:r>
          </w:p>
        </w:tc>
        <w:tc>
          <w:tcPr>
            <w:tcW w:w="47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1584" w:right="0"/>
              <w:jc w:val="left"/>
              <w:rPr>
                <w:rFonts w:ascii="宋体" w:hAnsi="宋体" w:cs="宋体" w:eastAsia="宋体" w:hint="default"/>
                <w:sz w:val="18"/>
                <w:szCs w:val="18"/>
              </w:rPr>
            </w:pPr>
            <w:r>
              <w:rPr>
                <w:rFonts w:ascii="宋体" w:hAnsi="宋体" w:cs="宋体" w:eastAsia="宋体" w:hint="default"/>
                <w:sz w:val="18"/>
                <w:szCs w:val="18"/>
              </w:rPr>
              <w:t>专业构成人数（人）</w:t>
            </w:r>
          </w:p>
        </w:tc>
      </w:tr>
      <w:tr>
        <w:trPr>
          <w:trHeight w:val="402" w:hRule="exact"/>
        </w:trPr>
        <w:tc>
          <w:tcPr>
            <w:tcW w:w="47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生产人员</w:t>
            </w:r>
          </w:p>
        </w:tc>
        <w:tc>
          <w:tcPr>
            <w:tcW w:w="479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131</w:t>
            </w:r>
          </w:p>
        </w:tc>
      </w:tr>
      <w:tr>
        <w:trPr>
          <w:trHeight w:val="402" w:hRule="exact"/>
        </w:trPr>
        <w:tc>
          <w:tcPr>
            <w:tcW w:w="47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销售人员</w:t>
            </w:r>
          </w:p>
        </w:tc>
        <w:tc>
          <w:tcPr>
            <w:tcW w:w="479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389</w:t>
            </w:r>
          </w:p>
        </w:tc>
      </w:tr>
      <w:tr>
        <w:trPr>
          <w:trHeight w:val="402" w:hRule="exact"/>
        </w:trPr>
        <w:tc>
          <w:tcPr>
            <w:tcW w:w="47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技术人员</w:t>
            </w:r>
          </w:p>
        </w:tc>
        <w:tc>
          <w:tcPr>
            <w:tcW w:w="479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616</w:t>
            </w:r>
          </w:p>
        </w:tc>
      </w:tr>
      <w:tr>
        <w:trPr>
          <w:trHeight w:val="402" w:hRule="exact"/>
        </w:trPr>
        <w:tc>
          <w:tcPr>
            <w:tcW w:w="47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财务人员</w:t>
            </w:r>
          </w:p>
        </w:tc>
        <w:tc>
          <w:tcPr>
            <w:tcW w:w="479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24</w:t>
            </w:r>
          </w:p>
        </w:tc>
      </w:tr>
      <w:tr>
        <w:trPr>
          <w:trHeight w:val="402" w:hRule="exact"/>
        </w:trPr>
        <w:tc>
          <w:tcPr>
            <w:tcW w:w="47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行政人员</w:t>
            </w:r>
          </w:p>
        </w:tc>
        <w:tc>
          <w:tcPr>
            <w:tcW w:w="479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159</w:t>
            </w:r>
          </w:p>
        </w:tc>
      </w:tr>
      <w:tr>
        <w:trPr>
          <w:trHeight w:val="402" w:hRule="exact"/>
        </w:trPr>
        <w:tc>
          <w:tcPr>
            <w:tcW w:w="47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研发人员</w:t>
            </w:r>
          </w:p>
        </w:tc>
        <w:tc>
          <w:tcPr>
            <w:tcW w:w="4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853</w:t>
            </w:r>
          </w:p>
        </w:tc>
      </w:tr>
      <w:tr>
        <w:trPr>
          <w:trHeight w:val="407" w:hRule="exact"/>
        </w:trPr>
        <w:tc>
          <w:tcPr>
            <w:tcW w:w="47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479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2,172</w:t>
            </w:r>
          </w:p>
        </w:tc>
      </w:tr>
      <w:tr>
        <w:trPr>
          <w:trHeight w:val="392" w:hRule="exact"/>
        </w:trPr>
        <w:tc>
          <w:tcPr>
            <w:tcW w:w="9557"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1" w:right="10"/>
              <w:jc w:val="center"/>
              <w:rPr>
                <w:rFonts w:ascii="宋体" w:hAnsi="宋体" w:cs="宋体" w:eastAsia="宋体" w:hint="default"/>
                <w:sz w:val="18"/>
                <w:szCs w:val="18"/>
              </w:rPr>
            </w:pPr>
            <w:r>
              <w:rPr>
                <w:rFonts w:ascii="宋体" w:hAnsi="宋体" w:cs="宋体" w:eastAsia="宋体" w:hint="default"/>
                <w:sz w:val="18"/>
                <w:szCs w:val="18"/>
              </w:rPr>
              <w:t>教育程度</w:t>
            </w:r>
          </w:p>
        </w:tc>
      </w:tr>
      <w:tr>
        <w:trPr>
          <w:trHeight w:val="407" w:hRule="exact"/>
        </w:trPr>
        <w:tc>
          <w:tcPr>
            <w:tcW w:w="47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11" w:right="0"/>
              <w:jc w:val="left"/>
              <w:rPr>
                <w:rFonts w:ascii="宋体" w:hAnsi="宋体" w:cs="宋体" w:eastAsia="宋体" w:hint="default"/>
                <w:sz w:val="18"/>
                <w:szCs w:val="18"/>
              </w:rPr>
            </w:pPr>
            <w:r>
              <w:rPr>
                <w:rFonts w:ascii="宋体" w:hAnsi="宋体" w:cs="宋体" w:eastAsia="宋体" w:hint="default"/>
                <w:sz w:val="18"/>
                <w:szCs w:val="18"/>
              </w:rPr>
              <w:t>教育程度类别</w:t>
            </w:r>
          </w:p>
        </w:tc>
        <w:tc>
          <w:tcPr>
            <w:tcW w:w="47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30" w:right="0"/>
              <w:jc w:val="left"/>
              <w:rPr>
                <w:rFonts w:ascii="宋体" w:hAnsi="宋体" w:cs="宋体" w:eastAsia="宋体" w:hint="default"/>
                <w:sz w:val="18"/>
                <w:szCs w:val="18"/>
              </w:rPr>
            </w:pPr>
            <w:r>
              <w:rPr>
                <w:rFonts w:ascii="宋体" w:hAnsi="宋体" w:cs="宋体" w:eastAsia="宋体" w:hint="default"/>
                <w:sz w:val="18"/>
                <w:szCs w:val="18"/>
              </w:rPr>
              <w:t>数量（人）</w:t>
            </w:r>
          </w:p>
        </w:tc>
      </w:tr>
      <w:tr>
        <w:trPr>
          <w:trHeight w:val="402" w:hRule="exact"/>
        </w:trPr>
        <w:tc>
          <w:tcPr>
            <w:tcW w:w="47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硕士及以上</w:t>
            </w:r>
          </w:p>
        </w:tc>
        <w:tc>
          <w:tcPr>
            <w:tcW w:w="4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55</w:t>
            </w:r>
          </w:p>
        </w:tc>
      </w:tr>
      <w:tr>
        <w:trPr>
          <w:trHeight w:val="402" w:hRule="exact"/>
        </w:trPr>
        <w:tc>
          <w:tcPr>
            <w:tcW w:w="47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本科</w:t>
            </w:r>
          </w:p>
        </w:tc>
        <w:tc>
          <w:tcPr>
            <w:tcW w:w="4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1,047</w:t>
            </w:r>
          </w:p>
        </w:tc>
      </w:tr>
      <w:tr>
        <w:trPr>
          <w:trHeight w:val="402" w:hRule="exact"/>
        </w:trPr>
        <w:tc>
          <w:tcPr>
            <w:tcW w:w="47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大专</w:t>
            </w:r>
          </w:p>
        </w:tc>
        <w:tc>
          <w:tcPr>
            <w:tcW w:w="4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883</w:t>
            </w:r>
          </w:p>
        </w:tc>
      </w:tr>
      <w:tr>
        <w:trPr>
          <w:trHeight w:val="402" w:hRule="exact"/>
        </w:trPr>
        <w:tc>
          <w:tcPr>
            <w:tcW w:w="47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大专以下</w:t>
            </w:r>
          </w:p>
        </w:tc>
        <w:tc>
          <w:tcPr>
            <w:tcW w:w="4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187</w:t>
            </w:r>
          </w:p>
        </w:tc>
      </w:tr>
      <w:tr>
        <w:trPr>
          <w:trHeight w:val="402" w:hRule="exact"/>
        </w:trPr>
        <w:tc>
          <w:tcPr>
            <w:tcW w:w="47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4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2,172</w:t>
            </w:r>
          </w:p>
        </w:tc>
      </w:tr>
    </w:tbl>
    <w:p>
      <w:pPr>
        <w:spacing w:line="240" w:lineRule="auto" w:before="2"/>
        <w:rPr>
          <w:rFonts w:ascii="宋体" w:hAnsi="宋体" w:cs="宋体" w:eastAsia="宋体" w:hint="default"/>
          <w:b/>
          <w:bCs/>
          <w:sz w:val="19"/>
          <w:szCs w:val="19"/>
        </w:rPr>
      </w:pPr>
    </w:p>
    <w:p>
      <w:pPr>
        <w:pStyle w:val="Heading4"/>
        <w:spacing w:line="240" w:lineRule="auto" w:before="35"/>
        <w:ind w:right="1117"/>
        <w:jc w:val="left"/>
        <w:rPr>
          <w:b w:val="0"/>
          <w:bCs w:val="0"/>
        </w:rPr>
      </w:pPr>
      <w:bookmarkStart w:name="2、薪酬政策" w:id="131"/>
      <w:bookmarkEnd w:id="131"/>
      <w:r>
        <w:rPr>
          <w:b w:val="0"/>
          <w:bCs w:val="0"/>
        </w:rPr>
      </w:r>
      <w:r>
        <w:rPr>
          <w:rFonts w:ascii="Times New Roman" w:hAnsi="Times New Roman" w:cs="Times New Roman" w:eastAsia="Times New Roman" w:hint="default"/>
        </w:rPr>
        <w:t>2</w:t>
      </w:r>
      <w:r>
        <w:rPr/>
        <w:t>、薪酬政策</w:t>
      </w:r>
      <w:r>
        <w:rPr>
          <w:b w:val="0"/>
          <w:bCs w:val="0"/>
        </w:rPr>
      </w:r>
    </w:p>
    <w:p>
      <w:pPr>
        <w:spacing w:line="240" w:lineRule="auto" w:before="8"/>
        <w:rPr>
          <w:rFonts w:ascii="宋体" w:hAnsi="宋体" w:cs="宋体" w:eastAsia="宋体" w:hint="default"/>
          <w:b/>
          <w:bCs/>
          <w:sz w:val="30"/>
          <w:szCs w:val="30"/>
        </w:rPr>
      </w:pPr>
    </w:p>
    <w:p>
      <w:pPr>
        <w:pStyle w:val="BodyText"/>
        <w:spacing w:line="240" w:lineRule="auto" w:before="0"/>
        <w:ind w:left="577" w:right="1117"/>
        <w:jc w:val="left"/>
      </w:pPr>
      <w:r>
        <w:rPr/>
        <w:t>公司的薪酬政策设计符合以下三个原则：</w:t>
      </w:r>
    </w:p>
    <w:p>
      <w:pPr>
        <w:spacing w:line="240" w:lineRule="auto" w:before="10"/>
        <w:rPr>
          <w:rFonts w:ascii="宋体" w:hAnsi="宋体" w:cs="宋体" w:eastAsia="宋体" w:hint="default"/>
          <w:sz w:val="14"/>
          <w:szCs w:val="14"/>
        </w:rPr>
      </w:pPr>
    </w:p>
    <w:p>
      <w:pPr>
        <w:pStyle w:val="BodyText"/>
        <w:spacing w:line="240" w:lineRule="auto" w:before="0"/>
        <w:ind w:left="577" w:right="0"/>
        <w:jc w:val="left"/>
      </w:pPr>
      <w:r>
        <w:rPr>
          <w:spacing w:val="-3"/>
        </w:rPr>
        <w:t>（</w:t>
      </w:r>
      <w:r>
        <w:rPr>
          <w:rFonts w:ascii="Times New Roman" w:hAnsi="Times New Roman" w:cs="Times New Roman" w:eastAsia="Times New Roman" w:hint="default"/>
          <w:spacing w:val="-3"/>
        </w:rPr>
        <w:t>1</w:t>
      </w:r>
      <w:r>
        <w:rPr>
          <w:spacing w:val="-3"/>
        </w:rPr>
        <w:t>）外在竞争性：公司员工的收入水平依据战略要求和市场环境，具有竞争性和稳定性的薪酬水准。</w:t>
      </w:r>
    </w:p>
    <w:p>
      <w:pPr>
        <w:pStyle w:val="BodyText"/>
        <w:spacing w:line="240" w:lineRule="auto" w:before="177"/>
        <w:ind w:left="577" w:right="1117"/>
        <w:jc w:val="left"/>
      </w:pPr>
      <w:r>
        <w:rPr/>
        <w:t>（</w:t>
      </w:r>
      <w:r>
        <w:rPr>
          <w:rFonts w:ascii="Times New Roman" w:hAnsi="Times New Roman" w:cs="Times New Roman" w:eastAsia="Times New Roman" w:hint="default"/>
        </w:rPr>
        <w:t>2</w:t>
      </w:r>
      <w:r>
        <w:rPr/>
        <w:t>）内在公平性：在公司内部薪酬收入高低相对公平。</w:t>
      </w:r>
    </w:p>
    <w:p>
      <w:pPr>
        <w:pStyle w:val="BodyText"/>
        <w:spacing w:line="240" w:lineRule="auto" w:before="176"/>
        <w:ind w:left="577" w:right="1117"/>
        <w:jc w:val="left"/>
      </w:pPr>
      <w:r>
        <w:rPr/>
        <w:t>（</w:t>
      </w:r>
      <w:r>
        <w:rPr>
          <w:rFonts w:ascii="Times New Roman" w:hAnsi="Times New Roman" w:cs="Times New Roman" w:eastAsia="Times New Roman" w:hint="default"/>
        </w:rPr>
        <w:t>3</w:t>
      </w:r>
      <w:r>
        <w:rPr/>
        <w:t>）战略文化特性：结合企业发展战略实时优化调整公司的薪酬政策。</w:t>
      </w:r>
    </w:p>
    <w:p>
      <w:pPr>
        <w:spacing w:after="0" w:line="240" w:lineRule="auto"/>
        <w:jc w:val="left"/>
        <w:sectPr>
          <w:pgSz w:w="11910" w:h="16840"/>
          <w:pgMar w:header="877" w:footer="979" w:top="1060" w:bottom="1160" w:left="980" w:right="0"/>
        </w:sectPr>
      </w:pPr>
    </w:p>
    <w:p>
      <w:pPr>
        <w:spacing w:line="240" w:lineRule="auto" w:before="0"/>
        <w:rPr>
          <w:rFonts w:ascii="宋体" w:hAnsi="宋体" w:cs="宋体" w:eastAsia="宋体" w:hint="default"/>
          <w:sz w:val="20"/>
          <w:szCs w:val="20"/>
        </w:rPr>
      </w:pPr>
    </w:p>
    <w:p>
      <w:pPr>
        <w:pStyle w:val="BodyText"/>
        <w:spacing w:line="240" w:lineRule="auto" w:before="174"/>
        <w:ind w:left="577" w:right="1117"/>
        <w:jc w:val="left"/>
      </w:pPr>
      <w:r>
        <w:rPr/>
        <w:t>基于以上原则设计的薪酬结构包括：</w:t>
      </w:r>
    </w:p>
    <w:p>
      <w:pPr>
        <w:spacing w:line="240" w:lineRule="auto" w:before="10"/>
        <w:rPr>
          <w:rFonts w:ascii="宋体" w:hAnsi="宋体" w:cs="宋体" w:eastAsia="宋体" w:hint="default"/>
          <w:sz w:val="14"/>
          <w:szCs w:val="14"/>
        </w:rPr>
      </w:pPr>
    </w:p>
    <w:p>
      <w:pPr>
        <w:pStyle w:val="BodyText"/>
        <w:spacing w:line="398" w:lineRule="auto" w:before="0"/>
        <w:ind w:left="577" w:right="1117"/>
        <w:jc w:val="left"/>
      </w:pPr>
      <w:r>
        <w:rPr/>
        <w:t>（</w:t>
      </w:r>
      <w:r>
        <w:rPr>
          <w:rFonts w:ascii="Times New Roman" w:hAnsi="Times New Roman" w:cs="Times New Roman" w:eastAsia="Times New Roman" w:hint="default"/>
        </w:rPr>
        <w:t>1</w:t>
      </w:r>
      <w:r>
        <w:rPr/>
        <w:t>）固定薪酬和绩效薪酬： 固定薪酬：公司根据岗位价值、员工技能和资历，给予员工的固定收入； </w:t>
      </w:r>
      <w:r>
        <w:rPr>
          <w:spacing w:val="-1"/>
        </w:rPr>
        <w:t>绩效薪酬：员工完成或者超额完成本岗位考核周期内的任务指标，依据对应的绩效考核激励方案，公</w:t>
      </w:r>
    </w:p>
    <w:p>
      <w:pPr>
        <w:pStyle w:val="BodyText"/>
        <w:spacing w:line="240" w:lineRule="auto" w:before="54"/>
        <w:ind w:right="1117"/>
        <w:jc w:val="left"/>
      </w:pPr>
      <w:r>
        <w:rPr/>
        <w:t>司予以核算发放的绩效奖励。</w:t>
      </w:r>
    </w:p>
    <w:p>
      <w:pPr>
        <w:spacing w:line="240" w:lineRule="auto" w:before="10"/>
        <w:rPr>
          <w:rFonts w:ascii="宋体" w:hAnsi="宋体" w:cs="宋体" w:eastAsia="宋体" w:hint="default"/>
          <w:sz w:val="14"/>
          <w:szCs w:val="14"/>
        </w:rPr>
      </w:pPr>
    </w:p>
    <w:p>
      <w:pPr>
        <w:pStyle w:val="BodyText"/>
        <w:spacing w:line="386" w:lineRule="auto" w:before="0"/>
        <w:ind w:left="577" w:right="1117"/>
        <w:jc w:val="left"/>
      </w:pPr>
      <w:r>
        <w:rPr/>
        <w:t>（</w:t>
      </w:r>
      <w:r>
        <w:rPr>
          <w:rFonts w:ascii="Times New Roman" w:hAnsi="Times New Roman" w:cs="Times New Roman" w:eastAsia="Times New Roman" w:hint="default"/>
        </w:rPr>
        <w:t>2</w:t>
      </w:r>
      <w:r>
        <w:rPr/>
        <w:t>）短期激励和长期激励： </w:t>
      </w:r>
      <w:r>
        <w:rPr>
          <w:spacing w:val="-1"/>
        </w:rPr>
        <w:t>短期激励：基于项目阶段性成果、生产阶段性成果等设立的过程激励，公司实时核算、实时发放的激</w:t>
      </w:r>
    </w:p>
    <w:p>
      <w:pPr>
        <w:pStyle w:val="BodyText"/>
        <w:spacing w:line="240" w:lineRule="auto" w:before="65"/>
        <w:ind w:right="1117"/>
        <w:jc w:val="left"/>
      </w:pPr>
      <w:r>
        <w:rPr/>
        <w:t>励；</w:t>
      </w:r>
    </w:p>
    <w:p>
      <w:pPr>
        <w:spacing w:line="240" w:lineRule="auto" w:before="10"/>
        <w:rPr>
          <w:rFonts w:ascii="宋体" w:hAnsi="宋体" w:cs="宋体" w:eastAsia="宋体" w:hint="default"/>
          <w:sz w:val="14"/>
          <w:szCs w:val="14"/>
        </w:rPr>
      </w:pPr>
    </w:p>
    <w:p>
      <w:pPr>
        <w:pStyle w:val="BodyText"/>
        <w:spacing w:line="408" w:lineRule="auto" w:before="0"/>
        <w:ind w:right="1117" w:firstLine="423"/>
        <w:jc w:val="left"/>
      </w:pPr>
      <w:r>
        <w:rPr>
          <w:spacing w:val="-1"/>
        </w:rPr>
        <w:t>长期激励：认同公司文化，坚决跟随公司战略发展，愿意为之奋斗，愿意和公司成为命运共同体的优</w:t>
      </w:r>
      <w:r>
        <w:rPr/>
        <w:t> 秀员工，公司为其提供更大的发展空间，给予股票期权的激励。</w:t>
      </w:r>
    </w:p>
    <w:p>
      <w:pPr>
        <w:pStyle w:val="BodyText"/>
        <w:spacing w:line="386" w:lineRule="auto"/>
        <w:ind w:left="577" w:right="1117"/>
        <w:jc w:val="left"/>
      </w:pPr>
      <w:r>
        <w:rPr/>
        <w:t>（</w:t>
      </w:r>
      <w:r>
        <w:rPr>
          <w:rFonts w:ascii="Times New Roman" w:hAnsi="Times New Roman" w:cs="Times New Roman" w:eastAsia="Times New Roman" w:hint="default"/>
        </w:rPr>
        <w:t>3</w:t>
      </w:r>
      <w:r>
        <w:rPr/>
        <w:t>）非经济薪酬和经济薪酬： </w:t>
      </w:r>
      <w:r>
        <w:rPr>
          <w:spacing w:val="-1"/>
        </w:rPr>
        <w:t>非经济薪酬：公司为员工提供了良好的办公环境、职级发展通道、培训、各种奖励等，以满足员工的</w:t>
      </w:r>
    </w:p>
    <w:p>
      <w:pPr>
        <w:pStyle w:val="BodyText"/>
        <w:spacing w:line="408" w:lineRule="auto" w:before="65"/>
        <w:ind w:left="577" w:right="1117" w:hanging="424"/>
        <w:jc w:val="left"/>
      </w:pPr>
      <w:r>
        <w:rPr/>
        <w:t>精神需要，都属于非经济薪酬； </w:t>
      </w:r>
      <w:r>
        <w:rPr>
          <w:spacing w:val="-1"/>
        </w:rPr>
        <w:t>经济薪酬：公司给予员工的固定薪酬、绩效薪酬、短期激励、长期激励、五险一金福利、体检、岗位</w:t>
      </w:r>
    </w:p>
    <w:p>
      <w:pPr>
        <w:pStyle w:val="BodyText"/>
        <w:spacing w:line="408" w:lineRule="auto"/>
        <w:ind w:left="577" w:right="1117" w:hanging="424"/>
        <w:jc w:val="left"/>
      </w:pPr>
      <w:r>
        <w:rPr/>
        <w:t>津贴、活动经费等，都属于经济薪酬。 </w:t>
      </w:r>
      <w:r>
        <w:rPr>
          <w:spacing w:val="-1"/>
        </w:rPr>
        <w:t>公司会针对不同的岗位类别设计有差异的薪酬结构，同时也会根据市场的变化、战略的发展，持续的</w:t>
      </w:r>
    </w:p>
    <w:p>
      <w:pPr>
        <w:pStyle w:val="BodyText"/>
        <w:spacing w:line="408" w:lineRule="auto"/>
        <w:ind w:right="1117"/>
        <w:jc w:val="left"/>
      </w:pPr>
      <w:r>
        <w:rPr>
          <w:spacing w:val="-1"/>
        </w:rPr>
        <w:t>调整优化薪酬政策，从而确保员工对薪酬系统的正确理解，积极配合组织的经营战略，促成组织和个人目</w:t>
      </w:r>
      <w:r>
        <w:rPr>
          <w:spacing w:val="-83"/>
        </w:rPr>
        <w:t> </w:t>
      </w:r>
      <w:r>
        <w:rPr>
          <w:spacing w:val="-83"/>
        </w:rPr>
      </w:r>
      <w:r>
        <w:rPr/>
        <w:t>标的实现。</w:t>
      </w:r>
    </w:p>
    <w:p>
      <w:pPr>
        <w:spacing w:line="240" w:lineRule="auto" w:before="8"/>
        <w:rPr>
          <w:rFonts w:ascii="宋体" w:hAnsi="宋体" w:cs="宋体" w:eastAsia="宋体" w:hint="default"/>
          <w:sz w:val="20"/>
          <w:szCs w:val="20"/>
        </w:rPr>
      </w:pPr>
    </w:p>
    <w:p>
      <w:pPr>
        <w:pStyle w:val="Heading4"/>
        <w:spacing w:line="240" w:lineRule="auto"/>
        <w:ind w:right="1117"/>
        <w:jc w:val="left"/>
        <w:rPr>
          <w:b w:val="0"/>
          <w:bCs w:val="0"/>
        </w:rPr>
      </w:pPr>
      <w:bookmarkStart w:name="3、培训计划" w:id="132"/>
      <w:bookmarkEnd w:id="132"/>
      <w:r>
        <w:rPr>
          <w:b w:val="0"/>
          <w:bCs w:val="0"/>
        </w:rPr>
      </w:r>
      <w:r>
        <w:rPr>
          <w:rFonts w:ascii="Times New Roman" w:hAnsi="Times New Roman" w:cs="Times New Roman" w:eastAsia="Times New Roman" w:hint="default"/>
        </w:rPr>
        <w:t>3</w:t>
      </w:r>
      <w:r>
        <w:rPr/>
        <w:t>、培训计划</w:t>
      </w:r>
      <w:r>
        <w:rPr>
          <w:b w:val="0"/>
          <w:bCs w:val="0"/>
        </w:rPr>
      </w:r>
    </w:p>
    <w:p>
      <w:pPr>
        <w:spacing w:line="240" w:lineRule="auto" w:before="7"/>
        <w:rPr>
          <w:rFonts w:ascii="宋体" w:hAnsi="宋体" w:cs="宋体" w:eastAsia="宋体" w:hint="default"/>
          <w:b/>
          <w:bCs/>
          <w:sz w:val="30"/>
          <w:szCs w:val="30"/>
        </w:rPr>
      </w:pPr>
    </w:p>
    <w:p>
      <w:pPr>
        <w:pStyle w:val="BodyText"/>
        <w:spacing w:line="386" w:lineRule="auto" w:before="0"/>
        <w:ind w:right="1117" w:firstLine="423"/>
        <w:jc w:val="left"/>
      </w:pPr>
      <w:r>
        <w:rPr>
          <w:rFonts w:ascii="Times New Roman" w:hAnsi="Times New Roman" w:cs="Times New Roman" w:eastAsia="Times New Roman" w:hint="default"/>
          <w:spacing w:val="-1"/>
        </w:rPr>
        <w:t>2018</w:t>
      </w:r>
      <w:r>
        <w:rPr>
          <w:spacing w:val="-1"/>
        </w:rPr>
        <w:t>年度，为承接公司的整体战略，公司确定了人才发展战略为：发展素质高、能力强，现有战局能</w:t>
      </w:r>
      <w:r>
        <w:rPr/>
        <w:t> 拿下，拓展领地能跟上的人才队伍。为此公司共组织各类培训</w:t>
      </w:r>
      <w:r>
        <w:rPr>
          <w:rFonts w:ascii="Times New Roman" w:hAnsi="Times New Roman" w:cs="Times New Roman" w:eastAsia="Times New Roman" w:hint="default"/>
        </w:rPr>
        <w:t>106</w:t>
      </w:r>
      <w:r>
        <w:rPr/>
        <w:t>场次，培训</w:t>
      </w:r>
      <w:r>
        <w:rPr>
          <w:rFonts w:ascii="Times New Roman" w:hAnsi="Times New Roman" w:cs="Times New Roman" w:eastAsia="Times New Roman" w:hint="default"/>
        </w:rPr>
        <w:t>520</w:t>
      </w:r>
      <w:r>
        <w:rPr/>
        <w:t>学时，参训人次</w:t>
      </w:r>
      <w:r>
        <w:rPr>
          <w:rFonts w:ascii="Times New Roman" w:hAnsi="Times New Roman" w:cs="Times New Roman" w:eastAsia="Times New Roman" w:hint="default"/>
        </w:rPr>
        <w:t>1392</w:t>
      </w:r>
      <w:r>
        <w:rPr/>
        <w:t>人</w:t>
      </w:r>
      <w:r>
        <w:rPr>
          <w:rFonts w:ascii="Times New Roman" w:hAnsi="Times New Roman" w:cs="Times New Roman" w:eastAsia="Times New Roman" w:hint="default"/>
        </w:rPr>
        <w:t>/ </w:t>
      </w:r>
      <w:r>
        <w:rPr/>
        <w:t>次。</w:t>
      </w:r>
    </w:p>
    <w:p>
      <w:pPr>
        <w:pStyle w:val="BodyText"/>
        <w:spacing w:line="398" w:lineRule="auto" w:before="65"/>
        <w:ind w:right="0" w:firstLine="423"/>
        <w:jc w:val="left"/>
        <w:rPr>
          <w:rFonts w:ascii="Times New Roman" w:hAnsi="Times New Roman" w:cs="Times New Roman" w:eastAsia="Times New Roman" w:hint="default"/>
        </w:rPr>
      </w:pPr>
      <w:r>
        <w:rPr/>
        <w:t>较</w:t>
      </w:r>
      <w:r>
        <w:rPr>
          <w:rFonts w:ascii="Times New Roman" w:hAnsi="Times New Roman" w:cs="Times New Roman" w:eastAsia="Times New Roman" w:hint="default"/>
        </w:rPr>
        <w:t>2017</w:t>
      </w:r>
      <w:r>
        <w:rPr/>
        <w:t>年度，今年的培训一是更体系化，二是受众更为锁定，三是培训更承接公司整体战略：在年初 成立了新开普商学院，在新开普商学院启动之初，确定了</w:t>
      </w:r>
      <w:r>
        <w:rPr>
          <w:rFonts w:ascii="Times New Roman" w:hAnsi="Times New Roman" w:cs="Times New Roman" w:eastAsia="Times New Roman" w:hint="default"/>
        </w:rPr>
        <w:t>“</w:t>
      </w:r>
      <w:r>
        <w:rPr/>
        <w:t>打造学习型组织，助力企业成长</w:t>
      </w:r>
      <w:r>
        <w:rPr>
          <w:rFonts w:ascii="Times New Roman" w:hAnsi="Times New Roman" w:cs="Times New Roman" w:eastAsia="Times New Roman" w:hint="default"/>
        </w:rPr>
        <w:t>”</w:t>
      </w:r>
      <w:r>
        <w:rPr/>
        <w:t>的运作理念， 在项目之初，公司就博采斯坦福商学院、</w:t>
      </w:r>
      <w:r>
        <w:rPr>
          <w:rFonts w:ascii="Times New Roman" w:hAnsi="Times New Roman" w:cs="Times New Roman" w:eastAsia="Times New Roman" w:hint="default"/>
        </w:rPr>
        <w:t>CEIBS</w:t>
      </w:r>
      <w:r>
        <w:rPr/>
        <w:t>、宝洁企业大学等世界顶尖商学院、企业大学的课程设置 及内容，并于和君咨询、美国南加州大学马歇尔商学院等知名企业或老师交流、学习，对其培训体系、企 业大学的构建理念、体系模式、运作特色等进行全方位学习，对学习成果进行充分研讨、吸收，并将之创 新性运用于成果设计之中。经过一年的运营，对内新开普商学院除了确定明确的企业大学内部运作流程，</w:t>
      </w:r>
      <w:r>
        <w:rPr>
          <w:spacing w:val="-38"/>
        </w:rPr>
        <w:t> </w:t>
      </w:r>
      <w:r>
        <w:rPr>
          <w:spacing w:val="-38"/>
        </w:rPr>
      </w:r>
      <w:r>
        <w:rPr>
          <w:spacing w:val="-5"/>
        </w:rPr>
        <w:t>在培训理念、教学模式、学习技术等领域都进行了创新，对外也获得了中国人力资源开发研究会颁发的</w:t>
      </w:r>
      <w:r>
        <w:rPr>
          <w:rFonts w:ascii="Times New Roman" w:hAnsi="Times New Roman" w:cs="Times New Roman" w:eastAsia="Times New Roman" w:hint="default"/>
          <w:spacing w:val="-5"/>
        </w:rPr>
        <w:t>2018</w:t>
      </w:r>
    </w:p>
    <w:p>
      <w:pPr>
        <w:spacing w:after="0" w:line="398" w:lineRule="auto"/>
        <w:jc w:val="left"/>
        <w:rPr>
          <w:rFonts w:ascii="Times New Roman" w:hAnsi="Times New Roman" w:cs="Times New Roman" w:eastAsia="Times New Roman" w:hint="default"/>
        </w:rPr>
        <w:sectPr>
          <w:pgSz w:w="11910" w:h="16840"/>
          <w:pgMar w:header="87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17"/>
          <w:szCs w:val="17"/>
        </w:rPr>
      </w:pPr>
    </w:p>
    <w:p>
      <w:pPr>
        <w:pStyle w:val="BodyText"/>
        <w:spacing w:line="408" w:lineRule="auto" w:before="0"/>
        <w:ind w:left="577" w:right="1117" w:hanging="424"/>
        <w:jc w:val="left"/>
      </w:pPr>
      <w:r>
        <w:rPr/>
        <w:t>年度“优秀企业大学”的奖项。 </w:t>
      </w:r>
      <w:r>
        <w:rPr>
          <w:spacing w:val="-1"/>
        </w:rPr>
        <w:t>通过整年度的培训，我们期望：一是培训能为为核心管理人员、优秀员工构筑一个成长平台，助力新</w:t>
      </w:r>
    </w:p>
    <w:p>
      <w:pPr>
        <w:pStyle w:val="BodyText"/>
        <w:spacing w:line="408" w:lineRule="auto"/>
        <w:ind w:right="1117"/>
        <w:jc w:val="left"/>
      </w:pPr>
      <w:r>
        <w:rPr>
          <w:spacing w:val="-5"/>
        </w:rPr>
        <w:t>开普人的成长；二是促进各部门之间的沟通，促进同事间更深度的相互交流和理解；三是构建学习型组织；</w:t>
      </w:r>
      <w:r>
        <w:rPr>
          <w:spacing w:val="-100"/>
        </w:rPr>
        <w:t> </w:t>
      </w:r>
      <w:r>
        <w:rPr>
          <w:spacing w:val="-100"/>
        </w:rPr>
      </w:r>
      <w:r>
        <w:rPr/>
        <w:t>我们无法用相同的自己，去获得不同的未来。</w:t>
      </w:r>
    </w:p>
    <w:p>
      <w:pPr>
        <w:spacing w:line="240" w:lineRule="auto" w:before="8"/>
        <w:rPr>
          <w:rFonts w:ascii="宋体" w:hAnsi="宋体" w:cs="宋体" w:eastAsia="宋体" w:hint="default"/>
          <w:sz w:val="20"/>
          <w:szCs w:val="20"/>
        </w:rPr>
      </w:pPr>
    </w:p>
    <w:p>
      <w:pPr>
        <w:pStyle w:val="Heading4"/>
        <w:spacing w:line="240" w:lineRule="auto"/>
        <w:ind w:right="1117"/>
        <w:jc w:val="left"/>
        <w:rPr>
          <w:b w:val="0"/>
          <w:bCs w:val="0"/>
        </w:rPr>
      </w:pPr>
      <w:bookmarkStart w:name="4、劳务外包情况" w:id="133"/>
      <w:bookmarkEnd w:id="133"/>
      <w:r>
        <w:rPr>
          <w:b w:val="0"/>
          <w:bCs w:val="0"/>
        </w:rPr>
      </w:r>
      <w:r>
        <w:rPr>
          <w:rFonts w:ascii="Times New Roman" w:hAnsi="Times New Roman" w:cs="Times New Roman" w:eastAsia="Times New Roman" w:hint="default"/>
        </w:rPr>
        <w:t>4</w:t>
      </w:r>
      <w:r>
        <w:rPr/>
        <w:t>、劳务外包情况</w:t>
      </w:r>
      <w:r>
        <w:rPr>
          <w:b w:val="0"/>
          <w:bCs w:val="0"/>
        </w:rPr>
      </w:r>
    </w:p>
    <w:p>
      <w:pPr>
        <w:spacing w:line="240" w:lineRule="auto" w:before="8"/>
        <w:rPr>
          <w:rFonts w:ascii="宋体" w:hAnsi="宋体" w:cs="宋体" w:eastAsia="宋体" w:hint="default"/>
          <w:b/>
          <w:bCs/>
          <w:sz w:val="26"/>
          <w:szCs w:val="26"/>
        </w:rPr>
      </w:pPr>
    </w:p>
    <w:p>
      <w:pPr>
        <w:spacing w:before="0"/>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适用</w:t>
      </w:r>
      <w:r>
        <w:rPr>
          <w:rFonts w:ascii="Times New Roman" w:hAnsi="Times New Roman" w:cs="Times New Roman" w:eastAsia="Times New Roman" w:hint="default"/>
          <w:sz w:val="18"/>
          <w:szCs w:val="18"/>
        </w:rPr>
        <w:t>√</w:t>
      </w:r>
      <w:r>
        <w:rPr>
          <w:rFonts w:ascii="宋体" w:hAnsi="宋体" w:cs="宋体" w:eastAsia="宋体" w:hint="default"/>
          <w:sz w:val="18"/>
          <w:szCs w:val="18"/>
        </w:rPr>
        <w:t>不适用</w:t>
      </w:r>
    </w:p>
    <w:p>
      <w:pPr>
        <w:spacing w:after="0"/>
        <w:jc w:val="left"/>
        <w:rPr>
          <w:rFonts w:ascii="宋体" w:hAnsi="宋体" w:cs="宋体" w:eastAsia="宋体" w:hint="default"/>
          <w:sz w:val="18"/>
          <w:szCs w:val="18"/>
        </w:rPr>
        <w:sectPr>
          <w:pgSz w:w="11910" w:h="16840"/>
          <w:pgMar w:header="877" w:footer="979" w:top="106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0"/>
          <w:szCs w:val="20"/>
        </w:rPr>
      </w:pPr>
    </w:p>
    <w:p>
      <w:pPr>
        <w:pStyle w:val="Heading1"/>
        <w:spacing w:line="240" w:lineRule="auto"/>
        <w:ind w:right="979"/>
        <w:jc w:val="center"/>
        <w:rPr>
          <w:b w:val="0"/>
          <w:bCs w:val="0"/>
        </w:rPr>
      </w:pPr>
      <w:bookmarkStart w:name="第九节公司治理" w:id="134"/>
      <w:bookmarkEnd w:id="134"/>
      <w:r>
        <w:rPr>
          <w:b w:val="0"/>
          <w:bCs w:val="0"/>
        </w:rPr>
      </w:r>
      <w:bookmarkStart w:name="_bookmark7" w:id="135"/>
      <w:bookmarkEnd w:id="135"/>
      <w:r>
        <w:rPr>
          <w:b w:val="0"/>
          <w:bCs w:val="0"/>
        </w:rPr>
      </w:r>
      <w:r>
        <w:rPr/>
        <w:t>第九节公司治理</w:t>
      </w:r>
      <w:r>
        <w:rPr>
          <w:b w:val="0"/>
          <w:bCs w:val="0"/>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6"/>
          <w:szCs w:val="16"/>
        </w:rPr>
      </w:pPr>
    </w:p>
    <w:p>
      <w:pPr>
        <w:pStyle w:val="Heading2"/>
        <w:spacing w:line="240" w:lineRule="auto" w:before="26"/>
        <w:ind w:right="1117"/>
        <w:jc w:val="left"/>
        <w:rPr>
          <w:b w:val="0"/>
          <w:bCs w:val="0"/>
        </w:rPr>
      </w:pPr>
      <w:bookmarkStart w:name="一、公司治理的基本状况" w:id="136"/>
      <w:bookmarkEnd w:id="136"/>
      <w:r>
        <w:rPr>
          <w:b w:val="0"/>
          <w:bCs w:val="0"/>
        </w:rPr>
      </w:r>
      <w:r>
        <w:rPr/>
        <w:t>一、公司治理的基本状况</w:t>
      </w:r>
      <w:r>
        <w:rPr>
          <w:b w:val="0"/>
          <w:bCs w:val="0"/>
        </w:rPr>
      </w:r>
    </w:p>
    <w:p>
      <w:pPr>
        <w:spacing w:line="240" w:lineRule="auto" w:before="6"/>
        <w:rPr>
          <w:rFonts w:ascii="宋体" w:hAnsi="宋体" w:cs="宋体" w:eastAsia="宋体" w:hint="default"/>
          <w:b/>
          <w:bCs/>
          <w:sz w:val="30"/>
          <w:szCs w:val="30"/>
        </w:rPr>
      </w:pPr>
    </w:p>
    <w:p>
      <w:pPr>
        <w:pStyle w:val="BodyText"/>
        <w:spacing w:line="408" w:lineRule="auto" w:before="0"/>
        <w:ind w:right="1132" w:firstLine="423"/>
        <w:jc w:val="both"/>
      </w:pPr>
      <w:r>
        <w:rPr>
          <w:spacing w:val="-1"/>
        </w:rPr>
        <w:t>报告期内，公司严格按照《公司法》、《证券法》、《上市公司治理准则》、《深圳证券交易所创业</w:t>
      </w:r>
      <w:r>
        <w:rPr/>
        <w:t> </w:t>
      </w:r>
      <w:r>
        <w:rPr>
          <w:spacing w:val="-1"/>
        </w:rPr>
        <w:t>板股票上市规则》、《创业板上市公司规范运作指引》、《上市公司章程指引》和其他有关法律法规的要</w:t>
      </w:r>
      <w:r>
        <w:rPr>
          <w:spacing w:val="-85"/>
        </w:rPr>
        <w:t> </w:t>
      </w:r>
      <w:r>
        <w:rPr>
          <w:spacing w:val="-85"/>
        </w:rPr>
      </w:r>
      <w:r>
        <w:rPr>
          <w:spacing w:val="-1"/>
        </w:rPr>
        <w:t>求，不断完善公司法人治理结构，建立健全公司内部管理和控制制度，进一步规范公司运作，提升公司的</w:t>
      </w:r>
      <w:r>
        <w:rPr>
          <w:spacing w:val="-86"/>
        </w:rPr>
        <w:t> </w:t>
      </w:r>
      <w:r>
        <w:rPr>
          <w:spacing w:val="-86"/>
        </w:rPr>
      </w:r>
      <w:r>
        <w:rPr>
          <w:spacing w:val="-1"/>
        </w:rPr>
        <w:t>规范化和透明度，努力做好信息披露工作及投资者关系管理，不断提高公司治理水平。截止报告期末，公</w:t>
      </w:r>
      <w:r>
        <w:rPr>
          <w:spacing w:val="-85"/>
        </w:rPr>
        <w:t> </w:t>
      </w:r>
      <w:r>
        <w:rPr>
          <w:spacing w:val="-85"/>
        </w:rPr>
      </w:r>
      <w:r>
        <w:rPr/>
        <w:t>司治理结构的实际情况符合中国证监会发布的有关上市公司治理的规范性文件的要求。</w:t>
      </w:r>
    </w:p>
    <w:p>
      <w:pPr>
        <w:pStyle w:val="BodyText"/>
        <w:spacing w:line="408" w:lineRule="auto"/>
        <w:ind w:left="577" w:right="1117"/>
        <w:jc w:val="left"/>
      </w:pPr>
      <w:r>
        <w:rPr/>
        <w:t>（一）独立性 </w:t>
      </w:r>
      <w:r>
        <w:rPr>
          <w:spacing w:val="-6"/>
        </w:rPr>
        <w:t>公司自成立以来严格按照《公司法》、《证券法》等有关法律、法规和《公司章程》的要求规范运作，</w:t>
      </w:r>
    </w:p>
    <w:p>
      <w:pPr>
        <w:pStyle w:val="BodyText"/>
        <w:spacing w:line="408" w:lineRule="auto"/>
        <w:ind w:right="1117"/>
        <w:jc w:val="left"/>
      </w:pPr>
      <w:r>
        <w:rPr>
          <w:spacing w:val="-1"/>
        </w:rPr>
        <w:t>在业务、资产、人员、机构和财务等方面与公司股东相互独立，拥有独立完整的采购、生产、销售、研发</w:t>
      </w:r>
      <w:r>
        <w:rPr>
          <w:spacing w:val="-85"/>
        </w:rPr>
        <w:t> </w:t>
      </w:r>
      <w:r>
        <w:rPr>
          <w:spacing w:val="-85"/>
        </w:rPr>
      </w:r>
      <w:r>
        <w:rPr/>
        <w:t>系统，具备面向市场自主经营的能力。</w:t>
      </w:r>
    </w:p>
    <w:p>
      <w:pPr>
        <w:pStyle w:val="BodyText"/>
        <w:spacing w:line="400" w:lineRule="auto"/>
        <w:ind w:right="1117" w:firstLine="423"/>
        <w:jc w:val="left"/>
      </w:pPr>
      <w:r>
        <w:rPr>
          <w:rFonts w:ascii="Times New Roman" w:hAnsi="Times New Roman" w:cs="Times New Roman" w:eastAsia="Times New Roman" w:hint="default"/>
        </w:rPr>
        <w:t>1</w:t>
      </w:r>
      <w:r>
        <w:rPr/>
        <w:t>、公司的人员独立。公司的董事、监事均严格按照《公司法》、《公司章程》的有关规定产生，履 </w:t>
      </w:r>
      <w:r>
        <w:rPr>
          <w:spacing w:val="-5"/>
        </w:rPr>
        <w:t>行了合法程序；公司的总经理、副总经理、董事会秘书、财务总监、核心技术人员等人员专职在公司工作，</w:t>
      </w:r>
      <w:r>
        <w:rPr/>
        <w:t> </w:t>
      </w:r>
      <w:r>
        <w:rPr>
          <w:spacing w:val="-1"/>
        </w:rPr>
        <w:t>并在公司领取薪酬。公司已建立独立的劳动、人事、社会保障体系及工资管理体系，与员工签订了劳动合</w:t>
      </w:r>
      <w:r>
        <w:rPr>
          <w:spacing w:val="-86"/>
        </w:rPr>
        <w:t> </w:t>
      </w:r>
      <w:r>
        <w:rPr>
          <w:spacing w:val="-86"/>
        </w:rPr>
      </w:r>
      <w:r>
        <w:rPr/>
        <w:t>同，并按国家规定办理了社会保险。</w:t>
      </w:r>
    </w:p>
    <w:p>
      <w:pPr>
        <w:pStyle w:val="BodyText"/>
        <w:spacing w:line="398" w:lineRule="auto" w:before="52"/>
        <w:ind w:right="0" w:firstLine="423"/>
        <w:jc w:val="left"/>
      </w:pPr>
      <w:r>
        <w:rPr>
          <w:rFonts w:ascii="Times New Roman" w:hAnsi="Times New Roman" w:cs="Times New Roman" w:eastAsia="Times New Roman" w:hint="default"/>
        </w:rPr>
        <w:t>2</w:t>
      </w:r>
      <w:r>
        <w:rPr/>
        <w:t>、公司的资产独立完整、权属清晰。公司具备与生产经营有关的生产系统、辅助生产系统和配套设 施，合法拥有与生产经营有关的土地、厂房、机器设备以及商标、专利、非专利技术的所有权和使用权，</w:t>
      </w:r>
      <w:r>
        <w:rPr>
          <w:spacing w:val="-38"/>
        </w:rPr>
        <w:t> </w:t>
      </w:r>
      <w:r>
        <w:rPr>
          <w:spacing w:val="-38"/>
        </w:rPr>
      </w:r>
      <w:r>
        <w:rPr/>
        <w:t>具有独立的原料采购和产品销售系统，与发起人及其他关联方间资产相互独立，其资产具有完整性。</w:t>
      </w:r>
    </w:p>
    <w:p>
      <w:pPr>
        <w:pStyle w:val="BodyText"/>
        <w:spacing w:line="398" w:lineRule="auto" w:before="54"/>
        <w:ind w:right="1117" w:firstLine="423"/>
        <w:jc w:val="left"/>
      </w:pPr>
      <w:r>
        <w:rPr>
          <w:rFonts w:ascii="Times New Roman" w:hAnsi="Times New Roman" w:cs="Times New Roman" w:eastAsia="Times New Roman" w:hint="default"/>
        </w:rPr>
        <w:t>3</w:t>
      </w:r>
      <w:r>
        <w:rPr/>
        <w:t>、公司财务独立。公司有独立的财务部门，建立了独立的会计核算体系和财务管理制度；配备了专 </w:t>
      </w:r>
      <w:r>
        <w:rPr>
          <w:spacing w:val="-1"/>
        </w:rPr>
        <w:t>职的财务会计人员，独立进行会计核算和财务决策。公司开设有独立的银行帐号，公司并依法独立进行纳</w:t>
      </w:r>
      <w:r>
        <w:rPr>
          <w:spacing w:val="-83"/>
        </w:rPr>
        <w:t> </w:t>
      </w:r>
      <w:r>
        <w:rPr>
          <w:spacing w:val="-83"/>
        </w:rPr>
      </w:r>
      <w:r>
        <w:rPr/>
        <w:t>税申报和履行纳税义务。</w:t>
      </w:r>
    </w:p>
    <w:p>
      <w:pPr>
        <w:pStyle w:val="BodyText"/>
        <w:spacing w:line="240" w:lineRule="auto" w:before="54"/>
        <w:ind w:left="577" w:right="1117"/>
        <w:jc w:val="left"/>
      </w:pPr>
      <w:r>
        <w:rPr>
          <w:rFonts w:ascii="Times New Roman" w:hAnsi="Times New Roman" w:cs="Times New Roman" w:eastAsia="Times New Roman" w:hint="default"/>
          <w:spacing w:val="-8"/>
        </w:rPr>
        <w:t>4</w:t>
      </w:r>
      <w:r>
        <w:rPr>
          <w:spacing w:val="-8"/>
        </w:rPr>
        <w:t>、公司建立健全了独立的股东大会、董事会、监事会、经理的法人治理结构。并严格按照《公司法》、</w:t>
      </w:r>
    </w:p>
    <w:p>
      <w:pPr>
        <w:pStyle w:val="BodyText"/>
        <w:spacing w:line="408" w:lineRule="auto" w:before="177"/>
        <w:ind w:right="1117"/>
        <w:jc w:val="left"/>
      </w:pPr>
      <w:r>
        <w:rPr>
          <w:spacing w:val="-1"/>
        </w:rPr>
        <w:t>《公司章程》的规定履行各自的职责；建立了独立的、适应自身发展需要的组织结构，制定了完善的岗位</w:t>
      </w:r>
      <w:r>
        <w:rPr>
          <w:spacing w:val="-86"/>
        </w:rPr>
        <w:t> </w:t>
      </w:r>
      <w:r>
        <w:rPr>
          <w:spacing w:val="-86"/>
        </w:rPr>
      </w:r>
      <w:r>
        <w:rPr/>
        <w:t>职责和管理制度，各部门按照规定的职责独立运作。</w:t>
      </w:r>
    </w:p>
    <w:p>
      <w:pPr>
        <w:pStyle w:val="BodyText"/>
        <w:spacing w:line="398" w:lineRule="auto"/>
        <w:ind w:right="0" w:firstLine="423"/>
        <w:jc w:val="left"/>
      </w:pPr>
      <w:r>
        <w:rPr>
          <w:rFonts w:ascii="Times New Roman" w:hAnsi="Times New Roman" w:cs="Times New Roman" w:eastAsia="Times New Roman" w:hint="default"/>
        </w:rPr>
        <w:t>5</w:t>
      </w:r>
      <w:r>
        <w:rPr/>
        <w:t>、公司业务独立。公司具备独立、完整的产供销系统，拥有独立的决策和执行机构，并拥有独立的 业务系统；独立地对外签署合同，独立采购、生产并销售其生产的产品；具有面向市场的自主经营能力；</w:t>
      </w:r>
      <w:r>
        <w:rPr>
          <w:spacing w:val="-38"/>
        </w:rPr>
        <w:t> </w:t>
      </w:r>
      <w:r>
        <w:rPr>
          <w:spacing w:val="-38"/>
        </w:rPr>
      </w:r>
      <w:r>
        <w:rPr/>
        <w:t>公司股东及其控制的其他企业没有从事与公司相同或相近的业务。</w:t>
      </w:r>
    </w:p>
    <w:p>
      <w:pPr>
        <w:spacing w:after="0" w:line="398" w:lineRule="auto"/>
        <w:jc w:val="left"/>
        <w:sectPr>
          <w:pgSz w:w="11910" w:h="16840"/>
          <w:pgMar w:header="877" w:footer="979" w:top="1060" w:bottom="1160" w:left="980" w:right="0"/>
        </w:sectPr>
      </w:pPr>
    </w:p>
    <w:p>
      <w:pPr>
        <w:spacing w:line="240" w:lineRule="auto" w:before="0"/>
        <w:rPr>
          <w:rFonts w:ascii="宋体" w:hAnsi="宋体" w:cs="宋体" w:eastAsia="宋体" w:hint="default"/>
          <w:sz w:val="20"/>
          <w:szCs w:val="20"/>
        </w:rPr>
      </w:pPr>
    </w:p>
    <w:p>
      <w:pPr>
        <w:pStyle w:val="BodyText"/>
        <w:spacing w:line="408" w:lineRule="auto" w:before="174"/>
        <w:ind w:left="577" w:right="1117"/>
        <w:jc w:val="left"/>
      </w:pPr>
      <w:r>
        <w:rPr/>
        <w:t>（二）股东与股东大会 </w:t>
      </w:r>
      <w:r>
        <w:rPr>
          <w:spacing w:val="-1"/>
        </w:rPr>
        <w:t>公司严格按照《创业板上市公司规范运作指引》、《上市公司股东大会规则》、《公司章程》、《公</w:t>
      </w:r>
    </w:p>
    <w:p>
      <w:pPr>
        <w:pStyle w:val="BodyText"/>
        <w:spacing w:line="408" w:lineRule="auto"/>
        <w:ind w:right="1131"/>
        <w:jc w:val="both"/>
      </w:pPr>
      <w:r>
        <w:rPr>
          <w:spacing w:val="-1"/>
        </w:rPr>
        <w:t>司股东大会议事规则》等规定的要求，召集、召开股东大会，平等对待所有股东，特别是保证中小股东享</w:t>
      </w:r>
      <w:r>
        <w:rPr>
          <w:spacing w:val="-83"/>
        </w:rPr>
        <w:t> </w:t>
      </w:r>
      <w:r>
        <w:rPr>
          <w:spacing w:val="-83"/>
        </w:rPr>
      </w:r>
      <w:r>
        <w:rPr>
          <w:spacing w:val="-1"/>
        </w:rPr>
        <w:t>有平等地位，并尽可能为股东参加股东大会提供便利，使其充分行使自己的权利。在《公司章程》、《股</w:t>
      </w:r>
      <w:r>
        <w:rPr>
          <w:spacing w:val="-84"/>
        </w:rPr>
        <w:t> </w:t>
      </w:r>
      <w:r>
        <w:rPr>
          <w:spacing w:val="-84"/>
        </w:rPr>
      </w:r>
      <w:r>
        <w:rPr>
          <w:spacing w:val="-1"/>
        </w:rPr>
        <w:t>东大会议事规则》中明确规定了股东大会的召集、召开及表决程序、股东的参会资格和对董事会的授权原</w:t>
      </w:r>
      <w:r>
        <w:rPr>
          <w:spacing w:val="-83"/>
        </w:rPr>
        <w:t> </w:t>
      </w:r>
      <w:r>
        <w:rPr>
          <w:spacing w:val="-83"/>
        </w:rPr>
      </w:r>
      <w:r>
        <w:rPr/>
        <w:t>则等，董事会在报告期内做到认真审议并安排股东大会的审议事项等。</w:t>
      </w:r>
    </w:p>
    <w:p>
      <w:pPr>
        <w:pStyle w:val="BodyText"/>
        <w:spacing w:line="408" w:lineRule="auto"/>
        <w:ind w:left="577" w:right="1117"/>
        <w:jc w:val="left"/>
      </w:pPr>
      <w:r>
        <w:rPr/>
        <w:t>（三）公司与控股股东 </w:t>
      </w:r>
      <w:r>
        <w:rPr>
          <w:spacing w:val="-1"/>
        </w:rPr>
        <w:t>公司控股股东严格按照《上市公司治理准则》、《深圳证券交易所创业板股票上市规则》、《公司章</w:t>
      </w:r>
    </w:p>
    <w:p>
      <w:pPr>
        <w:pStyle w:val="BodyText"/>
        <w:spacing w:line="408" w:lineRule="auto"/>
        <w:ind w:right="0"/>
        <w:jc w:val="left"/>
      </w:pPr>
      <w:r>
        <w:rPr/>
        <w:t>程》规范自己的行为，通过股东大会依法行使出资人的权利，没有采取任何其他方式直接或间接地干预公 司的决策及依法开展的生产经营活动，没有损害公司及其他股东的利益；公司与控股股东在业务、人员、</w:t>
      </w:r>
      <w:r>
        <w:rPr>
          <w:spacing w:val="-38"/>
        </w:rPr>
        <w:t> </w:t>
      </w:r>
      <w:r>
        <w:rPr>
          <w:spacing w:val="-38"/>
        </w:rPr>
      </w:r>
      <w:r>
        <w:rPr/>
        <w:t>资产、机构和财务方面做到相互独立；公司的重大决策能按照规范的程序由股东大会和董事会作出。控股</w:t>
      </w:r>
      <w:r>
        <w:rPr/>
        <w:t> 股东与公司之间无关联交易，公司没有为控股股东及其下属企业提供担保。</w:t>
      </w:r>
    </w:p>
    <w:p>
      <w:pPr>
        <w:pStyle w:val="BodyText"/>
        <w:spacing w:line="408" w:lineRule="auto"/>
        <w:ind w:left="577" w:right="1117"/>
        <w:jc w:val="left"/>
      </w:pPr>
      <w:r>
        <w:rPr/>
        <w:t>（四）董事与董事会 </w:t>
      </w:r>
      <w:r>
        <w:rPr>
          <w:spacing w:val="-1"/>
        </w:rPr>
        <w:t>公司在《公司章程》、《董事会议事规则》中规定规范、透明的董事选聘程序，并严格执行。公司董</w:t>
      </w:r>
    </w:p>
    <w:p>
      <w:pPr>
        <w:pStyle w:val="BodyText"/>
        <w:spacing w:line="403" w:lineRule="auto"/>
        <w:ind w:right="1131"/>
        <w:jc w:val="both"/>
      </w:pPr>
      <w:r>
        <w:rPr>
          <w:spacing w:val="-1"/>
        </w:rPr>
        <w:t>事会设董事</w:t>
      </w:r>
      <w:r>
        <w:rPr>
          <w:rFonts w:ascii="Times New Roman" w:hAnsi="Times New Roman" w:cs="Times New Roman" w:eastAsia="Times New Roman" w:hint="default"/>
          <w:spacing w:val="-1"/>
        </w:rPr>
        <w:t>9</w:t>
      </w:r>
      <w:r>
        <w:rPr>
          <w:spacing w:val="-1"/>
        </w:rPr>
        <w:t>名，其中独立董事</w:t>
      </w:r>
      <w:r>
        <w:rPr>
          <w:rFonts w:ascii="Times New Roman" w:hAnsi="Times New Roman" w:cs="Times New Roman" w:eastAsia="Times New Roman" w:hint="default"/>
          <w:spacing w:val="-1"/>
        </w:rPr>
        <w:t>4</w:t>
      </w:r>
      <w:r>
        <w:rPr>
          <w:spacing w:val="-1"/>
        </w:rPr>
        <w:t>名，董事会的人数及人员构成符合法律、法规和《公司章程》的要求。各</w:t>
      </w:r>
      <w:r>
        <w:rPr>
          <w:spacing w:val="-85"/>
        </w:rPr>
        <w:t> </w:t>
      </w:r>
      <w:r>
        <w:rPr>
          <w:spacing w:val="-85"/>
        </w:rPr>
      </w:r>
      <w:r>
        <w:rPr>
          <w:spacing w:val="-1"/>
        </w:rPr>
        <w:t>位董事能够依据《公司法》、《创业板上市公司规范运作指引》、《公司章程》、《董事会议事规则》等</w:t>
      </w:r>
      <w:r>
        <w:rPr>
          <w:spacing w:val="-86"/>
        </w:rPr>
        <w:t> </w:t>
      </w:r>
      <w:r>
        <w:rPr>
          <w:spacing w:val="-86"/>
        </w:rPr>
      </w:r>
      <w:r>
        <w:rPr>
          <w:spacing w:val="-1"/>
        </w:rPr>
        <w:t>相关法律法规制度开展工作，按时参加会议，勤勉尽责地履行职责和义务，同时积极参加相关培训，熟悉</w:t>
      </w:r>
      <w:r>
        <w:rPr>
          <w:spacing w:val="-86"/>
        </w:rPr>
        <w:t> </w:t>
      </w:r>
      <w:r>
        <w:rPr>
          <w:spacing w:val="-86"/>
        </w:rPr>
      </w:r>
      <w:r>
        <w:rPr>
          <w:spacing w:val="-1"/>
        </w:rPr>
        <w:t>相关法律法规。独立董事能够不受公司主要股东、实际控制人以及其他与公司存在利害关系的单位或个人</w:t>
      </w:r>
      <w:r>
        <w:rPr>
          <w:spacing w:val="-81"/>
        </w:rPr>
        <w:t> </w:t>
      </w:r>
      <w:r>
        <w:rPr>
          <w:spacing w:val="-81"/>
        </w:rPr>
      </w:r>
      <w:r>
        <w:rPr/>
        <w:t>的影响，独立履行职责，对公司的重大事项均能发表独立意见。</w:t>
      </w:r>
    </w:p>
    <w:p>
      <w:pPr>
        <w:pStyle w:val="BodyText"/>
        <w:spacing w:line="408" w:lineRule="auto" w:before="50"/>
        <w:ind w:left="577" w:right="0"/>
        <w:jc w:val="left"/>
      </w:pPr>
      <w:r>
        <w:rPr/>
        <w:t>（五）监事与监事会 公司监事会严格按照《公司法》、《公司章程》和《监事会议事规则》的有关规定，认真履行职责，</w:t>
      </w:r>
    </w:p>
    <w:p>
      <w:pPr>
        <w:pStyle w:val="BodyText"/>
        <w:spacing w:line="400" w:lineRule="auto"/>
        <w:ind w:right="1131"/>
        <w:jc w:val="both"/>
      </w:pPr>
      <w:r>
        <w:rPr>
          <w:spacing w:val="-1"/>
        </w:rPr>
        <w:t>对公司财务状况、重大事项以及公司董事、经理和其他高级管理人员履行职责的合法合规性进行监督，维</w:t>
      </w:r>
      <w:r>
        <w:rPr>
          <w:spacing w:val="-83"/>
        </w:rPr>
        <w:t> </w:t>
      </w:r>
      <w:r>
        <w:rPr>
          <w:spacing w:val="-83"/>
        </w:rPr>
      </w:r>
      <w:r>
        <w:rPr>
          <w:spacing w:val="-1"/>
        </w:rPr>
        <w:t>护公司及股东的合法权益。公司监事会设监事</w:t>
      </w:r>
      <w:r>
        <w:rPr>
          <w:rFonts w:ascii="Times New Roman" w:hAnsi="Times New Roman" w:cs="Times New Roman" w:eastAsia="Times New Roman" w:hint="default"/>
          <w:spacing w:val="-1"/>
        </w:rPr>
        <w:t>3</w:t>
      </w:r>
      <w:r>
        <w:rPr>
          <w:spacing w:val="-1"/>
        </w:rPr>
        <w:t>名，其中职工代表监事</w:t>
      </w:r>
      <w:r>
        <w:rPr>
          <w:rFonts w:ascii="Times New Roman" w:hAnsi="Times New Roman" w:cs="Times New Roman" w:eastAsia="Times New Roman" w:hint="default"/>
          <w:spacing w:val="-1"/>
        </w:rPr>
        <w:t>1</w:t>
      </w:r>
      <w:r>
        <w:rPr>
          <w:spacing w:val="-1"/>
        </w:rPr>
        <w:t>名，公司监事会的人数、成员构成</w:t>
      </w:r>
      <w:r>
        <w:rPr>
          <w:spacing w:val="-86"/>
        </w:rPr>
        <w:t> </w:t>
      </w:r>
      <w:r>
        <w:rPr>
          <w:spacing w:val="-86"/>
        </w:rPr>
      </w:r>
      <w:r>
        <w:rPr>
          <w:spacing w:val="-1"/>
        </w:rPr>
        <w:t>及监事的任职资格符合相关法律、法规的要求。监事会能够严格按照《监事会议事规则》的要求召集、召</w:t>
      </w:r>
      <w:r>
        <w:rPr>
          <w:spacing w:val="-83"/>
        </w:rPr>
        <w:t> </w:t>
      </w:r>
      <w:r>
        <w:rPr>
          <w:spacing w:val="-83"/>
        </w:rPr>
      </w:r>
      <w:r>
        <w:rPr/>
        <w:t>开监事会，表决程序符合法律、法规的要求。</w:t>
      </w:r>
    </w:p>
    <w:p>
      <w:pPr>
        <w:pStyle w:val="BodyText"/>
        <w:spacing w:line="408" w:lineRule="auto" w:before="52"/>
        <w:ind w:left="577" w:right="1117"/>
        <w:jc w:val="left"/>
      </w:pPr>
      <w:r>
        <w:rPr/>
        <w:t>（六）绩效评价与激励约束机制 </w:t>
      </w:r>
      <w:r>
        <w:rPr>
          <w:spacing w:val="-1"/>
        </w:rPr>
        <w:t>董事会薪酬与考核委员会负责对公司的董事、监事、高级管理人员进行绩效考核，建立并逐步完善公</w:t>
      </w:r>
    </w:p>
    <w:p>
      <w:pPr>
        <w:pStyle w:val="BodyText"/>
        <w:spacing w:line="408" w:lineRule="auto"/>
        <w:ind w:right="1133"/>
        <w:jc w:val="both"/>
      </w:pPr>
      <w:r>
        <w:rPr>
          <w:spacing w:val="-1"/>
        </w:rPr>
        <w:t>正、透明的绩效评价标准和激励约束机制。《公司章程》明确规定了高级管理人员的履职行为、权限和职</w:t>
      </w:r>
      <w:r>
        <w:rPr>
          <w:spacing w:val="-83"/>
        </w:rPr>
        <w:t> </w:t>
      </w:r>
      <w:r>
        <w:rPr>
          <w:spacing w:val="-83"/>
        </w:rPr>
      </w:r>
      <w:r>
        <w:rPr>
          <w:spacing w:val="-1"/>
        </w:rPr>
        <w:t>责，高级管理人员的聘任公开、透明，符合有关法律、法规的规定，现有的考核及激励约束机制符合公司</w:t>
      </w:r>
      <w:r>
        <w:rPr>
          <w:spacing w:val="-83"/>
        </w:rPr>
        <w:t> </w:t>
      </w:r>
      <w:r>
        <w:rPr>
          <w:spacing w:val="-83"/>
        </w:rPr>
      </w:r>
      <w:r>
        <w:rPr/>
        <w:t>的发展情况。</w:t>
      </w:r>
    </w:p>
    <w:p>
      <w:pPr>
        <w:spacing w:after="0" w:line="408" w:lineRule="auto"/>
        <w:jc w:val="both"/>
        <w:sectPr>
          <w:pgSz w:w="11910" w:h="16840"/>
          <w:pgMar w:header="877" w:footer="979" w:top="1060" w:bottom="1160" w:left="980" w:right="0"/>
        </w:sectPr>
      </w:pPr>
    </w:p>
    <w:p>
      <w:pPr>
        <w:spacing w:line="240" w:lineRule="auto" w:before="0"/>
        <w:rPr>
          <w:rFonts w:ascii="宋体" w:hAnsi="宋体" w:cs="宋体" w:eastAsia="宋体" w:hint="default"/>
          <w:sz w:val="20"/>
          <w:szCs w:val="20"/>
        </w:rPr>
      </w:pPr>
    </w:p>
    <w:p>
      <w:pPr>
        <w:pStyle w:val="BodyText"/>
        <w:spacing w:line="408" w:lineRule="auto" w:before="174"/>
        <w:ind w:left="577" w:right="1117"/>
        <w:jc w:val="left"/>
      </w:pPr>
      <w:r>
        <w:rPr/>
        <w:t>（七）独立董事履职情况 </w:t>
      </w:r>
      <w:r>
        <w:rPr>
          <w:spacing w:val="-1"/>
        </w:rPr>
        <w:t>公司独立董事按照《公司章程》和《独立董事工作制度》等规定，独立、客观、公正地履行职责，出</w:t>
      </w:r>
    </w:p>
    <w:p>
      <w:pPr>
        <w:pStyle w:val="BodyText"/>
        <w:spacing w:line="398" w:lineRule="auto"/>
        <w:ind w:right="1131"/>
        <w:jc w:val="both"/>
      </w:pPr>
      <w:r>
        <w:rPr>
          <w:spacing w:val="-1"/>
        </w:rPr>
        <w:t>席和列席了报告期内历次董事会和股东大会，对董事会议案行认真审议，根据相关规定对公司的重大事项</w:t>
      </w:r>
      <w:r>
        <w:rPr>
          <w:spacing w:val="-81"/>
        </w:rPr>
        <w:t> </w:t>
      </w:r>
      <w:r>
        <w:rPr>
          <w:spacing w:val="-81"/>
        </w:rPr>
      </w:r>
      <w:r>
        <w:rPr>
          <w:spacing w:val="-1"/>
        </w:rPr>
        <w:t>发表独立意见。</w:t>
      </w:r>
      <w:r>
        <w:rPr>
          <w:rFonts w:ascii="Times New Roman" w:hAnsi="Times New Roman" w:cs="Times New Roman" w:eastAsia="Times New Roman" w:hint="default"/>
          <w:spacing w:val="-1"/>
        </w:rPr>
        <w:t>2018</w:t>
      </w:r>
      <w:r>
        <w:rPr>
          <w:spacing w:val="-1"/>
        </w:rPr>
        <w:t>年度，独立董事未对董事会审议的各项议案及其他相关事项提出异议。独立董事通过</w:t>
      </w:r>
      <w:r>
        <w:rPr>
          <w:spacing w:val="-81"/>
        </w:rPr>
        <w:t> </w:t>
      </w:r>
      <w:r>
        <w:rPr>
          <w:spacing w:val="-81"/>
        </w:rPr>
      </w:r>
      <w:r>
        <w:rPr/>
        <w:t>实地考察和内外调研，运用其专业知识和经验特长，为公司经营和发展提出合理化意见和建议。</w:t>
      </w:r>
    </w:p>
    <w:p>
      <w:pPr>
        <w:pStyle w:val="BodyText"/>
        <w:spacing w:line="408" w:lineRule="auto" w:before="54"/>
        <w:ind w:left="577" w:right="1117"/>
        <w:jc w:val="left"/>
      </w:pPr>
      <w:r>
        <w:rPr/>
        <w:t>（八）相关利益者 </w:t>
      </w:r>
      <w:r>
        <w:rPr>
          <w:spacing w:val="-1"/>
        </w:rPr>
        <w:t>公司能够充分尊重银行及其他债权人、员工、消费者、供应商、经销商等利益相关者的合法权利，与</w:t>
      </w:r>
    </w:p>
    <w:p>
      <w:pPr>
        <w:pStyle w:val="BodyText"/>
        <w:spacing w:line="240" w:lineRule="auto"/>
        <w:ind w:right="1117"/>
        <w:jc w:val="left"/>
      </w:pPr>
      <w:r>
        <w:rPr/>
        <w:t>利益相关者积极合作，共同推动公司持续、健康地发展。</w:t>
      </w:r>
    </w:p>
    <w:p>
      <w:pPr>
        <w:spacing w:line="240" w:lineRule="auto" w:before="10"/>
        <w:rPr>
          <w:rFonts w:ascii="宋体" w:hAnsi="宋体" w:cs="宋体" w:eastAsia="宋体" w:hint="default"/>
          <w:sz w:val="14"/>
          <w:szCs w:val="14"/>
        </w:rPr>
      </w:pPr>
    </w:p>
    <w:p>
      <w:pPr>
        <w:pStyle w:val="BodyText"/>
        <w:spacing w:line="408" w:lineRule="auto" w:before="0"/>
        <w:ind w:left="577" w:right="0"/>
        <w:jc w:val="left"/>
      </w:pPr>
      <w:r>
        <w:rPr/>
        <w:t>（九）关于信息披露与透明度 公司根据《深圳证券交易所创业板股票上市规则》、《上市公司信息披露管理办法》、《公司章程》</w:t>
      </w:r>
    </w:p>
    <w:p>
      <w:pPr>
        <w:pStyle w:val="BodyText"/>
        <w:spacing w:line="240" w:lineRule="auto"/>
        <w:ind w:right="0"/>
        <w:jc w:val="left"/>
      </w:pPr>
      <w:r>
        <w:rPr>
          <w:spacing w:val="-5"/>
        </w:rPr>
        <w:t>以及公司《信息披露管理制度》等相关法规制度的规定，认真履行信息披露义务。公司指定《证券时报》、</w:t>
      </w:r>
    </w:p>
    <w:p>
      <w:pPr>
        <w:spacing w:line="240" w:lineRule="auto" w:before="10"/>
        <w:rPr>
          <w:rFonts w:ascii="宋体" w:hAnsi="宋体" w:cs="宋体" w:eastAsia="宋体" w:hint="default"/>
          <w:sz w:val="14"/>
          <w:szCs w:val="14"/>
        </w:rPr>
      </w:pPr>
    </w:p>
    <w:p>
      <w:pPr>
        <w:pStyle w:val="BodyText"/>
        <w:spacing w:line="400" w:lineRule="auto" w:before="0"/>
        <w:ind w:right="1117"/>
        <w:jc w:val="left"/>
      </w:pPr>
      <w:r>
        <w:rPr/>
        <w:t>《中国证券报》和巨潮资讯网（</w:t>
      </w:r>
      <w:hyperlink r:id="rId42">
        <w:r>
          <w:rPr>
            <w:rFonts w:ascii="Times New Roman" w:hAnsi="Times New Roman" w:cs="Times New Roman" w:eastAsia="Times New Roman" w:hint="default"/>
          </w:rPr>
          <w:t>http://www.cninfo.com.cn</w:t>
        </w:r>
      </w:hyperlink>
      <w:r>
        <w:rPr/>
        <w:t>）为公司信息披露的指定报纸和网站。公司指定</w:t>
      </w:r>
      <w:r>
        <w:rPr>
          <w:w w:val="99"/>
        </w:rPr>
        <w:t> </w:t>
      </w:r>
      <w:r>
        <w:rPr>
          <w:spacing w:val="-1"/>
        </w:rPr>
        <w:t>董事会秘书负责信息披露工作，并负责投资者关系管理，接待投资者的来访和咨询，设立专门机构并配备</w:t>
      </w:r>
      <w:r>
        <w:rPr>
          <w:spacing w:val="-84"/>
        </w:rPr>
        <w:t> </w:t>
      </w:r>
      <w:r>
        <w:rPr>
          <w:spacing w:val="-84"/>
        </w:rPr>
      </w:r>
      <w:r>
        <w:rPr>
          <w:spacing w:val="-1"/>
        </w:rPr>
        <w:t>了相应人员，真实、准确、及时、公平、完整地披露有关信息，确保公司所有股东能够以平等的机会获得</w:t>
      </w:r>
      <w:r>
        <w:rPr>
          <w:spacing w:val="-84"/>
        </w:rPr>
        <w:t> </w:t>
      </w:r>
      <w:r>
        <w:rPr>
          <w:spacing w:val="-84"/>
        </w:rPr>
      </w:r>
      <w:r>
        <w:rPr/>
        <w:t>信息。</w:t>
      </w:r>
      <w:r>
        <w:rPr>
          <w:rFonts w:ascii="Times New Roman" w:hAnsi="Times New Roman" w:cs="Times New Roman" w:eastAsia="Times New Roman" w:hint="default"/>
        </w:rPr>
        <w:t>2018</w:t>
      </w:r>
      <w:r>
        <w:rPr/>
        <w:t>年度公司信息披露的内部控制得到了有效执行。</w:t>
      </w:r>
    </w:p>
    <w:p>
      <w:pPr>
        <w:pStyle w:val="BodyText"/>
        <w:spacing w:line="408" w:lineRule="auto" w:before="22"/>
        <w:ind w:left="577" w:right="1117"/>
        <w:jc w:val="left"/>
      </w:pPr>
      <w:r>
        <w:rPr/>
        <w:t>（十）投资者关系管理情况 </w:t>
      </w:r>
      <w:r>
        <w:rPr>
          <w:spacing w:val="-1"/>
        </w:rPr>
        <w:t>投资者关系工作是一项长期、持续的重要工作，公司不断学习先进投资者关系管理经验，以更好的方</w:t>
      </w:r>
    </w:p>
    <w:p>
      <w:pPr>
        <w:pStyle w:val="BodyText"/>
        <w:spacing w:line="408" w:lineRule="auto"/>
        <w:ind w:right="0"/>
        <w:jc w:val="left"/>
      </w:pPr>
      <w:r>
        <w:rPr/>
        <w:t>式和途径使广大投资者能够平等地获取公司经营管理、未来发展等信息，构建与投资者的良好互动关系，</w:t>
      </w:r>
      <w:r>
        <w:rPr>
          <w:spacing w:val="-38"/>
        </w:rPr>
        <w:t> </w:t>
      </w:r>
      <w:r>
        <w:rPr>
          <w:spacing w:val="-38"/>
        </w:rPr>
      </w:r>
      <w:r>
        <w:rPr/>
        <w:t>树立公司在资本市场的规范形象。报告期内，公司严格执行《投资者关系管理制度》，认真做好投资者关</w:t>
      </w:r>
      <w:r>
        <w:rPr/>
        <w:t> 系管理工作：</w:t>
      </w:r>
    </w:p>
    <w:p>
      <w:pPr>
        <w:pStyle w:val="BodyText"/>
        <w:spacing w:line="240" w:lineRule="auto"/>
        <w:ind w:left="577" w:right="1117"/>
        <w:jc w:val="left"/>
      </w:pPr>
      <w:r>
        <w:rPr>
          <w:rFonts w:ascii="Times New Roman" w:hAnsi="Times New Roman" w:cs="Times New Roman" w:eastAsia="Times New Roman" w:hint="default"/>
        </w:rPr>
        <w:t>1</w:t>
      </w:r>
      <w:r>
        <w:rPr/>
        <w:t>、日常工作</w:t>
      </w:r>
    </w:p>
    <w:p>
      <w:pPr>
        <w:pStyle w:val="BodyText"/>
        <w:spacing w:line="398" w:lineRule="auto" w:before="177"/>
        <w:ind w:right="1117" w:firstLine="423"/>
        <w:jc w:val="left"/>
      </w:pPr>
      <w:r>
        <w:rPr/>
        <w:t>（</w:t>
      </w:r>
      <w:r>
        <w:rPr>
          <w:rFonts w:ascii="Times New Roman" w:hAnsi="Times New Roman" w:cs="Times New Roman" w:eastAsia="Times New Roman" w:hint="default"/>
        </w:rPr>
        <w:t>1</w:t>
      </w:r>
      <w:r>
        <w:rPr/>
        <w:t>）指定董事会秘书作为投资者关系管理负责人，安排专人负责投资者来访接待工作，积极做好投 </w:t>
      </w:r>
      <w:r>
        <w:rPr>
          <w:spacing w:val="-1"/>
        </w:rPr>
        <w:t>资者关系管理工作档案的建立和保管，合理、妥善地安排个人投资者、机构投资者、行业分析师等相关人</w:t>
      </w:r>
      <w:r>
        <w:rPr>
          <w:spacing w:val="-84"/>
        </w:rPr>
        <w:t> </w:t>
      </w:r>
      <w:r>
        <w:rPr>
          <w:spacing w:val="-84"/>
        </w:rPr>
      </w:r>
      <w:r>
        <w:rPr/>
        <w:t>员到公司进行调研，并切实做好相关信息的保密工作。</w:t>
      </w:r>
    </w:p>
    <w:p>
      <w:pPr>
        <w:pStyle w:val="BodyText"/>
        <w:spacing w:line="386" w:lineRule="auto" w:before="54"/>
        <w:ind w:right="1194" w:firstLine="423"/>
        <w:jc w:val="left"/>
      </w:pPr>
      <w:r>
        <w:rPr/>
        <w:t>（</w:t>
      </w:r>
      <w:r>
        <w:rPr>
          <w:rFonts w:ascii="Times New Roman" w:hAnsi="Times New Roman" w:cs="Times New Roman" w:eastAsia="Times New Roman" w:hint="default"/>
        </w:rPr>
        <w:t>2</w:t>
      </w:r>
      <w:r>
        <w:rPr/>
        <w:t>）通过公司网站、投资者关系管理电话、电子信箱、互动平台等多种渠道与投资者加强沟通，尽 可能解答投资者的疑问。</w:t>
      </w:r>
    </w:p>
    <w:p>
      <w:pPr>
        <w:pStyle w:val="BodyText"/>
        <w:spacing w:line="240" w:lineRule="auto" w:before="65"/>
        <w:ind w:left="577" w:right="1117"/>
        <w:jc w:val="left"/>
      </w:pPr>
      <w:r>
        <w:rPr>
          <w:rFonts w:ascii="Times New Roman" w:hAnsi="Times New Roman" w:cs="Times New Roman" w:eastAsia="Times New Roman" w:hint="default"/>
        </w:rPr>
        <w:t>2</w:t>
      </w:r>
      <w:r>
        <w:rPr/>
        <w:t>、互动交流</w:t>
      </w:r>
    </w:p>
    <w:p>
      <w:pPr>
        <w:pStyle w:val="BodyText"/>
        <w:spacing w:line="386" w:lineRule="auto" w:before="177"/>
        <w:ind w:right="1117" w:firstLine="423"/>
        <w:jc w:val="left"/>
      </w:pPr>
      <w:r>
        <w:rPr>
          <w:spacing w:val="-1"/>
        </w:rPr>
        <w:t>（</w:t>
      </w:r>
      <w:r>
        <w:rPr>
          <w:rFonts w:ascii="Times New Roman" w:hAnsi="Times New Roman" w:cs="Times New Roman" w:eastAsia="Times New Roman" w:hint="default"/>
          <w:spacing w:val="-1"/>
        </w:rPr>
        <w:t>1</w:t>
      </w:r>
      <w:r>
        <w:rPr>
          <w:spacing w:val="-1"/>
        </w:rPr>
        <w:t>）报告期内，公司召开了</w:t>
      </w:r>
      <w:r>
        <w:rPr>
          <w:rFonts w:ascii="Times New Roman" w:hAnsi="Times New Roman" w:cs="Times New Roman" w:eastAsia="Times New Roman" w:hint="default"/>
          <w:spacing w:val="-1"/>
        </w:rPr>
        <w:t>3</w:t>
      </w:r>
      <w:r>
        <w:rPr>
          <w:spacing w:val="-1"/>
        </w:rPr>
        <w:t>次股东大会，举行了</w:t>
      </w:r>
      <w:r>
        <w:rPr>
          <w:rFonts w:ascii="Times New Roman" w:hAnsi="Times New Roman" w:cs="Times New Roman" w:eastAsia="Times New Roman" w:hint="default"/>
          <w:spacing w:val="-1"/>
        </w:rPr>
        <w:t>2017</w:t>
      </w:r>
      <w:r>
        <w:rPr>
          <w:spacing w:val="-1"/>
        </w:rPr>
        <w:t>年度网上业绩说明会。在会上，公司认真听取</w:t>
      </w:r>
      <w:r>
        <w:rPr/>
        <w:t> 了投资者的建议和意见，并就公司经营以及未来发展等问题与投资者进行了深入的沟通和交流。</w:t>
      </w:r>
    </w:p>
    <w:p>
      <w:pPr>
        <w:pStyle w:val="BodyText"/>
        <w:spacing w:line="240" w:lineRule="auto" w:before="65"/>
        <w:ind w:left="577" w:right="0"/>
        <w:jc w:val="left"/>
      </w:pPr>
      <w:r>
        <w:rPr/>
        <w:t>（</w:t>
      </w:r>
      <w:r>
        <w:rPr>
          <w:rFonts w:ascii="Times New Roman" w:hAnsi="Times New Roman" w:cs="Times New Roman" w:eastAsia="Times New Roman" w:hint="default"/>
        </w:rPr>
        <w:t>2</w:t>
      </w:r>
      <w:r>
        <w:rPr>
          <w:spacing w:val="-99"/>
        </w:rPr>
        <w:t>）</w:t>
      </w:r>
      <w:r>
        <w:rPr/>
        <w:t>报告期内</w:t>
      </w:r>
      <w:r>
        <w:rPr>
          <w:spacing w:val="-99"/>
        </w:rPr>
        <w:t>，</w:t>
      </w:r>
      <w:r>
        <w:rPr/>
        <w:t>公司通过</w:t>
      </w:r>
      <w:r>
        <w:rPr>
          <w:rFonts w:ascii="Times New Roman" w:hAnsi="Times New Roman" w:cs="Times New Roman" w:eastAsia="Times New Roman" w:hint="default"/>
          <w:spacing w:val="-1"/>
          <w:w w:val="100"/>
        </w:rPr>
        <w:t>“</w:t>
      </w:r>
      <w:r>
        <w:rPr/>
        <w:t>投资者关</w:t>
      </w:r>
      <w:r>
        <w:rPr>
          <w:spacing w:val="1"/>
        </w:rPr>
        <w:t>系</w:t>
      </w:r>
      <w:r>
        <w:rPr/>
        <w:t>互动平台</w:t>
      </w:r>
      <w:r>
        <w:rPr>
          <w:rFonts w:ascii="Times New Roman" w:hAnsi="Times New Roman" w:cs="Times New Roman" w:eastAsia="Times New Roman" w:hint="default"/>
          <w:w w:val="100"/>
        </w:rPr>
        <w:t>”</w:t>
      </w:r>
      <w:r>
        <w:rPr/>
        <w:t>及</w:t>
      </w:r>
      <w:r>
        <w:rPr>
          <w:rFonts w:ascii="Times New Roman" w:hAnsi="Times New Roman" w:cs="Times New Roman" w:eastAsia="Times New Roman" w:hint="default"/>
          <w:spacing w:val="-1"/>
          <w:w w:val="100"/>
        </w:rPr>
        <w:t>“</w:t>
      </w:r>
      <w:r>
        <w:rPr/>
        <w:t>深交所互</w:t>
      </w:r>
      <w:r>
        <w:rPr>
          <w:spacing w:val="1"/>
        </w:rPr>
        <w:t>动</w:t>
      </w:r>
      <w:r>
        <w:rPr/>
        <w:t>易</w:t>
      </w:r>
      <w:r>
        <w:rPr>
          <w:rFonts w:ascii="Times New Roman" w:hAnsi="Times New Roman" w:cs="Times New Roman" w:eastAsia="Times New Roman" w:hint="default"/>
          <w:w w:val="100"/>
        </w:rPr>
        <w:t>”</w:t>
      </w:r>
      <w:r>
        <w:rPr>
          <w:spacing w:val="-99"/>
        </w:rPr>
        <w:t>，</w:t>
      </w:r>
      <w:r>
        <w:rPr/>
        <w:t>就投资者关心的问题进行了充分、</w:t>
      </w:r>
    </w:p>
    <w:p>
      <w:pPr>
        <w:spacing w:after="0" w:line="240" w:lineRule="auto"/>
        <w:jc w:val="left"/>
        <w:sectPr>
          <w:pgSz w:w="11910" w:h="16840"/>
          <w:pgMar w:header="877" w:footer="979" w:top="1060" w:bottom="1160" w:left="980" w:right="0"/>
        </w:sectPr>
      </w:pPr>
    </w:p>
    <w:p>
      <w:pPr>
        <w:spacing w:line="240" w:lineRule="auto" w:before="0"/>
        <w:rPr>
          <w:rFonts w:ascii="宋体" w:hAnsi="宋体" w:cs="宋体" w:eastAsia="宋体" w:hint="default"/>
          <w:sz w:val="20"/>
          <w:szCs w:val="20"/>
        </w:rPr>
      </w:pPr>
    </w:p>
    <w:p>
      <w:pPr>
        <w:pStyle w:val="BodyText"/>
        <w:spacing w:line="408" w:lineRule="auto" w:before="174"/>
        <w:ind w:right="1117"/>
        <w:jc w:val="left"/>
      </w:pPr>
      <w:r>
        <w:rPr>
          <w:spacing w:val="-1"/>
        </w:rPr>
        <w:t>深入、详细的分析、说明和答复，建立了投资者与公司之间规范、直接、快速的交流与沟通渠道，提高了</w:t>
      </w:r>
      <w:r>
        <w:rPr>
          <w:spacing w:val="-83"/>
        </w:rPr>
        <w:t> </w:t>
      </w:r>
      <w:r>
        <w:rPr>
          <w:spacing w:val="-83"/>
        </w:rPr>
      </w:r>
      <w:r>
        <w:rPr/>
        <w:t>公司规范运作水平，更好的保护了投资者特别是中小投资者的合法权益。</w:t>
      </w:r>
    </w:p>
    <w:p>
      <w:pPr>
        <w:spacing w:line="240" w:lineRule="auto" w:before="7"/>
        <w:rPr>
          <w:rFonts w:ascii="宋体" w:hAnsi="宋体" w:cs="宋体" w:eastAsia="宋体" w:hint="default"/>
          <w:sz w:val="26"/>
          <w:szCs w:val="26"/>
        </w:rPr>
      </w:pPr>
    </w:p>
    <w:p>
      <w:pPr>
        <w:spacing w:before="0"/>
        <w:ind w:left="154" w:right="1117" w:firstLine="0"/>
        <w:jc w:val="left"/>
        <w:rPr>
          <w:rFonts w:ascii="宋体" w:hAnsi="宋体" w:cs="宋体" w:eastAsia="宋体" w:hint="default"/>
          <w:sz w:val="18"/>
          <w:szCs w:val="18"/>
        </w:rPr>
      </w:pPr>
      <w:r>
        <w:rPr>
          <w:rFonts w:ascii="宋体" w:hAnsi="宋体" w:cs="宋体" w:eastAsia="宋体" w:hint="default"/>
          <w:sz w:val="18"/>
          <w:szCs w:val="18"/>
        </w:rPr>
        <w:t>公司治理的实际状况与中国证监会发布的有关上市公司治理的规范性文件是否存在重大差异</w:t>
      </w:r>
    </w:p>
    <w:p>
      <w:pPr>
        <w:spacing w:line="338" w:lineRule="auto" w:before="117"/>
        <w:ind w:left="154" w:right="355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是</w:t>
      </w:r>
      <w:r>
        <w:rPr>
          <w:rFonts w:ascii="Times New Roman" w:hAnsi="Times New Roman" w:cs="Times New Roman" w:eastAsia="Times New Roman" w:hint="default"/>
          <w:sz w:val="18"/>
          <w:szCs w:val="18"/>
        </w:rPr>
        <w:t>√</w:t>
      </w:r>
      <w:r>
        <w:rPr>
          <w:rFonts w:ascii="宋体" w:hAnsi="宋体" w:cs="宋体" w:eastAsia="宋体" w:hint="default"/>
          <w:sz w:val="18"/>
          <w:szCs w:val="18"/>
        </w:rPr>
        <w:t>否 公司治理的实际状况与中国证监会发布的有关上市公司治理的规范性文件不存在重大差异。</w:t>
      </w:r>
    </w:p>
    <w:p>
      <w:pPr>
        <w:spacing w:line="240" w:lineRule="auto" w:before="4"/>
        <w:rPr>
          <w:rFonts w:ascii="宋体" w:hAnsi="宋体" w:cs="宋体" w:eastAsia="宋体" w:hint="default"/>
          <w:sz w:val="19"/>
          <w:szCs w:val="19"/>
        </w:rPr>
      </w:pPr>
    </w:p>
    <w:p>
      <w:pPr>
        <w:pStyle w:val="Heading2"/>
        <w:spacing w:line="240" w:lineRule="auto"/>
        <w:ind w:right="1117"/>
        <w:jc w:val="left"/>
        <w:rPr>
          <w:b w:val="0"/>
          <w:bCs w:val="0"/>
        </w:rPr>
      </w:pPr>
      <w:bookmarkStart w:name="二、公司相对于控股股东在业务、人员、资产、机构、财务等方面的独立情况" w:id="137"/>
      <w:bookmarkEnd w:id="137"/>
      <w:r>
        <w:rPr>
          <w:b w:val="0"/>
          <w:bCs w:val="0"/>
        </w:rPr>
      </w:r>
      <w:r>
        <w:rPr/>
        <w:t>二、公司相对于控股股东在业务、人员、资产、机构、财务等方面的独立情况</w:t>
      </w:r>
      <w:r>
        <w:rPr>
          <w:b w:val="0"/>
          <w:bCs w:val="0"/>
        </w:rPr>
      </w:r>
    </w:p>
    <w:p>
      <w:pPr>
        <w:spacing w:line="240" w:lineRule="auto" w:before="8"/>
        <w:rPr>
          <w:rFonts w:ascii="宋体" w:hAnsi="宋体" w:cs="宋体" w:eastAsia="宋体" w:hint="default"/>
          <w:b/>
          <w:bCs/>
          <w:sz w:val="30"/>
          <w:szCs w:val="30"/>
        </w:rPr>
      </w:pPr>
    </w:p>
    <w:p>
      <w:pPr>
        <w:pStyle w:val="BodyText"/>
        <w:spacing w:line="408" w:lineRule="auto" w:before="0"/>
        <w:ind w:right="1129" w:firstLine="423"/>
        <w:jc w:val="both"/>
      </w:pPr>
      <w:r>
        <w:rPr>
          <w:spacing w:val="-1"/>
        </w:rPr>
        <w:t>公司严格按照《公司法》、《证券法》等有关法律法规、部门规章、规范性文件和《公司章程》的要</w:t>
      </w:r>
      <w:r>
        <w:rPr/>
        <w:t> </w:t>
      </w:r>
      <w:r>
        <w:rPr>
          <w:spacing w:val="-1"/>
        </w:rPr>
        <w:t>求规范运作，与控股股东、实际控制人在业务、人员、资产、机构和财务等方面完全分开，具有独立完整</w:t>
      </w:r>
      <w:r>
        <w:rPr>
          <w:spacing w:val="-83"/>
        </w:rPr>
        <w:t> </w:t>
      </w:r>
      <w:r>
        <w:rPr>
          <w:spacing w:val="-83"/>
        </w:rPr>
      </w:r>
      <w:r>
        <w:rPr/>
        <w:t>的业务及自主经营能力。</w:t>
      </w:r>
    </w:p>
    <w:p>
      <w:pPr>
        <w:pStyle w:val="BodyText"/>
        <w:spacing w:line="386" w:lineRule="auto"/>
        <w:ind w:right="1194" w:firstLine="423"/>
        <w:jc w:val="left"/>
      </w:pPr>
      <w:r>
        <w:rPr>
          <w:rFonts w:ascii="Times New Roman" w:hAnsi="Times New Roman" w:cs="Times New Roman" w:eastAsia="Times New Roman" w:hint="default"/>
        </w:rPr>
        <w:t>1</w:t>
      </w:r>
      <w:r>
        <w:rPr/>
        <w:t>、业务独立性：公司具有独立的业务体系，能够独立制定、执行和完成经营目标，具有独立面向市 场的经营能力，不受控股股东及其他关联方的控制和影响，不存在对股东及其他关联方的依赖。</w:t>
      </w:r>
    </w:p>
    <w:p>
      <w:pPr>
        <w:pStyle w:val="BodyText"/>
        <w:spacing w:line="400" w:lineRule="auto" w:before="65"/>
        <w:ind w:right="1117" w:firstLine="423"/>
        <w:jc w:val="left"/>
      </w:pPr>
      <w:r>
        <w:rPr>
          <w:rFonts w:ascii="Times New Roman" w:hAnsi="Times New Roman" w:cs="Times New Roman" w:eastAsia="Times New Roman" w:hint="default"/>
        </w:rPr>
        <w:t>2</w:t>
      </w:r>
      <w:r>
        <w:rPr/>
        <w:t>、人员独立性：公司在劳动、人事、工资管理等方面完全独立。公司董事、监事及高级管理人员的 </w:t>
      </w:r>
      <w:r>
        <w:rPr>
          <w:spacing w:val="-1"/>
        </w:rPr>
        <w:t>产生严格依据法定程序执行，不存在实际控制人超越公司董事会和股东大会权限作出人事任免之情形。公</w:t>
      </w:r>
      <w:r>
        <w:rPr>
          <w:spacing w:val="-81"/>
        </w:rPr>
        <w:t> </w:t>
      </w:r>
      <w:r>
        <w:rPr>
          <w:spacing w:val="-81"/>
        </w:rPr>
      </w:r>
      <w:r>
        <w:rPr>
          <w:spacing w:val="-1"/>
        </w:rPr>
        <w:t>司高级管理人员均在本公司领取薪酬，未在实际控制人及其他股东控制的其他企业中担任职务，也没有在</w:t>
      </w:r>
      <w:r>
        <w:rPr>
          <w:spacing w:val="-81"/>
        </w:rPr>
        <w:t> </w:t>
      </w:r>
      <w:r>
        <w:rPr>
          <w:spacing w:val="-81"/>
        </w:rPr>
      </w:r>
      <w:r>
        <w:rPr/>
        <w:t>与本公司业务相同或相似、或存在其他利益冲突的企业任职或领取薪酬。</w:t>
      </w:r>
    </w:p>
    <w:p>
      <w:pPr>
        <w:pStyle w:val="BodyText"/>
        <w:spacing w:line="386" w:lineRule="auto" w:before="52"/>
        <w:ind w:right="1194" w:firstLine="423"/>
        <w:jc w:val="left"/>
      </w:pPr>
      <w:r>
        <w:rPr>
          <w:rFonts w:ascii="Times New Roman" w:hAnsi="Times New Roman" w:cs="Times New Roman" w:eastAsia="Times New Roman" w:hint="default"/>
        </w:rPr>
        <w:t>3</w:t>
      </w:r>
      <w:r>
        <w:rPr/>
        <w:t>、资产独立性：公司现有资产产权明晰，拥有经营所需的技术、专利、商标、设备等，资产完整， 不存在股东或其关联方占用公司资产之情形。</w:t>
      </w:r>
    </w:p>
    <w:p>
      <w:pPr>
        <w:pStyle w:val="BodyText"/>
        <w:spacing w:line="400" w:lineRule="auto" w:before="65"/>
        <w:ind w:right="0" w:firstLine="423"/>
        <w:jc w:val="left"/>
      </w:pPr>
      <w:r>
        <w:rPr>
          <w:rFonts w:ascii="Times New Roman" w:hAnsi="Times New Roman" w:cs="Times New Roman" w:eastAsia="Times New Roman" w:hint="default"/>
        </w:rPr>
        <w:t>4</w:t>
      </w:r>
      <w:r>
        <w:rPr/>
        <w:t>、机构独立性：公司通过股东大会、董事会、监事会、独立董事及各专门委员会制度，强化权力制 衡机制，形成了有效的法人治理结构。在内部机构设置上，公司建立了适应自身发展需要的组织机构，明 确了各机构职能，定员定岗，并制定了相应的内部管理与控制制度。公司各职能部门均独立履行其职能，</w:t>
      </w:r>
      <w:r>
        <w:rPr>
          <w:spacing w:val="-38"/>
        </w:rPr>
        <w:t> </w:t>
      </w:r>
      <w:r>
        <w:rPr>
          <w:spacing w:val="-38"/>
        </w:rPr>
      </w:r>
      <w:r>
        <w:rPr/>
        <w:t>独立开展生产经营活动，不存在受实际控制人、控股股东或关联方干预之情形。</w:t>
      </w:r>
    </w:p>
    <w:p>
      <w:pPr>
        <w:pStyle w:val="BodyText"/>
        <w:spacing w:line="398" w:lineRule="auto" w:before="52"/>
        <w:ind w:right="1117" w:firstLine="423"/>
        <w:jc w:val="left"/>
      </w:pPr>
      <w:r>
        <w:rPr>
          <w:rFonts w:ascii="Times New Roman" w:hAnsi="Times New Roman" w:cs="Times New Roman" w:eastAsia="Times New Roman" w:hint="default"/>
        </w:rPr>
        <w:t>5</w:t>
      </w:r>
      <w:r>
        <w:rPr/>
        <w:t>、财务独立性：公司设有独立的财务部门，配置有独立的财务人员，并建立了独立的会计核算体系 </w:t>
      </w:r>
      <w:r>
        <w:rPr>
          <w:spacing w:val="-5"/>
        </w:rPr>
        <w:t>和财务管理制度，独立管理公司财务档案，能够根据《公司章程》规定的程序和权限，独立作出财务决策。</w:t>
      </w:r>
      <w:r>
        <w:rPr/>
        <w:t> 公司及子公司均为独立核算主体，独立在银行开户，资金使用亦不受控股股东、实际控制人干预。</w:t>
      </w:r>
    </w:p>
    <w:p>
      <w:pPr>
        <w:spacing w:line="240" w:lineRule="auto" w:before="6"/>
        <w:rPr>
          <w:rFonts w:ascii="宋体" w:hAnsi="宋体" w:cs="宋体" w:eastAsia="宋体" w:hint="default"/>
          <w:sz w:val="19"/>
          <w:szCs w:val="19"/>
        </w:rPr>
      </w:pPr>
    </w:p>
    <w:p>
      <w:pPr>
        <w:pStyle w:val="Heading2"/>
        <w:spacing w:line="240" w:lineRule="auto"/>
        <w:ind w:right="1117"/>
        <w:jc w:val="left"/>
        <w:rPr>
          <w:b w:val="0"/>
          <w:bCs w:val="0"/>
        </w:rPr>
      </w:pPr>
      <w:bookmarkStart w:name="三、同业竞争情况" w:id="138"/>
      <w:bookmarkEnd w:id="138"/>
      <w:r>
        <w:rPr>
          <w:b w:val="0"/>
          <w:bCs w:val="0"/>
        </w:rPr>
      </w:r>
      <w:r>
        <w:rPr/>
        <w:t>三、同业竞争情况</w:t>
      </w:r>
      <w:r>
        <w:rPr>
          <w:b w:val="0"/>
          <w:bCs w:val="0"/>
        </w:rPr>
      </w:r>
    </w:p>
    <w:p>
      <w:pPr>
        <w:spacing w:line="240" w:lineRule="auto" w:before="8"/>
        <w:rPr>
          <w:rFonts w:ascii="宋体" w:hAnsi="宋体" w:cs="宋体" w:eastAsia="宋体" w:hint="default"/>
          <w:b/>
          <w:bCs/>
          <w:sz w:val="26"/>
          <w:szCs w:val="26"/>
        </w:rPr>
      </w:pPr>
    </w:p>
    <w:p>
      <w:pPr>
        <w:spacing w:before="0"/>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适用</w:t>
      </w:r>
      <w:r>
        <w:rPr>
          <w:rFonts w:ascii="Times New Roman" w:hAnsi="Times New Roman" w:cs="Times New Roman" w:eastAsia="Times New Roman" w:hint="default"/>
          <w:sz w:val="18"/>
          <w:szCs w:val="18"/>
        </w:rPr>
        <w:t>√</w:t>
      </w:r>
      <w:r>
        <w:rPr>
          <w:rFonts w:ascii="宋体" w:hAnsi="宋体" w:cs="宋体" w:eastAsia="宋体" w:hint="default"/>
          <w:sz w:val="18"/>
          <w:szCs w:val="18"/>
        </w:rPr>
        <w:t>不适用</w:t>
      </w:r>
    </w:p>
    <w:p>
      <w:pPr>
        <w:spacing w:after="0"/>
        <w:jc w:val="left"/>
        <w:rPr>
          <w:rFonts w:ascii="宋体" w:hAnsi="宋体" w:cs="宋体" w:eastAsia="宋体" w:hint="default"/>
          <w:sz w:val="18"/>
          <w:szCs w:val="18"/>
        </w:rPr>
        <w:sectPr>
          <w:pgSz w:w="11910" w:h="16840"/>
          <w:pgMar w:header="877" w:footer="979" w:top="1060" w:bottom="1160" w:left="980" w:right="0"/>
        </w:sectPr>
      </w:pPr>
    </w:p>
    <w:p>
      <w:pPr>
        <w:spacing w:line="240" w:lineRule="auto" w:before="8"/>
        <w:rPr>
          <w:rFonts w:ascii="宋体" w:hAnsi="宋体" w:cs="宋体" w:eastAsia="宋体" w:hint="default"/>
          <w:sz w:val="23"/>
          <w:szCs w:val="23"/>
        </w:rPr>
      </w:pPr>
    </w:p>
    <w:p>
      <w:pPr>
        <w:pStyle w:val="Heading2"/>
        <w:spacing w:line="240" w:lineRule="auto" w:before="26"/>
        <w:ind w:right="1117"/>
        <w:jc w:val="left"/>
        <w:rPr>
          <w:b w:val="0"/>
          <w:bCs w:val="0"/>
        </w:rPr>
      </w:pPr>
      <w:bookmarkStart w:name="四、报告期内召开的年度股东大会和临时股东大会的有关情况" w:id="139"/>
      <w:bookmarkEnd w:id="139"/>
      <w:r>
        <w:rPr>
          <w:b w:val="0"/>
          <w:bCs w:val="0"/>
        </w:rPr>
      </w:r>
      <w:r>
        <w:rPr/>
        <w:t>四、报告期内召开的年度股东大会和临时股东大会的有关情况</w:t>
      </w:r>
      <w:r>
        <w:rPr>
          <w:b w:val="0"/>
          <w:bCs w:val="0"/>
        </w:rPr>
      </w:r>
    </w:p>
    <w:p>
      <w:pPr>
        <w:spacing w:line="240" w:lineRule="auto" w:before="9"/>
        <w:rPr>
          <w:rFonts w:ascii="宋体" w:hAnsi="宋体" w:cs="宋体" w:eastAsia="宋体" w:hint="default"/>
          <w:b/>
          <w:bCs/>
          <w:sz w:val="24"/>
          <w:szCs w:val="24"/>
        </w:rPr>
      </w:pPr>
    </w:p>
    <w:p>
      <w:pPr>
        <w:pStyle w:val="Heading4"/>
        <w:spacing w:line="240" w:lineRule="auto"/>
        <w:ind w:right="1117"/>
        <w:jc w:val="left"/>
        <w:rPr>
          <w:b w:val="0"/>
          <w:bCs w:val="0"/>
        </w:rPr>
      </w:pPr>
      <w:bookmarkStart w:name="1、本报告期股东大会情况" w:id="140"/>
      <w:bookmarkEnd w:id="140"/>
      <w:r>
        <w:rPr>
          <w:b w:val="0"/>
          <w:bCs w:val="0"/>
        </w:rPr>
      </w:r>
      <w:r>
        <w:rPr>
          <w:rFonts w:ascii="Times New Roman" w:hAnsi="Times New Roman" w:cs="Times New Roman" w:eastAsia="Times New Roman" w:hint="default"/>
        </w:rPr>
        <w:t>1</w:t>
      </w:r>
      <w:r>
        <w:rPr/>
        <w:t>、本报告期股东大会情况</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1596"/>
        <w:gridCol w:w="1594"/>
        <w:gridCol w:w="1595"/>
        <w:gridCol w:w="1594"/>
        <w:gridCol w:w="1594"/>
        <w:gridCol w:w="1595"/>
      </w:tblGrid>
      <w:tr>
        <w:trPr>
          <w:trHeight w:val="402" w:hRule="exact"/>
        </w:trPr>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2" w:right="0"/>
              <w:jc w:val="left"/>
              <w:rPr>
                <w:rFonts w:ascii="宋体" w:hAnsi="宋体" w:cs="宋体" w:eastAsia="宋体" w:hint="default"/>
                <w:sz w:val="18"/>
                <w:szCs w:val="18"/>
              </w:rPr>
            </w:pPr>
            <w:r>
              <w:rPr>
                <w:rFonts w:ascii="宋体" w:hAnsi="宋体" w:cs="宋体" w:eastAsia="宋体" w:hint="default"/>
                <w:sz w:val="18"/>
                <w:szCs w:val="18"/>
              </w:rPr>
              <w:t>会议届次</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2" w:right="0"/>
              <w:jc w:val="left"/>
              <w:rPr>
                <w:rFonts w:ascii="宋体" w:hAnsi="宋体" w:cs="宋体" w:eastAsia="宋体" w:hint="default"/>
                <w:sz w:val="18"/>
                <w:szCs w:val="18"/>
              </w:rPr>
            </w:pPr>
            <w:r>
              <w:rPr>
                <w:rFonts w:ascii="宋体" w:hAnsi="宋体" w:cs="宋体" w:eastAsia="宋体" w:hint="default"/>
                <w:sz w:val="18"/>
                <w:szCs w:val="18"/>
              </w:rPr>
              <w:t>会议类型</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63" w:right="0"/>
              <w:jc w:val="left"/>
              <w:rPr>
                <w:rFonts w:ascii="宋体" w:hAnsi="宋体" w:cs="宋体" w:eastAsia="宋体" w:hint="default"/>
                <w:sz w:val="18"/>
                <w:szCs w:val="18"/>
              </w:rPr>
            </w:pPr>
            <w:r>
              <w:rPr>
                <w:rFonts w:ascii="宋体" w:hAnsi="宋体" w:cs="宋体" w:eastAsia="宋体" w:hint="default"/>
                <w:sz w:val="18"/>
                <w:szCs w:val="18"/>
              </w:rPr>
              <w:t>投资者参与比例</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召开日期</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披露日期</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3" w:right="0"/>
              <w:jc w:val="left"/>
              <w:rPr>
                <w:rFonts w:ascii="宋体" w:hAnsi="宋体" w:cs="宋体" w:eastAsia="宋体" w:hint="default"/>
                <w:sz w:val="18"/>
                <w:szCs w:val="18"/>
              </w:rPr>
            </w:pPr>
            <w:r>
              <w:rPr>
                <w:rFonts w:ascii="宋体" w:hAnsi="宋体" w:cs="宋体" w:eastAsia="宋体" w:hint="default"/>
                <w:sz w:val="18"/>
                <w:szCs w:val="18"/>
              </w:rPr>
              <w:t>披露索引</w:t>
            </w:r>
          </w:p>
        </w:tc>
      </w:tr>
      <w:tr>
        <w:trPr>
          <w:trHeight w:val="1026"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302" w:lineRule="auto"/>
              <w:ind w:left="22" w:right="77"/>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年第一次临时 股东大会</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临时股东大会</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0.15%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53"/>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52"/>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338" w:lineRule="auto" w:before="51"/>
              <w:ind w:left="23" w:right="20"/>
              <w:jc w:val="left"/>
              <w:rPr>
                <w:rFonts w:ascii="Times New Roman" w:hAnsi="Times New Roman" w:cs="Times New Roman" w:eastAsia="Times New Roman" w:hint="default"/>
                <w:sz w:val="18"/>
                <w:szCs w:val="18"/>
              </w:rPr>
            </w:pPr>
            <w:r>
              <w:rPr>
                <w:rFonts w:ascii="宋体" w:hAnsi="宋体" w:cs="宋体" w:eastAsia="宋体" w:hint="default"/>
                <w:sz w:val="18"/>
                <w:szCs w:val="18"/>
              </w:rPr>
              <w:t>巨潮资讯网 </w:t>
            </w:r>
            <w:hyperlink r:id="rId42">
              <w:r>
                <w:rPr>
                  <w:rFonts w:ascii="Times New Roman" w:hAnsi="Times New Roman" w:cs="Times New Roman" w:eastAsia="Times New Roman" w:hint="default"/>
                  <w:sz w:val="18"/>
                  <w:szCs w:val="18"/>
                </w:rPr>
                <w:t>www.cninfo.com.cn,</w:t>
              </w:r>
            </w:hyperlink>
            <w:r>
              <w:rPr>
                <w:rFonts w:ascii="Times New Roman" w:hAnsi="Times New Roman" w:cs="Times New Roman" w:eastAsia="Times New Roman" w:hint="default"/>
                <w:sz w:val="18"/>
                <w:szCs w:val="18"/>
              </w:rPr>
              <w:t> </w:t>
            </w:r>
            <w:r>
              <w:rPr>
                <w:rFonts w:ascii="宋体" w:hAnsi="宋体" w:cs="宋体" w:eastAsia="宋体" w:hint="default"/>
                <w:spacing w:val="-4"/>
                <w:sz w:val="18"/>
                <w:szCs w:val="18"/>
              </w:rPr>
              <w:t>公告编号：</w:t>
            </w:r>
            <w:r>
              <w:rPr>
                <w:rFonts w:ascii="Times New Roman" w:hAnsi="Times New Roman" w:cs="Times New Roman" w:eastAsia="Times New Roman" w:hint="default"/>
                <w:spacing w:val="-4"/>
                <w:sz w:val="18"/>
                <w:szCs w:val="18"/>
              </w:rPr>
              <w:t>2018-017</w:t>
            </w:r>
          </w:p>
        </w:tc>
      </w:tr>
      <w:tr>
        <w:trPr>
          <w:trHeight w:val="1026"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302" w:lineRule="auto"/>
              <w:ind w:left="22" w:right="77"/>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年年度股东大 会</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年度股东大会</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0.18%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53"/>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52"/>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338" w:lineRule="auto" w:before="51"/>
              <w:ind w:left="23" w:right="20"/>
              <w:jc w:val="left"/>
              <w:rPr>
                <w:rFonts w:ascii="Times New Roman" w:hAnsi="Times New Roman" w:cs="Times New Roman" w:eastAsia="Times New Roman" w:hint="default"/>
                <w:sz w:val="18"/>
                <w:szCs w:val="18"/>
              </w:rPr>
            </w:pPr>
            <w:r>
              <w:rPr>
                <w:rFonts w:ascii="宋体" w:hAnsi="宋体" w:cs="宋体" w:eastAsia="宋体" w:hint="default"/>
                <w:sz w:val="18"/>
                <w:szCs w:val="18"/>
              </w:rPr>
              <w:t>巨潮资讯网 </w:t>
            </w:r>
            <w:hyperlink r:id="rId42">
              <w:r>
                <w:rPr>
                  <w:rFonts w:ascii="Times New Roman" w:hAnsi="Times New Roman" w:cs="Times New Roman" w:eastAsia="Times New Roman" w:hint="default"/>
                  <w:sz w:val="18"/>
                  <w:szCs w:val="18"/>
                </w:rPr>
                <w:t>www.cninfo.com.cn,</w:t>
              </w:r>
            </w:hyperlink>
            <w:r>
              <w:rPr>
                <w:rFonts w:ascii="Times New Roman" w:hAnsi="Times New Roman" w:cs="Times New Roman" w:eastAsia="Times New Roman" w:hint="default"/>
                <w:sz w:val="18"/>
                <w:szCs w:val="18"/>
              </w:rPr>
              <w:t> </w:t>
            </w:r>
            <w:r>
              <w:rPr>
                <w:rFonts w:ascii="宋体" w:hAnsi="宋体" w:cs="宋体" w:eastAsia="宋体" w:hint="default"/>
                <w:spacing w:val="-4"/>
                <w:sz w:val="18"/>
                <w:szCs w:val="18"/>
              </w:rPr>
              <w:t>公告编号：</w:t>
            </w:r>
            <w:r>
              <w:rPr>
                <w:rFonts w:ascii="Times New Roman" w:hAnsi="Times New Roman" w:cs="Times New Roman" w:eastAsia="Times New Roman" w:hint="default"/>
                <w:spacing w:val="-4"/>
                <w:sz w:val="18"/>
                <w:szCs w:val="18"/>
              </w:rPr>
              <w:t>2018-038</w:t>
            </w:r>
          </w:p>
        </w:tc>
      </w:tr>
      <w:tr>
        <w:trPr>
          <w:trHeight w:val="1026"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302" w:lineRule="auto"/>
              <w:ind w:left="22" w:right="77"/>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年第二次临时 股东大会</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临时股东大会</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0.25%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53"/>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52"/>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338" w:lineRule="auto" w:before="51"/>
              <w:ind w:left="23" w:right="20"/>
              <w:jc w:val="left"/>
              <w:rPr>
                <w:rFonts w:ascii="Times New Roman" w:hAnsi="Times New Roman" w:cs="Times New Roman" w:eastAsia="Times New Roman" w:hint="default"/>
                <w:sz w:val="18"/>
                <w:szCs w:val="18"/>
              </w:rPr>
            </w:pPr>
            <w:r>
              <w:rPr>
                <w:rFonts w:ascii="宋体" w:hAnsi="宋体" w:cs="宋体" w:eastAsia="宋体" w:hint="default"/>
                <w:sz w:val="18"/>
                <w:szCs w:val="18"/>
              </w:rPr>
              <w:t>巨潮资讯网 </w:t>
            </w:r>
            <w:hyperlink r:id="rId42">
              <w:r>
                <w:rPr>
                  <w:rFonts w:ascii="Times New Roman" w:hAnsi="Times New Roman" w:cs="Times New Roman" w:eastAsia="Times New Roman" w:hint="default"/>
                  <w:sz w:val="18"/>
                  <w:szCs w:val="18"/>
                </w:rPr>
                <w:t>www.cninfo.com.cn,</w:t>
              </w:r>
            </w:hyperlink>
            <w:r>
              <w:rPr>
                <w:rFonts w:ascii="Times New Roman" w:hAnsi="Times New Roman" w:cs="Times New Roman" w:eastAsia="Times New Roman" w:hint="default"/>
                <w:sz w:val="18"/>
                <w:szCs w:val="18"/>
              </w:rPr>
              <w:t> </w:t>
            </w:r>
            <w:r>
              <w:rPr>
                <w:rFonts w:ascii="宋体" w:hAnsi="宋体" w:cs="宋体" w:eastAsia="宋体" w:hint="default"/>
                <w:spacing w:val="-4"/>
                <w:sz w:val="18"/>
                <w:szCs w:val="18"/>
              </w:rPr>
              <w:t>公告编号：</w:t>
            </w:r>
            <w:r>
              <w:rPr>
                <w:rFonts w:ascii="Times New Roman" w:hAnsi="Times New Roman" w:cs="Times New Roman" w:eastAsia="Times New Roman" w:hint="default"/>
                <w:spacing w:val="-4"/>
                <w:sz w:val="18"/>
                <w:szCs w:val="18"/>
              </w:rPr>
              <w:t>2018-085</w:t>
            </w:r>
          </w:p>
        </w:tc>
      </w:tr>
    </w:tbl>
    <w:p>
      <w:pPr>
        <w:spacing w:line="240" w:lineRule="auto" w:before="2"/>
        <w:rPr>
          <w:rFonts w:ascii="宋体" w:hAnsi="宋体" w:cs="宋体" w:eastAsia="宋体" w:hint="default"/>
          <w:b/>
          <w:bCs/>
          <w:sz w:val="19"/>
          <w:szCs w:val="19"/>
        </w:rPr>
      </w:pPr>
    </w:p>
    <w:p>
      <w:pPr>
        <w:pStyle w:val="Heading4"/>
        <w:spacing w:line="240" w:lineRule="auto" w:before="35"/>
        <w:ind w:right="1117"/>
        <w:jc w:val="left"/>
        <w:rPr>
          <w:b w:val="0"/>
          <w:bCs w:val="0"/>
        </w:rPr>
      </w:pPr>
      <w:bookmarkStart w:name="2、表决权恢复的优先股股东请求召开临时股东大会" w:id="141"/>
      <w:bookmarkEnd w:id="141"/>
      <w:r>
        <w:rPr>
          <w:b w:val="0"/>
          <w:bCs w:val="0"/>
        </w:rPr>
      </w:r>
      <w:r>
        <w:rPr>
          <w:rFonts w:ascii="Times New Roman" w:hAnsi="Times New Roman" w:cs="Times New Roman" w:eastAsia="Times New Roman" w:hint="default"/>
        </w:rPr>
        <w:t>2</w:t>
      </w:r>
      <w:r>
        <w:rPr/>
        <w:t>、表决权恢复的优先股股东请求召开临时股东大会</w:t>
      </w:r>
      <w:r>
        <w:rPr>
          <w:b w:val="0"/>
          <w:bCs w:val="0"/>
        </w:rPr>
      </w:r>
    </w:p>
    <w:p>
      <w:pPr>
        <w:spacing w:line="240" w:lineRule="auto" w:before="9"/>
        <w:rPr>
          <w:rFonts w:ascii="宋体" w:hAnsi="宋体" w:cs="宋体" w:eastAsia="宋体" w:hint="default"/>
          <w:b/>
          <w:bCs/>
          <w:sz w:val="26"/>
          <w:szCs w:val="26"/>
        </w:rPr>
      </w:pPr>
    </w:p>
    <w:p>
      <w:pPr>
        <w:spacing w:before="0"/>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适用</w:t>
      </w:r>
      <w:r>
        <w:rPr>
          <w:rFonts w:ascii="Times New Roman" w:hAnsi="Times New Roman" w:cs="Times New Roman" w:eastAsia="Times New Roman" w:hint="default"/>
          <w:sz w:val="18"/>
          <w:szCs w:val="18"/>
        </w:rPr>
        <w:t>√</w:t>
      </w:r>
      <w:r>
        <w:rPr>
          <w:rFonts w:ascii="宋体" w:hAnsi="宋体" w:cs="宋体" w:eastAsia="宋体" w:hint="default"/>
          <w:sz w:val="18"/>
          <w:szCs w:val="18"/>
        </w:rPr>
        <w:t>不适用</w:t>
      </w:r>
    </w:p>
    <w:p>
      <w:pPr>
        <w:spacing w:line="240" w:lineRule="auto" w:before="12"/>
        <w:rPr>
          <w:rFonts w:ascii="宋体" w:hAnsi="宋体" w:cs="宋体" w:eastAsia="宋体" w:hint="default"/>
          <w:sz w:val="23"/>
          <w:szCs w:val="23"/>
        </w:rPr>
      </w:pPr>
    </w:p>
    <w:p>
      <w:pPr>
        <w:pStyle w:val="Heading2"/>
        <w:spacing w:line="240" w:lineRule="auto"/>
        <w:ind w:right="1117"/>
        <w:jc w:val="left"/>
        <w:rPr>
          <w:b w:val="0"/>
          <w:bCs w:val="0"/>
        </w:rPr>
      </w:pPr>
      <w:bookmarkStart w:name="五、报告期内独立董事履行职责的情况" w:id="142"/>
      <w:bookmarkEnd w:id="142"/>
      <w:r>
        <w:rPr>
          <w:b w:val="0"/>
          <w:bCs w:val="0"/>
        </w:rPr>
      </w:r>
      <w:r>
        <w:rPr/>
        <w:t>五、报告期内独立董事履行职责的情况</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1117"/>
        <w:jc w:val="left"/>
        <w:rPr>
          <w:b w:val="0"/>
          <w:bCs w:val="0"/>
        </w:rPr>
      </w:pPr>
      <w:bookmarkStart w:name="1、独立董事出席董事会及股东大会的情况" w:id="143"/>
      <w:bookmarkEnd w:id="143"/>
      <w:r>
        <w:rPr>
          <w:b w:val="0"/>
          <w:bCs w:val="0"/>
        </w:rPr>
      </w:r>
      <w:r>
        <w:rPr>
          <w:rFonts w:ascii="Times New Roman" w:hAnsi="Times New Roman" w:cs="Times New Roman" w:eastAsia="Times New Roman" w:hint="default"/>
        </w:rPr>
        <w:t>1</w:t>
      </w:r>
      <w:r>
        <w:rPr/>
        <w:t>、独立董事出席董事会及股东大会的情况</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1427"/>
        <w:gridCol w:w="1164"/>
        <w:gridCol w:w="1164"/>
        <w:gridCol w:w="1163"/>
        <w:gridCol w:w="1164"/>
        <w:gridCol w:w="1163"/>
        <w:gridCol w:w="1163"/>
        <w:gridCol w:w="1163"/>
      </w:tblGrid>
      <w:tr>
        <w:trPr>
          <w:trHeight w:val="402" w:hRule="exact"/>
        </w:trPr>
        <w:tc>
          <w:tcPr>
            <w:tcW w:w="9571" w:type="dxa"/>
            <w:gridSpan w:val="8"/>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独立董事出席董事会及股东大会的情况</w:t>
            </w:r>
          </w:p>
        </w:tc>
      </w:tr>
      <w:tr>
        <w:trPr>
          <w:trHeight w:val="1026" w:hRule="exact"/>
        </w:trPr>
        <w:tc>
          <w:tcPr>
            <w:tcW w:w="14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168" w:right="0"/>
              <w:jc w:val="left"/>
              <w:rPr>
                <w:rFonts w:ascii="宋体" w:hAnsi="宋体" w:cs="宋体" w:eastAsia="宋体" w:hint="default"/>
                <w:sz w:val="18"/>
                <w:szCs w:val="18"/>
              </w:rPr>
            </w:pPr>
            <w:r>
              <w:rPr>
                <w:rFonts w:ascii="宋体" w:hAnsi="宋体" w:cs="宋体" w:eastAsia="宋体" w:hint="default"/>
                <w:sz w:val="18"/>
                <w:szCs w:val="18"/>
              </w:rPr>
              <w:t>独立董事姓名</w:t>
            </w:r>
          </w:p>
        </w:tc>
        <w:tc>
          <w:tcPr>
            <w:tcW w:w="1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316" w:lineRule="auto"/>
              <w:ind w:left="35" w:right="36"/>
              <w:jc w:val="left"/>
              <w:rPr>
                <w:rFonts w:ascii="宋体" w:hAnsi="宋体" w:cs="宋体" w:eastAsia="宋体" w:hint="default"/>
                <w:sz w:val="18"/>
                <w:szCs w:val="18"/>
              </w:rPr>
            </w:pPr>
            <w:r>
              <w:rPr>
                <w:rFonts w:ascii="宋体" w:hAnsi="宋体" w:cs="宋体" w:eastAsia="宋体" w:hint="default"/>
                <w:sz w:val="18"/>
                <w:szCs w:val="18"/>
              </w:rPr>
              <w:t>本报告期应参 加董事会次数</w:t>
            </w:r>
          </w:p>
        </w:tc>
        <w:tc>
          <w:tcPr>
            <w:tcW w:w="1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316" w:lineRule="auto"/>
              <w:ind w:left="305" w:right="36" w:hanging="270"/>
              <w:jc w:val="left"/>
              <w:rPr>
                <w:rFonts w:ascii="宋体" w:hAnsi="宋体" w:cs="宋体" w:eastAsia="宋体" w:hint="default"/>
                <w:sz w:val="18"/>
                <w:szCs w:val="18"/>
              </w:rPr>
            </w:pPr>
            <w:r>
              <w:rPr>
                <w:rFonts w:ascii="宋体" w:hAnsi="宋体" w:cs="宋体" w:eastAsia="宋体" w:hint="default"/>
                <w:sz w:val="18"/>
                <w:szCs w:val="18"/>
              </w:rPr>
              <w:t>现场出席董事 会次数</w:t>
            </w:r>
          </w:p>
        </w:tc>
        <w:tc>
          <w:tcPr>
            <w:tcW w:w="11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316" w:lineRule="auto"/>
              <w:ind w:left="35" w:right="35"/>
              <w:jc w:val="left"/>
              <w:rPr>
                <w:rFonts w:ascii="宋体" w:hAnsi="宋体" w:cs="宋体" w:eastAsia="宋体" w:hint="default"/>
                <w:sz w:val="18"/>
                <w:szCs w:val="18"/>
              </w:rPr>
            </w:pPr>
            <w:r>
              <w:rPr>
                <w:rFonts w:ascii="宋体" w:hAnsi="宋体" w:cs="宋体" w:eastAsia="宋体" w:hint="default"/>
                <w:sz w:val="18"/>
                <w:szCs w:val="18"/>
              </w:rPr>
              <w:t>以通讯方式参 加董事会次数</w:t>
            </w:r>
          </w:p>
        </w:tc>
        <w:tc>
          <w:tcPr>
            <w:tcW w:w="1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316" w:lineRule="auto"/>
              <w:ind w:left="307" w:right="35" w:hanging="270"/>
              <w:jc w:val="left"/>
              <w:rPr>
                <w:rFonts w:ascii="宋体" w:hAnsi="宋体" w:cs="宋体" w:eastAsia="宋体" w:hint="default"/>
                <w:sz w:val="18"/>
                <w:szCs w:val="18"/>
              </w:rPr>
            </w:pPr>
            <w:r>
              <w:rPr>
                <w:rFonts w:ascii="宋体" w:hAnsi="宋体" w:cs="宋体" w:eastAsia="宋体" w:hint="default"/>
                <w:sz w:val="18"/>
                <w:szCs w:val="18"/>
              </w:rPr>
              <w:t>委托出席董事 会次数</w:t>
            </w:r>
          </w:p>
        </w:tc>
        <w:tc>
          <w:tcPr>
            <w:tcW w:w="11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316" w:lineRule="auto"/>
              <w:ind w:left="485" w:right="35" w:hanging="450"/>
              <w:jc w:val="left"/>
              <w:rPr>
                <w:rFonts w:ascii="宋体" w:hAnsi="宋体" w:cs="宋体" w:eastAsia="宋体" w:hint="default"/>
                <w:sz w:val="18"/>
                <w:szCs w:val="18"/>
              </w:rPr>
            </w:pPr>
            <w:r>
              <w:rPr>
                <w:rFonts w:ascii="宋体" w:hAnsi="宋体" w:cs="宋体" w:eastAsia="宋体" w:hint="default"/>
                <w:sz w:val="18"/>
                <w:szCs w:val="18"/>
              </w:rPr>
              <w:t>缺席董事会次 数</w:t>
            </w:r>
          </w:p>
        </w:tc>
        <w:tc>
          <w:tcPr>
            <w:tcW w:w="11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35" w:right="35"/>
              <w:jc w:val="center"/>
              <w:rPr>
                <w:rFonts w:ascii="宋体" w:hAnsi="宋体" w:cs="宋体" w:eastAsia="宋体" w:hint="default"/>
                <w:sz w:val="18"/>
                <w:szCs w:val="18"/>
              </w:rPr>
            </w:pPr>
            <w:r>
              <w:rPr>
                <w:rFonts w:ascii="宋体" w:hAnsi="宋体" w:cs="宋体" w:eastAsia="宋体" w:hint="default"/>
                <w:sz w:val="18"/>
                <w:szCs w:val="18"/>
              </w:rPr>
              <w:t>是否连续两次 未亲自参加董 事会会议</w:t>
            </w:r>
          </w:p>
        </w:tc>
        <w:tc>
          <w:tcPr>
            <w:tcW w:w="11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316" w:lineRule="auto"/>
              <w:ind w:left="395" w:right="35" w:hanging="360"/>
              <w:jc w:val="left"/>
              <w:rPr>
                <w:rFonts w:ascii="宋体" w:hAnsi="宋体" w:cs="宋体" w:eastAsia="宋体" w:hint="default"/>
                <w:sz w:val="18"/>
                <w:szCs w:val="18"/>
              </w:rPr>
            </w:pPr>
            <w:r>
              <w:rPr>
                <w:rFonts w:ascii="宋体" w:hAnsi="宋体" w:cs="宋体" w:eastAsia="宋体" w:hint="default"/>
                <w:sz w:val="18"/>
                <w:szCs w:val="18"/>
              </w:rPr>
              <w:t>出席股东大会 次数</w:t>
            </w:r>
          </w:p>
        </w:tc>
      </w:tr>
      <w:tr>
        <w:trPr>
          <w:trHeight w:val="402" w:hRule="exact"/>
        </w:trPr>
        <w:tc>
          <w:tcPr>
            <w:tcW w:w="1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刘汴生</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10</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z w:val="18"/>
              </w:rPr>
              <w:t>10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w:t>
            </w:r>
          </w:p>
        </w:tc>
      </w:tr>
      <w:tr>
        <w:trPr>
          <w:trHeight w:val="402" w:hRule="exact"/>
        </w:trPr>
        <w:tc>
          <w:tcPr>
            <w:tcW w:w="1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张英瑶</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10</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z w:val="18"/>
              </w:rPr>
              <w:t>10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w:t>
            </w:r>
          </w:p>
        </w:tc>
      </w:tr>
      <w:tr>
        <w:trPr>
          <w:trHeight w:val="402" w:hRule="exact"/>
        </w:trPr>
        <w:tc>
          <w:tcPr>
            <w:tcW w:w="1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王玉辉</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10</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z w:val="18"/>
              </w:rPr>
              <w:t>10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w:t>
            </w:r>
          </w:p>
        </w:tc>
      </w:tr>
      <w:tr>
        <w:trPr>
          <w:trHeight w:val="402" w:hRule="exact"/>
        </w:trPr>
        <w:tc>
          <w:tcPr>
            <w:tcW w:w="1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毕会静</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10</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z w:val="18"/>
              </w:rPr>
              <w:t>9</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w:t>
            </w:r>
          </w:p>
        </w:tc>
      </w:tr>
    </w:tbl>
    <w:p>
      <w:pPr>
        <w:spacing w:before="51"/>
        <w:ind w:left="154" w:right="1117" w:firstLine="0"/>
        <w:jc w:val="left"/>
        <w:rPr>
          <w:rFonts w:ascii="宋体" w:hAnsi="宋体" w:cs="宋体" w:eastAsia="宋体" w:hint="default"/>
          <w:sz w:val="18"/>
          <w:szCs w:val="18"/>
        </w:rPr>
      </w:pPr>
      <w:r>
        <w:rPr>
          <w:rFonts w:ascii="宋体" w:hAnsi="宋体" w:cs="宋体" w:eastAsia="宋体" w:hint="default"/>
          <w:sz w:val="18"/>
          <w:szCs w:val="18"/>
        </w:rPr>
        <w:t>连续两次未亲自出席董事会的说明</w:t>
      </w:r>
    </w:p>
    <w:p>
      <w:pPr>
        <w:spacing w:line="240" w:lineRule="auto" w:before="11"/>
        <w:rPr>
          <w:rFonts w:ascii="宋体" w:hAnsi="宋体" w:cs="宋体" w:eastAsia="宋体" w:hint="default"/>
          <w:sz w:val="26"/>
          <w:szCs w:val="26"/>
        </w:rPr>
      </w:pPr>
    </w:p>
    <w:p>
      <w:pPr>
        <w:pStyle w:val="Heading4"/>
        <w:spacing w:line="240" w:lineRule="auto"/>
        <w:ind w:right="1117"/>
        <w:jc w:val="left"/>
        <w:rPr>
          <w:b w:val="0"/>
          <w:bCs w:val="0"/>
        </w:rPr>
      </w:pPr>
      <w:bookmarkStart w:name="2、独立董事对公司有关事项提出异议的情况" w:id="144"/>
      <w:bookmarkEnd w:id="144"/>
      <w:r>
        <w:rPr>
          <w:b w:val="0"/>
          <w:bCs w:val="0"/>
        </w:rPr>
      </w:r>
      <w:r>
        <w:rPr>
          <w:rFonts w:ascii="Times New Roman" w:hAnsi="Times New Roman" w:cs="Times New Roman" w:eastAsia="Times New Roman" w:hint="default"/>
        </w:rPr>
        <w:t>2</w:t>
      </w:r>
      <w:r>
        <w:rPr/>
        <w:t>、独立董事对公司有关事项提出异议的情况</w:t>
      </w:r>
      <w:r>
        <w:rPr>
          <w:b w:val="0"/>
          <w:bCs w:val="0"/>
        </w:rPr>
      </w:r>
    </w:p>
    <w:p>
      <w:pPr>
        <w:spacing w:line="240" w:lineRule="auto" w:before="8"/>
        <w:rPr>
          <w:rFonts w:ascii="宋体" w:hAnsi="宋体" w:cs="宋体" w:eastAsia="宋体" w:hint="default"/>
          <w:b/>
          <w:bCs/>
          <w:sz w:val="26"/>
          <w:szCs w:val="26"/>
        </w:rPr>
      </w:pPr>
    </w:p>
    <w:p>
      <w:pPr>
        <w:spacing w:before="0"/>
        <w:ind w:left="154" w:right="1117" w:firstLine="0"/>
        <w:jc w:val="left"/>
        <w:rPr>
          <w:rFonts w:ascii="宋体" w:hAnsi="宋体" w:cs="宋体" w:eastAsia="宋体" w:hint="default"/>
          <w:sz w:val="18"/>
          <w:szCs w:val="18"/>
        </w:rPr>
      </w:pPr>
      <w:r>
        <w:rPr>
          <w:rFonts w:ascii="宋体" w:hAnsi="宋体" w:cs="宋体" w:eastAsia="宋体" w:hint="default"/>
          <w:sz w:val="18"/>
          <w:szCs w:val="18"/>
        </w:rPr>
        <w:t>独立董事对公司有关事项是否提出异议</w:t>
      </w:r>
    </w:p>
    <w:p>
      <w:pPr>
        <w:spacing w:line="338" w:lineRule="auto" w:before="117"/>
        <w:ind w:left="154" w:right="697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是</w:t>
      </w:r>
      <w:r>
        <w:rPr>
          <w:rFonts w:ascii="Times New Roman" w:hAnsi="Times New Roman" w:cs="Times New Roman" w:eastAsia="Times New Roman" w:hint="default"/>
          <w:sz w:val="18"/>
          <w:szCs w:val="18"/>
        </w:rPr>
        <w:t>√</w:t>
      </w:r>
      <w:r>
        <w:rPr>
          <w:rFonts w:ascii="宋体" w:hAnsi="宋体" w:cs="宋体" w:eastAsia="宋体" w:hint="default"/>
          <w:sz w:val="18"/>
          <w:szCs w:val="18"/>
        </w:rPr>
        <w:t>否 报告期内独立董事对公司有关事项未提出异议。</w:t>
      </w:r>
    </w:p>
    <w:p>
      <w:pPr>
        <w:spacing w:after="0" w:line="338" w:lineRule="auto"/>
        <w:jc w:val="left"/>
        <w:rPr>
          <w:rFonts w:ascii="宋体" w:hAnsi="宋体" w:cs="宋体" w:eastAsia="宋体" w:hint="default"/>
          <w:sz w:val="18"/>
          <w:szCs w:val="18"/>
        </w:rPr>
        <w:sectPr>
          <w:pgSz w:w="11910" w:h="16840"/>
          <w:pgMar w:header="877" w:footer="979" w:top="1060" w:bottom="1160" w:left="980" w:right="0"/>
        </w:sectPr>
      </w:pPr>
    </w:p>
    <w:p>
      <w:pPr>
        <w:spacing w:line="240" w:lineRule="auto" w:before="9"/>
        <w:rPr>
          <w:rFonts w:ascii="宋体" w:hAnsi="宋体" w:cs="宋体" w:eastAsia="宋体" w:hint="default"/>
          <w:sz w:val="24"/>
          <w:szCs w:val="24"/>
        </w:rPr>
      </w:pPr>
    </w:p>
    <w:p>
      <w:pPr>
        <w:pStyle w:val="Heading4"/>
        <w:spacing w:line="240" w:lineRule="auto" w:before="35"/>
        <w:ind w:right="1117"/>
        <w:jc w:val="left"/>
        <w:rPr>
          <w:b w:val="0"/>
          <w:bCs w:val="0"/>
        </w:rPr>
      </w:pPr>
      <w:bookmarkStart w:name="3、独立董事履行职责的其他说明" w:id="145"/>
      <w:bookmarkEnd w:id="145"/>
      <w:r>
        <w:rPr>
          <w:b w:val="0"/>
          <w:bCs w:val="0"/>
        </w:rPr>
      </w:r>
      <w:r>
        <w:rPr>
          <w:rFonts w:ascii="Times New Roman" w:hAnsi="Times New Roman" w:cs="Times New Roman" w:eastAsia="Times New Roman" w:hint="default"/>
        </w:rPr>
        <w:t>3</w:t>
      </w:r>
      <w:r>
        <w:rPr/>
        <w:t>、独立董事履行职责的其他说明</w:t>
      </w:r>
      <w:r>
        <w:rPr>
          <w:b w:val="0"/>
          <w:bCs w:val="0"/>
        </w:rPr>
      </w:r>
    </w:p>
    <w:p>
      <w:pPr>
        <w:spacing w:line="240" w:lineRule="auto" w:before="9"/>
        <w:rPr>
          <w:rFonts w:ascii="宋体" w:hAnsi="宋体" w:cs="宋体" w:eastAsia="宋体" w:hint="default"/>
          <w:b/>
          <w:bCs/>
          <w:sz w:val="26"/>
          <w:szCs w:val="26"/>
        </w:rPr>
      </w:pPr>
    </w:p>
    <w:p>
      <w:pPr>
        <w:spacing w:before="0"/>
        <w:ind w:left="154" w:right="1117" w:firstLine="0"/>
        <w:jc w:val="left"/>
        <w:rPr>
          <w:rFonts w:ascii="宋体" w:hAnsi="宋体" w:cs="宋体" w:eastAsia="宋体" w:hint="default"/>
          <w:sz w:val="18"/>
          <w:szCs w:val="18"/>
        </w:rPr>
      </w:pPr>
      <w:r>
        <w:rPr>
          <w:rFonts w:ascii="宋体" w:hAnsi="宋体" w:cs="宋体" w:eastAsia="宋体" w:hint="default"/>
          <w:sz w:val="18"/>
          <w:szCs w:val="18"/>
        </w:rPr>
        <w:t>独立董事对公司有关建议是否被采纳</w:t>
      </w:r>
    </w:p>
    <w:p>
      <w:pPr>
        <w:spacing w:line="340" w:lineRule="auto" w:before="116"/>
        <w:ind w:left="154" w:right="679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是</w:t>
      </w:r>
      <w:r>
        <w:rPr>
          <w:rFonts w:ascii="Times New Roman" w:hAnsi="Times New Roman" w:cs="Times New Roman" w:eastAsia="Times New Roman" w:hint="default"/>
          <w:sz w:val="18"/>
          <w:szCs w:val="18"/>
        </w:rPr>
        <w:t>□</w:t>
      </w:r>
      <w:r>
        <w:rPr>
          <w:rFonts w:ascii="宋体" w:hAnsi="宋体" w:cs="宋体" w:eastAsia="宋体" w:hint="default"/>
          <w:sz w:val="18"/>
          <w:szCs w:val="18"/>
        </w:rPr>
        <w:t>否 独立董事对公司有关建议被采纳或未被采纳的说明</w:t>
      </w:r>
    </w:p>
    <w:p>
      <w:pPr>
        <w:pStyle w:val="BodyText"/>
        <w:spacing w:line="386" w:lineRule="auto" w:before="92"/>
        <w:ind w:right="1132" w:firstLine="423"/>
        <w:jc w:val="both"/>
      </w:pPr>
      <w:r>
        <w:rPr>
          <w:spacing w:val="-1"/>
        </w:rPr>
        <w:t>（</w:t>
      </w:r>
      <w:r>
        <w:rPr>
          <w:rFonts w:ascii="Times New Roman" w:hAnsi="Times New Roman" w:cs="Times New Roman" w:eastAsia="Times New Roman" w:hint="default"/>
          <w:spacing w:val="-1"/>
        </w:rPr>
        <w:t>1</w:t>
      </w:r>
      <w:r>
        <w:rPr>
          <w:spacing w:val="-1"/>
        </w:rPr>
        <w:t>）在</w:t>
      </w:r>
      <w:r>
        <w:rPr>
          <w:rFonts w:ascii="Times New Roman" w:hAnsi="Times New Roman" w:cs="Times New Roman" w:eastAsia="Times New Roman" w:hint="default"/>
          <w:spacing w:val="-1"/>
        </w:rPr>
        <w:t>2018</w:t>
      </w:r>
      <w:r>
        <w:rPr>
          <w:spacing w:val="-1"/>
        </w:rPr>
        <w:t>年</w:t>
      </w:r>
      <w:r>
        <w:rPr>
          <w:rFonts w:ascii="Times New Roman" w:hAnsi="Times New Roman" w:cs="Times New Roman" w:eastAsia="Times New Roman" w:hint="default"/>
          <w:spacing w:val="-1"/>
        </w:rPr>
        <w:t>1</w:t>
      </w:r>
      <w:r>
        <w:rPr>
          <w:spacing w:val="-1"/>
        </w:rPr>
        <w:t>月</w:t>
      </w:r>
      <w:r>
        <w:rPr>
          <w:rFonts w:ascii="Times New Roman" w:hAnsi="Times New Roman" w:cs="Times New Roman" w:eastAsia="Times New Roman" w:hint="default"/>
          <w:spacing w:val="-1"/>
        </w:rPr>
        <w:t>24</w:t>
      </w:r>
      <w:r>
        <w:rPr>
          <w:spacing w:val="-1"/>
        </w:rPr>
        <w:t>日召开的第四届董事会第八次会议上，就公司对外投资设立参股子公司发表了独</w:t>
      </w:r>
      <w:r>
        <w:rPr/>
        <w:t> 立意见并被采纳；</w:t>
      </w:r>
    </w:p>
    <w:p>
      <w:pPr>
        <w:pStyle w:val="BodyText"/>
        <w:spacing w:line="386" w:lineRule="auto" w:before="65"/>
        <w:ind w:right="1131" w:firstLine="423"/>
        <w:jc w:val="both"/>
      </w:pPr>
      <w:r>
        <w:rPr>
          <w:spacing w:val="-1"/>
        </w:rPr>
        <w:t>（</w:t>
      </w:r>
      <w:r>
        <w:rPr>
          <w:rFonts w:ascii="Times New Roman" w:hAnsi="Times New Roman" w:cs="Times New Roman" w:eastAsia="Times New Roman" w:hint="default"/>
          <w:spacing w:val="-1"/>
        </w:rPr>
        <w:t>2</w:t>
      </w:r>
      <w:r>
        <w:rPr>
          <w:spacing w:val="-1"/>
        </w:rPr>
        <w:t>）在</w:t>
      </w:r>
      <w:r>
        <w:rPr>
          <w:rFonts w:ascii="Times New Roman" w:hAnsi="Times New Roman" w:cs="Times New Roman" w:eastAsia="Times New Roman" w:hint="default"/>
          <w:spacing w:val="-1"/>
        </w:rPr>
        <w:t>2018</w:t>
      </w:r>
      <w:r>
        <w:rPr>
          <w:spacing w:val="-1"/>
        </w:rPr>
        <w:t>年</w:t>
      </w:r>
      <w:r>
        <w:rPr>
          <w:rFonts w:ascii="Times New Roman" w:hAnsi="Times New Roman" w:cs="Times New Roman" w:eastAsia="Times New Roman" w:hint="default"/>
          <w:spacing w:val="-1"/>
        </w:rPr>
        <w:t>2</w:t>
      </w:r>
      <w:r>
        <w:rPr>
          <w:spacing w:val="-1"/>
        </w:rPr>
        <w:t>月</w:t>
      </w:r>
      <w:r>
        <w:rPr>
          <w:rFonts w:ascii="Times New Roman" w:hAnsi="Times New Roman" w:cs="Times New Roman" w:eastAsia="Times New Roman" w:hint="default"/>
          <w:spacing w:val="-1"/>
        </w:rPr>
        <w:t>13</w:t>
      </w:r>
      <w:r>
        <w:rPr>
          <w:spacing w:val="-1"/>
        </w:rPr>
        <w:t>日召开的第四届董事会第九次会议上，就公司关于回购注销不符合激励条件的激</w:t>
      </w:r>
      <w:r>
        <w:rPr/>
        <w:t> </w:t>
      </w:r>
      <w:r>
        <w:rPr>
          <w:spacing w:val="-1"/>
        </w:rPr>
        <w:t>励对象所持已获授但尚未解锁的限制性股票、关于终止实施</w:t>
      </w:r>
      <w:r>
        <w:rPr>
          <w:rFonts w:ascii="Times New Roman" w:hAnsi="Times New Roman" w:cs="Times New Roman" w:eastAsia="Times New Roman" w:hint="default"/>
          <w:spacing w:val="-1"/>
        </w:rPr>
        <w:t>2016</w:t>
      </w:r>
      <w:r>
        <w:rPr>
          <w:spacing w:val="-1"/>
        </w:rPr>
        <w:t>年限制性股票激励计划暨回购注销已获授</w:t>
      </w:r>
      <w:r>
        <w:rPr>
          <w:spacing w:val="-80"/>
        </w:rPr>
        <w:t> </w:t>
      </w:r>
      <w:r>
        <w:rPr>
          <w:spacing w:val="-80"/>
        </w:rPr>
      </w:r>
      <w:r>
        <w:rPr/>
        <w:t>但尚未解锁的限制性股票发表了独立意见并被采纳；</w:t>
      </w:r>
    </w:p>
    <w:p>
      <w:pPr>
        <w:pStyle w:val="BodyText"/>
        <w:spacing w:line="393" w:lineRule="auto" w:before="65"/>
        <w:ind w:right="0" w:firstLine="423"/>
        <w:jc w:val="left"/>
      </w:pPr>
      <w:r>
        <w:rPr>
          <w:spacing w:val="-3"/>
        </w:rPr>
        <w:t>（</w:t>
      </w:r>
      <w:r>
        <w:rPr>
          <w:rFonts w:ascii="Times New Roman" w:hAnsi="Times New Roman" w:cs="Times New Roman" w:eastAsia="Times New Roman" w:hint="default"/>
          <w:spacing w:val="-3"/>
        </w:rPr>
        <w:t>3</w:t>
      </w:r>
      <w:r>
        <w:rPr>
          <w:spacing w:val="-3"/>
        </w:rPr>
        <w:t>）在</w:t>
      </w:r>
      <w:r>
        <w:rPr>
          <w:rFonts w:ascii="Times New Roman" w:hAnsi="Times New Roman" w:cs="Times New Roman" w:eastAsia="Times New Roman" w:hint="default"/>
          <w:spacing w:val="-3"/>
        </w:rPr>
        <w:t>2018</w:t>
      </w:r>
      <w:r>
        <w:rPr>
          <w:spacing w:val="-3"/>
        </w:rPr>
        <w:t>年</w:t>
      </w:r>
      <w:r>
        <w:rPr>
          <w:rFonts w:ascii="Times New Roman" w:hAnsi="Times New Roman" w:cs="Times New Roman" w:eastAsia="Times New Roman" w:hint="default"/>
          <w:spacing w:val="-3"/>
        </w:rPr>
        <w:t>3</w:t>
      </w:r>
      <w:r>
        <w:rPr>
          <w:spacing w:val="-3"/>
        </w:rPr>
        <w:t>月</w:t>
      </w:r>
      <w:r>
        <w:rPr>
          <w:rFonts w:ascii="Times New Roman" w:hAnsi="Times New Roman" w:cs="Times New Roman" w:eastAsia="Times New Roman" w:hint="default"/>
          <w:spacing w:val="-3"/>
        </w:rPr>
        <w:t>15</w:t>
      </w:r>
      <w:r>
        <w:rPr>
          <w:spacing w:val="-3"/>
        </w:rPr>
        <w:t>日召开的第四届董事会第十次会议前，对关于为关联方提供担保暨关联交易事项、</w:t>
      </w:r>
      <w:r>
        <w:rPr/>
        <w:t> 关于对外投资并设立控股子公司暨关联交易事项发表了事前认可意见，并在会上就关于</w:t>
      </w:r>
      <w:r>
        <w:rPr>
          <w:rFonts w:ascii="Times New Roman" w:hAnsi="Times New Roman" w:cs="Times New Roman" w:eastAsia="Times New Roman" w:hint="default"/>
        </w:rPr>
        <w:t>2017</w:t>
      </w:r>
      <w:r>
        <w:rPr/>
        <w:t>年度募集资金 存放与实际使用、关于公司</w:t>
      </w:r>
      <w:r>
        <w:rPr>
          <w:rFonts w:ascii="Times New Roman" w:hAnsi="Times New Roman" w:cs="Times New Roman" w:eastAsia="Times New Roman" w:hint="default"/>
        </w:rPr>
        <w:t>2017</w:t>
      </w:r>
      <w:r>
        <w:rPr/>
        <w:t>年度内部控制自我评价报告、关于公司</w:t>
      </w:r>
      <w:r>
        <w:rPr>
          <w:rFonts w:ascii="Times New Roman" w:hAnsi="Times New Roman" w:cs="Times New Roman" w:eastAsia="Times New Roman" w:hint="default"/>
        </w:rPr>
        <w:t>2017</w:t>
      </w:r>
      <w:r>
        <w:rPr/>
        <w:t>年度利润分配预案、关于公司 </w:t>
      </w:r>
      <w:r>
        <w:rPr>
          <w:rFonts w:ascii="Times New Roman" w:hAnsi="Times New Roman" w:cs="Times New Roman" w:eastAsia="Times New Roman" w:hint="default"/>
          <w:spacing w:val="-3"/>
        </w:rPr>
        <w:t>2018</w:t>
      </w:r>
      <w:r>
        <w:rPr>
          <w:spacing w:val="-3"/>
        </w:rPr>
        <w:t>年董事及高级管理人员薪酬政策、关于公司聘任</w:t>
      </w:r>
      <w:r>
        <w:rPr>
          <w:rFonts w:ascii="Times New Roman" w:hAnsi="Times New Roman" w:cs="Times New Roman" w:eastAsia="Times New Roman" w:hint="default"/>
          <w:spacing w:val="-3"/>
        </w:rPr>
        <w:t>2018</w:t>
      </w:r>
      <w:r>
        <w:rPr>
          <w:spacing w:val="-3"/>
        </w:rPr>
        <w:t>年度审计机构、关于向控股子公司提供财务资助、</w:t>
      </w:r>
      <w:r>
        <w:rPr>
          <w:spacing w:val="-82"/>
        </w:rPr>
        <w:t> </w:t>
      </w:r>
      <w:r>
        <w:rPr>
          <w:spacing w:val="-82"/>
        </w:rPr>
      </w:r>
      <w:r>
        <w:rPr/>
        <w:t>关于计提资产减值准备、关于公司会计政策变更、关于公司使用暂时闲置募集资金进行现金管理、关于公</w:t>
      </w:r>
      <w:r>
        <w:rPr/>
        <w:t> 司使用部分闲置自有资金进行现金管理、关于为关联方提供担保暨关联交易、关于公司对外投资设立控股 子公司暨关联交易、关于聘任新开普电子股份有限公司副总经理、关于</w:t>
      </w:r>
      <w:r>
        <w:rPr>
          <w:rFonts w:ascii="Times New Roman" w:hAnsi="Times New Roman" w:cs="Times New Roman" w:eastAsia="Times New Roman" w:hint="default"/>
        </w:rPr>
        <w:t>2017</w:t>
      </w:r>
      <w:r>
        <w:rPr/>
        <w:t>年度公司控股股东及其他关联 方资金占用和对外担保情况发表了独立意见并被采纳；</w:t>
      </w:r>
    </w:p>
    <w:p>
      <w:pPr>
        <w:pStyle w:val="BodyText"/>
        <w:spacing w:line="386" w:lineRule="auto" w:before="58"/>
        <w:ind w:right="1132" w:firstLine="423"/>
        <w:jc w:val="both"/>
      </w:pPr>
      <w:r>
        <w:rPr>
          <w:spacing w:val="-1"/>
        </w:rPr>
        <w:t>（</w:t>
      </w:r>
      <w:r>
        <w:rPr>
          <w:rFonts w:ascii="Times New Roman" w:hAnsi="Times New Roman" w:cs="Times New Roman" w:eastAsia="Times New Roman" w:hint="default"/>
          <w:spacing w:val="-1"/>
        </w:rPr>
        <w:t>4</w:t>
      </w:r>
      <w:r>
        <w:rPr>
          <w:spacing w:val="-1"/>
        </w:rPr>
        <w:t>）在</w:t>
      </w:r>
      <w:r>
        <w:rPr>
          <w:rFonts w:ascii="Times New Roman" w:hAnsi="Times New Roman" w:cs="Times New Roman" w:eastAsia="Times New Roman" w:hint="default"/>
          <w:spacing w:val="-1"/>
        </w:rPr>
        <w:t>2018</w:t>
      </w:r>
      <w:r>
        <w:rPr>
          <w:spacing w:val="-1"/>
        </w:rPr>
        <w:t>年</w:t>
      </w:r>
      <w:r>
        <w:rPr>
          <w:rFonts w:ascii="Times New Roman" w:hAnsi="Times New Roman" w:cs="Times New Roman" w:eastAsia="Times New Roman" w:hint="default"/>
          <w:spacing w:val="-1"/>
        </w:rPr>
        <w:t>4</w:t>
      </w:r>
      <w:r>
        <w:rPr>
          <w:spacing w:val="-1"/>
        </w:rPr>
        <w:t>月</w:t>
      </w:r>
      <w:r>
        <w:rPr>
          <w:rFonts w:ascii="Times New Roman" w:hAnsi="Times New Roman" w:cs="Times New Roman" w:eastAsia="Times New Roman" w:hint="default"/>
          <w:spacing w:val="-1"/>
        </w:rPr>
        <w:t>25</w:t>
      </w:r>
      <w:r>
        <w:rPr>
          <w:spacing w:val="-1"/>
        </w:rPr>
        <w:t>日召开的第四届董事会第十一次会议上，就公司关于注销控股子公司事项发表了</w:t>
      </w:r>
      <w:r>
        <w:rPr/>
        <w:t> 独立意见并被采纳；</w:t>
      </w:r>
    </w:p>
    <w:p>
      <w:pPr>
        <w:pStyle w:val="BodyText"/>
        <w:spacing w:line="386" w:lineRule="auto" w:before="65"/>
        <w:ind w:right="1132" w:firstLine="423"/>
        <w:jc w:val="both"/>
      </w:pPr>
      <w:r>
        <w:rPr>
          <w:spacing w:val="-1"/>
        </w:rPr>
        <w:t>（</w:t>
      </w:r>
      <w:r>
        <w:rPr>
          <w:rFonts w:ascii="Times New Roman" w:hAnsi="Times New Roman" w:cs="Times New Roman" w:eastAsia="Times New Roman" w:hint="default"/>
          <w:spacing w:val="-1"/>
        </w:rPr>
        <w:t>5</w:t>
      </w:r>
      <w:r>
        <w:rPr>
          <w:spacing w:val="-1"/>
        </w:rPr>
        <w:t>）在</w:t>
      </w:r>
      <w:r>
        <w:rPr>
          <w:rFonts w:ascii="Times New Roman" w:hAnsi="Times New Roman" w:cs="Times New Roman" w:eastAsia="Times New Roman" w:hint="default"/>
          <w:spacing w:val="-1"/>
        </w:rPr>
        <w:t>2018</w:t>
      </w:r>
      <w:r>
        <w:rPr>
          <w:spacing w:val="-1"/>
        </w:rPr>
        <w:t>年</w:t>
      </w:r>
      <w:r>
        <w:rPr>
          <w:rFonts w:ascii="Times New Roman" w:hAnsi="Times New Roman" w:cs="Times New Roman" w:eastAsia="Times New Roman" w:hint="default"/>
          <w:spacing w:val="-1"/>
        </w:rPr>
        <w:t>6</w:t>
      </w:r>
      <w:r>
        <w:rPr>
          <w:spacing w:val="-1"/>
        </w:rPr>
        <w:t>月</w:t>
      </w:r>
      <w:r>
        <w:rPr>
          <w:rFonts w:ascii="Times New Roman" w:hAnsi="Times New Roman" w:cs="Times New Roman" w:eastAsia="Times New Roman" w:hint="default"/>
          <w:spacing w:val="-1"/>
        </w:rPr>
        <w:t>22</w:t>
      </w:r>
      <w:r>
        <w:rPr>
          <w:spacing w:val="-1"/>
        </w:rPr>
        <w:t>日召开的第四届董事会第十二次会议上，就公司关于对外投资成立全资子公司事</w:t>
      </w:r>
      <w:r>
        <w:rPr/>
        <w:t> 项发表了独立意见并被采纳；</w:t>
      </w:r>
    </w:p>
    <w:p>
      <w:pPr>
        <w:pStyle w:val="BodyText"/>
        <w:spacing w:line="386" w:lineRule="auto" w:before="65"/>
        <w:ind w:right="1132" w:firstLine="423"/>
        <w:jc w:val="both"/>
      </w:pPr>
      <w:r>
        <w:rPr>
          <w:spacing w:val="-1"/>
        </w:rPr>
        <w:t>（</w:t>
      </w:r>
      <w:r>
        <w:rPr>
          <w:rFonts w:ascii="Times New Roman" w:hAnsi="Times New Roman" w:cs="Times New Roman" w:eastAsia="Times New Roman" w:hint="default"/>
          <w:spacing w:val="-1"/>
        </w:rPr>
        <w:t>6</w:t>
      </w:r>
      <w:r>
        <w:rPr>
          <w:spacing w:val="-1"/>
        </w:rPr>
        <w:t>）在</w:t>
      </w:r>
      <w:r>
        <w:rPr>
          <w:rFonts w:ascii="Times New Roman" w:hAnsi="Times New Roman" w:cs="Times New Roman" w:eastAsia="Times New Roman" w:hint="default"/>
          <w:spacing w:val="-1"/>
        </w:rPr>
        <w:t>2018</w:t>
      </w:r>
      <w:r>
        <w:rPr>
          <w:spacing w:val="-1"/>
        </w:rPr>
        <w:t>年</w:t>
      </w:r>
      <w:r>
        <w:rPr>
          <w:rFonts w:ascii="Times New Roman" w:hAnsi="Times New Roman" w:cs="Times New Roman" w:eastAsia="Times New Roman" w:hint="default"/>
          <w:spacing w:val="-1"/>
        </w:rPr>
        <w:t>7</w:t>
      </w:r>
      <w:r>
        <w:rPr>
          <w:spacing w:val="-1"/>
        </w:rPr>
        <w:t>月</w:t>
      </w:r>
      <w:r>
        <w:rPr>
          <w:rFonts w:ascii="Times New Roman" w:hAnsi="Times New Roman" w:cs="Times New Roman" w:eastAsia="Times New Roman" w:hint="default"/>
          <w:spacing w:val="-1"/>
        </w:rPr>
        <w:t>30</w:t>
      </w:r>
      <w:r>
        <w:rPr>
          <w:spacing w:val="-1"/>
        </w:rPr>
        <w:t>日召开的第四届董事会第十三次会议前，对关于向关联方提供财务资助暨关联交</w:t>
      </w:r>
      <w:r>
        <w:rPr/>
        <w:t> 易事项发表了事前认可意见，并在会上就该事项发表了独立意见并被采纳；</w:t>
      </w:r>
    </w:p>
    <w:p>
      <w:pPr>
        <w:pStyle w:val="BodyText"/>
        <w:spacing w:line="386" w:lineRule="auto" w:before="65"/>
        <w:ind w:right="1212" w:firstLine="423"/>
        <w:jc w:val="both"/>
      </w:pPr>
      <w:r>
        <w:rPr/>
        <w:t>（</w:t>
      </w:r>
      <w:r>
        <w:rPr>
          <w:rFonts w:ascii="Times New Roman" w:hAnsi="Times New Roman" w:cs="Times New Roman" w:eastAsia="Times New Roman" w:hint="default"/>
        </w:rPr>
        <w:t>7</w:t>
      </w:r>
      <w:r>
        <w:rPr/>
        <w:t>）在</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8</w:t>
      </w:r>
      <w:r>
        <w:rPr/>
        <w:t>月</w:t>
      </w:r>
      <w:r>
        <w:rPr>
          <w:rFonts w:ascii="Times New Roman" w:hAnsi="Times New Roman" w:cs="Times New Roman" w:eastAsia="Times New Roman" w:hint="default"/>
        </w:rPr>
        <w:t>7</w:t>
      </w:r>
      <w:r>
        <w:rPr/>
        <w:t>日召开的第四届董事会第十四次会议前，对关于为全资子公司向银行申请授信额 度提供担保事项发表了事前认可意见，并在会上就该事项发表了独立意见并被采纳；</w:t>
      </w:r>
    </w:p>
    <w:p>
      <w:pPr>
        <w:pStyle w:val="BodyText"/>
        <w:spacing w:line="386" w:lineRule="auto" w:before="65"/>
        <w:ind w:right="1131" w:firstLine="423"/>
        <w:jc w:val="both"/>
      </w:pPr>
      <w:r>
        <w:rPr>
          <w:spacing w:val="-1"/>
        </w:rPr>
        <w:t>（</w:t>
      </w:r>
      <w:r>
        <w:rPr>
          <w:rFonts w:ascii="Times New Roman" w:hAnsi="Times New Roman" w:cs="Times New Roman" w:eastAsia="Times New Roman" w:hint="default"/>
          <w:spacing w:val="-1"/>
        </w:rPr>
        <w:t>8</w:t>
      </w:r>
      <w:r>
        <w:rPr>
          <w:spacing w:val="-1"/>
        </w:rPr>
        <w:t>）在</w:t>
      </w:r>
      <w:r>
        <w:rPr>
          <w:rFonts w:ascii="Times New Roman" w:hAnsi="Times New Roman" w:cs="Times New Roman" w:eastAsia="Times New Roman" w:hint="default"/>
          <w:spacing w:val="-1"/>
        </w:rPr>
        <w:t>2018</w:t>
      </w:r>
      <w:r>
        <w:rPr>
          <w:spacing w:val="-1"/>
        </w:rPr>
        <w:t>年</w:t>
      </w:r>
      <w:r>
        <w:rPr>
          <w:rFonts w:ascii="Times New Roman" w:hAnsi="Times New Roman" w:cs="Times New Roman" w:eastAsia="Times New Roman" w:hint="default"/>
          <w:spacing w:val="-1"/>
        </w:rPr>
        <w:t>8</w:t>
      </w:r>
      <w:r>
        <w:rPr>
          <w:spacing w:val="-1"/>
        </w:rPr>
        <w:t>月</w:t>
      </w:r>
      <w:r>
        <w:rPr>
          <w:rFonts w:ascii="Times New Roman" w:hAnsi="Times New Roman" w:cs="Times New Roman" w:eastAsia="Times New Roman" w:hint="default"/>
          <w:spacing w:val="-1"/>
        </w:rPr>
        <w:t>23</w:t>
      </w:r>
      <w:r>
        <w:rPr>
          <w:spacing w:val="-1"/>
        </w:rPr>
        <w:t>日召开的第四届董事会第十五次会议上，就关于</w:t>
      </w:r>
      <w:r>
        <w:rPr>
          <w:rFonts w:ascii="Times New Roman" w:hAnsi="Times New Roman" w:cs="Times New Roman" w:eastAsia="Times New Roman" w:hint="default"/>
          <w:spacing w:val="-1"/>
        </w:rPr>
        <w:t>2018</w:t>
      </w:r>
      <w:r>
        <w:rPr>
          <w:spacing w:val="-1"/>
        </w:rPr>
        <w:t>年半年度公司控股股东及其</w:t>
      </w:r>
      <w:r>
        <w:rPr/>
        <w:t> </w:t>
      </w:r>
      <w:r>
        <w:rPr>
          <w:spacing w:val="-1"/>
        </w:rPr>
        <w:t>他关联方占用公司资金及公司对外担保情况、关于</w:t>
      </w:r>
      <w:r>
        <w:rPr>
          <w:rFonts w:ascii="Times New Roman" w:hAnsi="Times New Roman" w:cs="Times New Roman" w:eastAsia="Times New Roman" w:hint="default"/>
          <w:spacing w:val="-1"/>
        </w:rPr>
        <w:t>2018</w:t>
      </w:r>
      <w:r>
        <w:rPr>
          <w:spacing w:val="-1"/>
        </w:rPr>
        <w:t>年半年度募集资金存放与实际使用情况发表了独立</w:t>
      </w:r>
      <w:r>
        <w:rPr>
          <w:spacing w:val="-80"/>
        </w:rPr>
        <w:t> </w:t>
      </w:r>
      <w:r>
        <w:rPr>
          <w:spacing w:val="-80"/>
        </w:rPr>
      </w:r>
      <w:r>
        <w:rPr/>
        <w:t>意见并被采纳；</w:t>
      </w:r>
    </w:p>
    <w:p>
      <w:pPr>
        <w:pStyle w:val="BodyText"/>
        <w:spacing w:line="386" w:lineRule="auto" w:before="65"/>
        <w:ind w:right="1212" w:firstLine="423"/>
        <w:jc w:val="both"/>
      </w:pPr>
      <w:r>
        <w:rPr/>
        <w:t>（</w:t>
      </w:r>
      <w:r>
        <w:rPr>
          <w:rFonts w:ascii="Times New Roman" w:hAnsi="Times New Roman" w:cs="Times New Roman" w:eastAsia="Times New Roman" w:hint="default"/>
        </w:rPr>
        <w:t>9</w:t>
      </w:r>
      <w:r>
        <w:rPr/>
        <w:t>）在</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10</w:t>
      </w:r>
      <w:r>
        <w:rPr/>
        <w:t>日召开的第四届董事会第十七次会议前，对关于转让全资子公司部分股权暨关 联交易事项发表了事前认可意见，并在会上就该事项发表了独立意见并被采纳。</w:t>
      </w:r>
    </w:p>
    <w:p>
      <w:pPr>
        <w:spacing w:after="0" w:line="386" w:lineRule="auto"/>
        <w:jc w:val="both"/>
        <w:sectPr>
          <w:pgSz w:w="11910" w:h="16840"/>
          <w:pgMar w:header="877" w:footer="979" w:top="106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2"/>
        <w:spacing w:line="240" w:lineRule="auto" w:before="163"/>
        <w:ind w:right="1117"/>
        <w:jc w:val="left"/>
        <w:rPr>
          <w:b w:val="0"/>
          <w:bCs w:val="0"/>
        </w:rPr>
      </w:pPr>
      <w:bookmarkStart w:name="六、董事会下设专门委员会在报告期内履行职责情况" w:id="146"/>
      <w:bookmarkEnd w:id="146"/>
      <w:r>
        <w:rPr>
          <w:b w:val="0"/>
          <w:bCs w:val="0"/>
        </w:rPr>
      </w:r>
      <w:r>
        <w:rPr/>
        <w:t>六、董事会下设专门委员会在报告期内履行职责情况</w:t>
      </w:r>
      <w:r>
        <w:rPr>
          <w:b w:val="0"/>
          <w:bCs w:val="0"/>
        </w:rPr>
      </w:r>
    </w:p>
    <w:p>
      <w:pPr>
        <w:spacing w:line="240" w:lineRule="auto" w:before="7"/>
        <w:rPr>
          <w:rFonts w:ascii="宋体" w:hAnsi="宋体" w:cs="宋体" w:eastAsia="宋体" w:hint="default"/>
          <w:b/>
          <w:bCs/>
          <w:sz w:val="30"/>
          <w:szCs w:val="30"/>
        </w:rPr>
      </w:pPr>
    </w:p>
    <w:p>
      <w:pPr>
        <w:pStyle w:val="BodyText"/>
        <w:spacing w:line="408" w:lineRule="auto" w:before="0"/>
        <w:ind w:left="574" w:right="1197"/>
        <w:jc w:val="left"/>
      </w:pPr>
      <w:r>
        <w:rPr/>
        <w:t>（一）审计委员会履职情况 报告期内，审计委员会积极履行职责，共召开了</w:t>
      </w:r>
      <w:r>
        <w:rPr>
          <w:rFonts w:ascii="Times New Roman" w:hAnsi="Times New Roman" w:cs="Times New Roman" w:eastAsia="Times New Roman" w:hint="default"/>
        </w:rPr>
        <w:t>5</w:t>
      </w:r>
      <w:r>
        <w:rPr/>
        <w:t>次会议，对年度审计计划、各季度内审工作报告、</w:t>
      </w:r>
    </w:p>
    <w:p>
      <w:pPr>
        <w:pStyle w:val="BodyText"/>
        <w:spacing w:line="240" w:lineRule="auto" w:before="14"/>
        <w:ind w:right="1117"/>
        <w:jc w:val="left"/>
      </w:pPr>
      <w:r>
        <w:rPr/>
        <w:t>募集资金使用、定期报告、续聘年度审计机构、年度利润分配等事项进行了专项审议。</w:t>
      </w:r>
    </w:p>
    <w:p>
      <w:pPr>
        <w:spacing w:line="240" w:lineRule="auto" w:before="10"/>
        <w:rPr>
          <w:rFonts w:ascii="宋体" w:hAnsi="宋体" w:cs="宋体" w:eastAsia="宋体" w:hint="default"/>
          <w:sz w:val="14"/>
          <w:szCs w:val="14"/>
        </w:rPr>
      </w:pPr>
    </w:p>
    <w:p>
      <w:pPr>
        <w:pStyle w:val="BodyText"/>
        <w:spacing w:line="403" w:lineRule="auto" w:before="0"/>
        <w:ind w:right="1117" w:firstLine="420"/>
        <w:jc w:val="left"/>
      </w:pPr>
      <w:r>
        <w:rPr/>
        <w:t>（二）薪酬与考核委员会履职情况 </w:t>
      </w:r>
      <w:r>
        <w:rPr>
          <w:spacing w:val="-1"/>
        </w:rPr>
        <w:t>报告期内，薪酬与考核委员会对公司董事、监事和高级管理人员的薪酬情况进行了审核，认为其薪酬标准</w:t>
      </w:r>
      <w:r>
        <w:rPr>
          <w:spacing w:val="-83"/>
        </w:rPr>
        <w:t> </w:t>
      </w:r>
      <w:r>
        <w:rPr>
          <w:spacing w:val="-83"/>
        </w:rPr>
      </w:r>
      <w:r>
        <w:rPr>
          <w:spacing w:val="-1"/>
        </w:rPr>
        <w:t>和年度薪酬总额的确定符合公司相关薪酬管理制度的规定。同时，薪酬与考核委员会不断探讨绩效考核体</w:t>
      </w:r>
      <w:r>
        <w:rPr>
          <w:spacing w:val="-81"/>
        </w:rPr>
        <w:t> </w:t>
      </w:r>
      <w:r>
        <w:rPr>
          <w:spacing w:val="-81"/>
        </w:rPr>
      </w:r>
      <w:r>
        <w:rPr>
          <w:spacing w:val="-1"/>
        </w:rPr>
        <w:t>系的进一步完善，为充分调动公司董事、监事、高级管理人员和核心员工的积极性，增强公司管理团队和</w:t>
      </w:r>
      <w:r>
        <w:rPr>
          <w:spacing w:val="-86"/>
        </w:rPr>
        <w:t> </w:t>
      </w:r>
      <w:r>
        <w:rPr>
          <w:spacing w:val="-86"/>
        </w:rPr>
      </w:r>
      <w:r>
        <w:rPr>
          <w:spacing w:val="-1"/>
        </w:rPr>
        <w:t>核心员工对实现公司健康、持续发展的责任感、使命感，有效地将股东利益、公司利益和公司员工利益结</w:t>
      </w:r>
      <w:r>
        <w:rPr>
          <w:spacing w:val="-85"/>
        </w:rPr>
        <w:t> </w:t>
      </w:r>
      <w:r>
        <w:rPr>
          <w:spacing w:val="-85"/>
        </w:rPr>
      </w:r>
      <w:r>
        <w:rPr>
          <w:spacing w:val="-5"/>
        </w:rPr>
        <w:t>合在一起，使各方共同关注公司的长远发展，减少管理者的短期行为。报告期内，薪酬与考核委员会认为，</w:t>
      </w:r>
      <w:r>
        <w:rPr>
          <w:spacing w:val="-102"/>
        </w:rPr>
        <w:t> </w:t>
      </w:r>
      <w:r>
        <w:rPr>
          <w:spacing w:val="-102"/>
        </w:rPr>
      </w:r>
      <w:r>
        <w:rPr>
          <w:spacing w:val="-1"/>
        </w:rPr>
        <w:t>公司董事、监事和高级管理人员根据各自的分工，认真履行了相应的职责，较好的完成了其工作目标。报</w:t>
      </w:r>
      <w:r>
        <w:rPr>
          <w:spacing w:val="-85"/>
        </w:rPr>
        <w:t> </w:t>
      </w:r>
      <w:r>
        <w:rPr>
          <w:spacing w:val="-85"/>
        </w:rPr>
      </w:r>
      <w:r>
        <w:rPr/>
        <w:t>告期内，薪酬与考核委员会召开了</w:t>
      </w:r>
      <w:r>
        <w:rPr>
          <w:rFonts w:ascii="Times New Roman" w:hAnsi="Times New Roman" w:cs="Times New Roman" w:eastAsia="Times New Roman" w:hint="default"/>
        </w:rPr>
        <w:t>2</w:t>
      </w:r>
      <w:r>
        <w:rPr/>
        <w:t>次会议，对公司</w:t>
      </w:r>
      <w:r>
        <w:rPr>
          <w:rFonts w:ascii="Times New Roman" w:hAnsi="Times New Roman" w:cs="Times New Roman" w:eastAsia="Times New Roman" w:hint="default"/>
        </w:rPr>
        <w:t>2018</w:t>
      </w:r>
      <w:r>
        <w:rPr/>
        <w:t>年董事、监事和高级管理人员的薪酬事项、回购 </w:t>
      </w:r>
      <w:r>
        <w:rPr>
          <w:spacing w:val="-1"/>
        </w:rPr>
        <w:t>注销不符合激励条件的激励对象所持已获授但尚未解锁的限制性股票、终止实施</w:t>
      </w:r>
      <w:r>
        <w:rPr>
          <w:rFonts w:ascii="Times New Roman" w:hAnsi="Times New Roman" w:cs="Times New Roman" w:eastAsia="Times New Roman" w:hint="default"/>
          <w:spacing w:val="-1"/>
        </w:rPr>
        <w:t>2016</w:t>
      </w:r>
      <w:r>
        <w:rPr>
          <w:spacing w:val="-1"/>
        </w:rPr>
        <w:t>年限制性股票激励计</w:t>
      </w:r>
      <w:r>
        <w:rPr>
          <w:spacing w:val="-80"/>
        </w:rPr>
        <w:t> </w:t>
      </w:r>
      <w:r>
        <w:rPr>
          <w:spacing w:val="-80"/>
        </w:rPr>
      </w:r>
      <w:r>
        <w:rPr>
          <w:spacing w:val="-1"/>
        </w:rPr>
        <w:t>划暨回购注销已获授但尚未解锁的限制性股票等事项进行了审核，并听取了公司高级管理人员</w:t>
      </w:r>
      <w:r>
        <w:rPr>
          <w:rFonts w:ascii="Times New Roman" w:hAnsi="Times New Roman" w:cs="Times New Roman" w:eastAsia="Times New Roman" w:hint="default"/>
          <w:spacing w:val="-1"/>
        </w:rPr>
        <w:t>2017</w:t>
      </w:r>
      <w:r>
        <w:rPr>
          <w:spacing w:val="-1"/>
        </w:rPr>
        <w:t>年度工</w:t>
      </w:r>
      <w:r>
        <w:rPr>
          <w:spacing w:val="-79"/>
        </w:rPr>
        <w:t> </w:t>
      </w:r>
      <w:r>
        <w:rPr>
          <w:spacing w:val="-79"/>
        </w:rPr>
      </w:r>
      <w:r>
        <w:rPr/>
        <w:t>作总结报告。</w:t>
      </w:r>
    </w:p>
    <w:p>
      <w:pPr>
        <w:pStyle w:val="BodyText"/>
        <w:spacing w:line="408" w:lineRule="auto" w:before="50"/>
        <w:ind w:left="574" w:right="1117"/>
        <w:jc w:val="left"/>
      </w:pPr>
      <w:r>
        <w:rPr/>
        <w:t>（三）提名委员会履职情况 </w:t>
      </w:r>
      <w:r>
        <w:rPr>
          <w:spacing w:val="-1"/>
        </w:rPr>
        <w:t>报告期内，提名委员会按照《董事会专门委员会工作细则》履行职责，提名委员会认为公司董事会人</w:t>
      </w:r>
    </w:p>
    <w:p>
      <w:pPr>
        <w:pStyle w:val="BodyText"/>
        <w:spacing w:line="398" w:lineRule="auto"/>
        <w:ind w:right="1117"/>
        <w:jc w:val="left"/>
      </w:pPr>
      <w:r>
        <w:rPr>
          <w:spacing w:val="-1"/>
        </w:rPr>
        <w:t>员结构合理，高管团队具有丰富的行业经验和管理经验，完全胜任各自的工作。报告期内，提名委员会召</w:t>
      </w:r>
      <w:r>
        <w:rPr>
          <w:spacing w:val="-86"/>
        </w:rPr>
        <w:t> </w:t>
      </w:r>
      <w:r>
        <w:rPr>
          <w:spacing w:val="-86"/>
        </w:rPr>
      </w:r>
      <w:r>
        <w:rPr/>
        <w:t>开了</w:t>
      </w:r>
      <w:r>
        <w:rPr>
          <w:rFonts w:ascii="Times New Roman" w:hAnsi="Times New Roman" w:cs="Times New Roman" w:eastAsia="Times New Roman" w:hint="default"/>
        </w:rPr>
        <w:t>2</w:t>
      </w:r>
      <w:r>
        <w:rPr/>
        <w:t>次会议，审查了董事、高级管理人员</w:t>
      </w:r>
      <w:r>
        <w:rPr>
          <w:rFonts w:ascii="Times New Roman" w:hAnsi="Times New Roman" w:cs="Times New Roman" w:eastAsia="Times New Roman" w:hint="default"/>
        </w:rPr>
        <w:t>2017</w:t>
      </w:r>
      <w:r>
        <w:rPr/>
        <w:t>年度、</w:t>
      </w:r>
      <w:r>
        <w:rPr>
          <w:rFonts w:ascii="Times New Roman" w:hAnsi="Times New Roman" w:cs="Times New Roman" w:eastAsia="Times New Roman" w:hint="default"/>
        </w:rPr>
        <w:t>2018</w:t>
      </w:r>
      <w:r>
        <w:rPr/>
        <w:t>年上半年度任职资格以及对公司聘任副总经理 杨长昆先生、何伟先生、赵鑫先生、赵璇女士的任职资格进行了认真审查，并提交给董事会审议。</w:t>
      </w:r>
    </w:p>
    <w:p>
      <w:pPr>
        <w:pStyle w:val="BodyText"/>
        <w:spacing w:line="398" w:lineRule="auto" w:before="54"/>
        <w:ind w:right="0" w:firstLine="420"/>
        <w:jc w:val="left"/>
      </w:pPr>
      <w:r>
        <w:rPr/>
        <w:t>（四）战略发展委员会履职情况 报告期内，公司战略发展委员会认真研究国家宏观经济政策、结构调整对公司的影响，跟踪国内外同行业 </w:t>
      </w:r>
      <w:r>
        <w:rPr>
          <w:spacing w:val="-5"/>
        </w:rPr>
        <w:t>发展动向，结合公司战略发展要求，向公司董事会提出有关结构调整、资本运作、长远发展等事项的建议，</w:t>
      </w:r>
      <w:r>
        <w:rPr>
          <w:spacing w:val="-102"/>
        </w:rPr>
        <w:t> </w:t>
      </w:r>
      <w:r>
        <w:rPr>
          <w:spacing w:val="-102"/>
        </w:rPr>
      </w:r>
      <w:r>
        <w:rPr/>
        <w:t>对促进公司转方式、调结构，规避市场风险，起到积极良好的作用。报告期内，战略委员会召开了</w:t>
      </w:r>
      <w:r>
        <w:rPr>
          <w:rFonts w:ascii="Times New Roman" w:hAnsi="Times New Roman" w:cs="Times New Roman" w:eastAsia="Times New Roman" w:hint="default"/>
        </w:rPr>
        <w:t>4</w:t>
      </w:r>
      <w:r>
        <w:rPr/>
        <w:t>次会</w:t>
      </w:r>
      <w:r>
        <w:rPr>
          <w:spacing w:val="-23"/>
        </w:rPr>
        <w:t> </w:t>
      </w:r>
      <w:r>
        <w:rPr/>
        <w:t>议，对公司对外投资设立参股子公司河南华贸金惠实业有限公司（经工商核准改为</w:t>
      </w:r>
      <w:r>
        <w:rPr>
          <w:rFonts w:ascii="Times New Roman" w:hAnsi="Times New Roman" w:cs="Times New Roman" w:eastAsia="Times New Roman" w:hint="default"/>
        </w:rPr>
        <w:t>“</w:t>
      </w:r>
      <w:r>
        <w:rPr/>
        <w:t>河南通惠实业有限公</w:t>
      </w:r>
      <w:r>
        <w:rPr>
          <w:spacing w:val="-14"/>
        </w:rPr>
        <w:t> </w:t>
      </w:r>
      <w:r>
        <w:rPr>
          <w:spacing w:val="-14"/>
        </w:rPr>
      </w:r>
      <w:r>
        <w:rPr/>
        <w:t>司</w:t>
      </w:r>
      <w:r>
        <w:rPr>
          <w:rFonts w:ascii="Times New Roman" w:hAnsi="Times New Roman" w:cs="Times New Roman" w:eastAsia="Times New Roman" w:hint="default"/>
        </w:rPr>
        <w:t>”</w:t>
      </w:r>
      <w:r>
        <w:rPr/>
        <w:t>）、对外投资设立控股子公司北京开普力维科技有限公司、注销全资子公司山西新开普信息科技有限</w:t>
      </w:r>
      <w:r>
        <w:rPr>
          <w:spacing w:val="-25"/>
        </w:rPr>
        <w:t> </w:t>
      </w:r>
      <w:r>
        <w:rPr>
          <w:spacing w:val="-25"/>
        </w:rPr>
      </w:r>
      <w:r>
        <w:rPr/>
        <w:t>公司、对外投资设立全资子公司完美数联（北京）科技有限公司等事项认真审查，并提交给董事会审议。</w:t>
      </w:r>
    </w:p>
    <w:p>
      <w:pPr>
        <w:spacing w:after="0" w:line="398" w:lineRule="auto"/>
        <w:jc w:val="left"/>
        <w:sectPr>
          <w:pgSz w:w="11910" w:h="16840"/>
          <w:pgMar w:header="877" w:footer="979" w:top="1060" w:bottom="1160" w:left="980" w:right="0"/>
        </w:sectPr>
      </w:pPr>
    </w:p>
    <w:p>
      <w:pPr>
        <w:spacing w:line="240" w:lineRule="auto" w:before="9"/>
        <w:rPr>
          <w:rFonts w:ascii="宋体" w:hAnsi="宋体" w:cs="宋体" w:eastAsia="宋体" w:hint="default"/>
          <w:sz w:val="23"/>
          <w:szCs w:val="23"/>
        </w:rPr>
      </w:pPr>
    </w:p>
    <w:p>
      <w:pPr>
        <w:pStyle w:val="Heading2"/>
        <w:spacing w:line="240" w:lineRule="auto" w:before="26"/>
        <w:ind w:right="1117"/>
        <w:jc w:val="left"/>
        <w:rPr>
          <w:b w:val="0"/>
          <w:bCs w:val="0"/>
        </w:rPr>
      </w:pPr>
      <w:bookmarkStart w:name="七、监事会工作情况" w:id="147"/>
      <w:bookmarkEnd w:id="147"/>
      <w:r>
        <w:rPr>
          <w:b w:val="0"/>
          <w:bCs w:val="0"/>
        </w:rPr>
      </w:r>
      <w:r>
        <w:rPr/>
        <w:t>七、监事会工作情况</w:t>
      </w:r>
      <w:r>
        <w:rPr>
          <w:b w:val="0"/>
          <w:bCs w:val="0"/>
        </w:rPr>
      </w:r>
    </w:p>
    <w:p>
      <w:pPr>
        <w:spacing w:line="240" w:lineRule="auto" w:before="7"/>
        <w:rPr>
          <w:rFonts w:ascii="宋体" w:hAnsi="宋体" w:cs="宋体" w:eastAsia="宋体" w:hint="default"/>
          <w:b/>
          <w:bCs/>
          <w:sz w:val="26"/>
          <w:szCs w:val="26"/>
        </w:rPr>
      </w:pPr>
    </w:p>
    <w:p>
      <w:pPr>
        <w:spacing w:before="0"/>
        <w:ind w:left="154" w:right="1117" w:firstLine="0"/>
        <w:jc w:val="left"/>
        <w:rPr>
          <w:rFonts w:ascii="宋体" w:hAnsi="宋体" w:cs="宋体" w:eastAsia="宋体" w:hint="default"/>
          <w:sz w:val="18"/>
          <w:szCs w:val="18"/>
        </w:rPr>
      </w:pPr>
      <w:r>
        <w:rPr>
          <w:rFonts w:ascii="宋体" w:hAnsi="宋体" w:cs="宋体" w:eastAsia="宋体" w:hint="default"/>
          <w:sz w:val="18"/>
          <w:szCs w:val="18"/>
        </w:rPr>
        <w:t>监事会在报告期内的监督活动中发现公司是否存在风险</w:t>
      </w:r>
    </w:p>
    <w:p>
      <w:pPr>
        <w:spacing w:line="340" w:lineRule="auto" w:before="116"/>
        <w:ind w:left="154" w:right="733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是</w:t>
      </w:r>
      <w:r>
        <w:rPr>
          <w:rFonts w:ascii="Times New Roman" w:hAnsi="Times New Roman" w:cs="Times New Roman" w:eastAsia="Times New Roman" w:hint="default"/>
          <w:sz w:val="18"/>
          <w:szCs w:val="18"/>
        </w:rPr>
        <w:t>√</w:t>
      </w:r>
      <w:r>
        <w:rPr>
          <w:rFonts w:ascii="宋体" w:hAnsi="宋体" w:cs="宋体" w:eastAsia="宋体" w:hint="default"/>
          <w:sz w:val="18"/>
          <w:szCs w:val="18"/>
        </w:rPr>
        <w:t>否 公司监事会对报告期内的监督事项无异议。</w:t>
      </w:r>
    </w:p>
    <w:p>
      <w:pPr>
        <w:spacing w:line="240" w:lineRule="auto" w:before="3"/>
        <w:rPr>
          <w:rFonts w:ascii="宋体" w:hAnsi="宋体" w:cs="宋体" w:eastAsia="宋体" w:hint="default"/>
          <w:sz w:val="19"/>
          <w:szCs w:val="19"/>
        </w:rPr>
      </w:pPr>
    </w:p>
    <w:p>
      <w:pPr>
        <w:pStyle w:val="Heading2"/>
        <w:spacing w:line="240" w:lineRule="auto"/>
        <w:ind w:right="1117"/>
        <w:jc w:val="left"/>
        <w:rPr>
          <w:b w:val="0"/>
          <w:bCs w:val="0"/>
        </w:rPr>
      </w:pPr>
      <w:bookmarkStart w:name="八、高级管理人员的考评及激励情况" w:id="148"/>
      <w:bookmarkEnd w:id="148"/>
      <w:r>
        <w:rPr>
          <w:b w:val="0"/>
          <w:bCs w:val="0"/>
        </w:rPr>
      </w:r>
      <w:r>
        <w:rPr/>
        <w:t>八、高级管理人员的考评及激励情况</w:t>
      </w:r>
      <w:r>
        <w:rPr>
          <w:b w:val="0"/>
          <w:bCs w:val="0"/>
        </w:rPr>
      </w:r>
    </w:p>
    <w:p>
      <w:pPr>
        <w:spacing w:line="240" w:lineRule="auto" w:before="8"/>
        <w:rPr>
          <w:rFonts w:ascii="宋体" w:hAnsi="宋体" w:cs="宋体" w:eastAsia="宋体" w:hint="default"/>
          <w:b/>
          <w:bCs/>
          <w:sz w:val="30"/>
          <w:szCs w:val="30"/>
        </w:rPr>
      </w:pPr>
    </w:p>
    <w:p>
      <w:pPr>
        <w:pStyle w:val="BodyText"/>
        <w:spacing w:line="408" w:lineRule="auto" w:before="0"/>
        <w:ind w:right="1130" w:firstLine="423"/>
        <w:jc w:val="both"/>
      </w:pPr>
      <w:r>
        <w:rPr>
          <w:spacing w:val="-1"/>
        </w:rPr>
        <w:t>公司按照《高级管理人员薪酬制度》，坚持按劳分配与责、权、利相结合，实行收入水平与公司效益</w:t>
      </w:r>
      <w:r>
        <w:rPr/>
        <w:t> </w:t>
      </w:r>
      <w:r>
        <w:rPr>
          <w:spacing w:val="-1"/>
        </w:rPr>
        <w:t>及工作目标挂钩的原则，年度薪酬标准公开、公正、透明等三项基本原则，建立了高级管理人员的薪酬与</w:t>
      </w:r>
      <w:r>
        <w:rPr>
          <w:spacing w:val="-85"/>
        </w:rPr>
        <w:t> </w:t>
      </w:r>
      <w:r>
        <w:rPr>
          <w:spacing w:val="-85"/>
        </w:rPr>
      </w:r>
      <w:r>
        <w:rPr>
          <w:spacing w:val="-1"/>
        </w:rPr>
        <w:t>公司业绩挂钩的绩效考核与激励约束机制。公司董事会薪酬与考核委员会具体负责对高管人员进行考核以</w:t>
      </w:r>
      <w:r>
        <w:rPr>
          <w:spacing w:val="-81"/>
        </w:rPr>
        <w:t> </w:t>
      </w:r>
      <w:r>
        <w:rPr>
          <w:spacing w:val="-81"/>
        </w:rPr>
      </w:r>
      <w:r>
        <w:rPr>
          <w:spacing w:val="-5"/>
        </w:rPr>
        <w:t>及建议、确定年度薪酬分配。公司高管人员年度薪酬由基本薪酬、绩效收入两部分组成。根据职位重要性、</w:t>
      </w:r>
      <w:r>
        <w:rPr>
          <w:spacing w:val="-102"/>
        </w:rPr>
        <w:t> </w:t>
      </w:r>
      <w:r>
        <w:rPr>
          <w:spacing w:val="-102"/>
        </w:rPr>
      </w:r>
      <w:r>
        <w:rPr>
          <w:spacing w:val="-1"/>
        </w:rPr>
        <w:t>所承担的责任、具体工作量、工作完成情况及市场薪资行情等因素确定，基本薪酬按月度发放，绩效收入</w:t>
      </w:r>
      <w:r>
        <w:rPr>
          <w:spacing w:val="-86"/>
        </w:rPr>
        <w:t> </w:t>
      </w:r>
      <w:r>
        <w:rPr>
          <w:spacing w:val="-86"/>
        </w:rPr>
      </w:r>
      <w:r>
        <w:rPr/>
        <w:t>按年度发放。</w:t>
      </w:r>
    </w:p>
    <w:p>
      <w:pPr>
        <w:pStyle w:val="BodyText"/>
        <w:spacing w:line="408" w:lineRule="auto"/>
        <w:ind w:right="1133" w:firstLine="423"/>
        <w:jc w:val="both"/>
      </w:pPr>
      <w:r>
        <w:rPr>
          <w:spacing w:val="-1"/>
        </w:rPr>
        <w:t>公司的各项考核制度较为合理地把高级管理人员的工作业绩与其薪酬进行挂钩，提高了高级管理人员</w:t>
      </w:r>
      <w:r>
        <w:rPr/>
        <w:t> 的积极性，同时高管薪酬的确定符合公司薪酬管理和业绩考评激励等制度的有关规定。</w:t>
      </w:r>
    </w:p>
    <w:p>
      <w:pPr>
        <w:spacing w:line="240" w:lineRule="auto" w:before="11"/>
        <w:rPr>
          <w:rFonts w:ascii="宋体" w:hAnsi="宋体" w:cs="宋体" w:eastAsia="宋体" w:hint="default"/>
          <w:sz w:val="18"/>
          <w:szCs w:val="18"/>
        </w:rPr>
      </w:pPr>
    </w:p>
    <w:p>
      <w:pPr>
        <w:pStyle w:val="Heading2"/>
        <w:spacing w:line="240" w:lineRule="auto"/>
        <w:ind w:right="1117"/>
        <w:jc w:val="left"/>
        <w:rPr>
          <w:b w:val="0"/>
          <w:bCs w:val="0"/>
        </w:rPr>
      </w:pPr>
      <w:bookmarkStart w:name="九、内部控制评价报告" w:id="149"/>
      <w:bookmarkEnd w:id="149"/>
      <w:r>
        <w:rPr>
          <w:b w:val="0"/>
          <w:bCs w:val="0"/>
        </w:rPr>
      </w:r>
      <w:r>
        <w:rPr/>
        <w:t>九、内部控制评价报告</w:t>
      </w:r>
      <w:r>
        <w:rPr>
          <w:b w:val="0"/>
          <w:bCs w:val="0"/>
        </w:rPr>
      </w:r>
    </w:p>
    <w:p>
      <w:pPr>
        <w:spacing w:line="240" w:lineRule="auto" w:before="9"/>
        <w:rPr>
          <w:rFonts w:ascii="宋体" w:hAnsi="宋体" w:cs="宋体" w:eastAsia="宋体" w:hint="default"/>
          <w:b/>
          <w:bCs/>
          <w:sz w:val="24"/>
          <w:szCs w:val="24"/>
        </w:rPr>
      </w:pPr>
    </w:p>
    <w:p>
      <w:pPr>
        <w:pStyle w:val="Heading4"/>
        <w:spacing w:line="240" w:lineRule="auto"/>
        <w:ind w:right="1117"/>
        <w:jc w:val="left"/>
        <w:rPr>
          <w:b w:val="0"/>
          <w:bCs w:val="0"/>
        </w:rPr>
      </w:pPr>
      <w:bookmarkStart w:name="1、报告期内发现的内部控制重大缺陷的具体情况" w:id="150"/>
      <w:bookmarkEnd w:id="150"/>
      <w:r>
        <w:rPr>
          <w:b w:val="0"/>
          <w:bCs w:val="0"/>
        </w:rPr>
      </w:r>
      <w:r>
        <w:rPr>
          <w:rFonts w:ascii="Times New Roman" w:hAnsi="Times New Roman" w:cs="Times New Roman" w:eastAsia="Times New Roman" w:hint="default"/>
        </w:rPr>
        <w:t>1</w:t>
      </w:r>
      <w:r>
        <w:rPr/>
        <w:t>、报告期内发现的内部控制重大缺陷的具体情况</w:t>
      </w:r>
      <w:r>
        <w:rPr>
          <w:b w:val="0"/>
          <w:bCs w:val="0"/>
        </w:rPr>
      </w:r>
    </w:p>
    <w:p>
      <w:pPr>
        <w:spacing w:line="240" w:lineRule="auto" w:before="8"/>
        <w:rPr>
          <w:rFonts w:ascii="宋体" w:hAnsi="宋体" w:cs="宋体" w:eastAsia="宋体" w:hint="default"/>
          <w:b/>
          <w:bCs/>
          <w:sz w:val="26"/>
          <w:szCs w:val="26"/>
        </w:rPr>
      </w:pPr>
    </w:p>
    <w:p>
      <w:pPr>
        <w:spacing w:before="0"/>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是</w:t>
      </w:r>
      <w:r>
        <w:rPr>
          <w:rFonts w:ascii="Times New Roman" w:hAnsi="Times New Roman" w:cs="Times New Roman" w:eastAsia="Times New Roman" w:hint="default"/>
          <w:sz w:val="18"/>
          <w:szCs w:val="18"/>
        </w:rPr>
        <w:t>√</w:t>
      </w:r>
      <w:r>
        <w:rPr>
          <w:rFonts w:ascii="宋体" w:hAnsi="宋体" w:cs="宋体" w:eastAsia="宋体" w:hint="default"/>
          <w:sz w:val="18"/>
          <w:szCs w:val="18"/>
        </w:rPr>
        <w:t>否</w:t>
      </w:r>
    </w:p>
    <w:p>
      <w:pPr>
        <w:spacing w:line="240" w:lineRule="auto" w:before="9"/>
        <w:rPr>
          <w:rFonts w:ascii="宋体" w:hAnsi="宋体" w:cs="宋体" w:eastAsia="宋体" w:hint="default"/>
          <w:sz w:val="25"/>
          <w:szCs w:val="25"/>
        </w:rPr>
      </w:pPr>
    </w:p>
    <w:p>
      <w:pPr>
        <w:pStyle w:val="Heading4"/>
        <w:spacing w:line="240" w:lineRule="auto"/>
        <w:ind w:right="1117"/>
        <w:jc w:val="left"/>
        <w:rPr>
          <w:b w:val="0"/>
          <w:bCs w:val="0"/>
        </w:rPr>
      </w:pPr>
      <w:bookmarkStart w:name="2、内控自我评价报告" w:id="151"/>
      <w:bookmarkEnd w:id="151"/>
      <w:r>
        <w:rPr>
          <w:b w:val="0"/>
          <w:bCs w:val="0"/>
        </w:rPr>
      </w:r>
      <w:r>
        <w:rPr>
          <w:rFonts w:ascii="Times New Roman" w:hAnsi="Times New Roman" w:cs="Times New Roman" w:eastAsia="Times New Roman" w:hint="default"/>
        </w:rPr>
        <w:t>2</w:t>
      </w:r>
      <w:r>
        <w:rPr/>
        <w:t>、内控自我评价报告</w:t>
      </w:r>
      <w:r>
        <w:rPr>
          <w:b w:val="0"/>
          <w:bCs w:val="0"/>
        </w:rPr>
      </w:r>
    </w:p>
    <w:p>
      <w:pPr>
        <w:spacing w:line="240" w:lineRule="auto" w:before="10"/>
        <w:rPr>
          <w:rFonts w:ascii="宋体" w:hAnsi="宋体" w:cs="宋体" w:eastAsia="宋体" w:hint="default"/>
          <w:b/>
          <w:bCs/>
          <w:sz w:val="25"/>
          <w:szCs w:val="25"/>
        </w:rPr>
      </w:pPr>
    </w:p>
    <w:tbl>
      <w:tblPr>
        <w:tblW w:w="0" w:type="auto"/>
        <w:jc w:val="left"/>
        <w:tblInd w:w="160" w:type="dxa"/>
        <w:tblLayout w:type="fixed"/>
        <w:tblCellMar>
          <w:top w:w="0" w:type="dxa"/>
          <w:left w:w="0" w:type="dxa"/>
          <w:bottom w:w="0" w:type="dxa"/>
          <w:right w:w="0" w:type="dxa"/>
        </w:tblCellMar>
        <w:tblLook w:val="01E0"/>
      </w:tblPr>
      <w:tblGrid>
        <w:gridCol w:w="3177"/>
        <w:gridCol w:w="3329"/>
        <w:gridCol w:w="3051"/>
      </w:tblGrid>
      <w:tr>
        <w:trPr>
          <w:trHeight w:val="402" w:hRule="exact"/>
        </w:trPr>
        <w:tc>
          <w:tcPr>
            <w:tcW w:w="3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内部控制评价报告全文披露日期</w:t>
            </w:r>
          </w:p>
        </w:tc>
        <w:tc>
          <w:tcPr>
            <w:tcW w:w="6380"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1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402" w:hRule="exact"/>
        </w:trPr>
        <w:tc>
          <w:tcPr>
            <w:tcW w:w="3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内部控制评价报告全文披露索引</w:t>
            </w:r>
          </w:p>
        </w:tc>
        <w:tc>
          <w:tcPr>
            <w:tcW w:w="6380"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16"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巨潮资讯网</w:t>
            </w:r>
            <w:r>
              <w:rPr>
                <w:rFonts w:ascii="宋体" w:hAnsi="宋体" w:cs="宋体" w:eastAsia="宋体" w:hint="default"/>
                <w:spacing w:val="-60"/>
                <w:sz w:val="18"/>
                <w:szCs w:val="18"/>
              </w:rPr>
              <w:t> </w:t>
            </w:r>
            <w:hyperlink r:id="rId42">
              <w:r>
                <w:rPr>
                  <w:rFonts w:ascii="Times New Roman" w:hAnsi="Times New Roman" w:cs="Times New Roman" w:eastAsia="Times New Roman" w:hint="default"/>
                  <w:sz w:val="18"/>
                  <w:szCs w:val="18"/>
                </w:rPr>
                <w:t>www.cninfo.com.cn</w:t>
              </w:r>
            </w:hyperlink>
          </w:p>
        </w:tc>
      </w:tr>
      <w:tr>
        <w:trPr>
          <w:trHeight w:val="714" w:hRule="exact"/>
        </w:trPr>
        <w:tc>
          <w:tcPr>
            <w:tcW w:w="3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94"/>
              <w:jc w:val="left"/>
              <w:rPr>
                <w:rFonts w:ascii="宋体" w:hAnsi="宋体" w:cs="宋体" w:eastAsia="宋体" w:hint="default"/>
                <w:sz w:val="18"/>
                <w:szCs w:val="18"/>
              </w:rPr>
            </w:pPr>
            <w:r>
              <w:rPr>
                <w:rFonts w:ascii="宋体" w:hAnsi="宋体" w:cs="宋体" w:eastAsia="宋体" w:hint="default"/>
                <w:sz w:val="18"/>
                <w:szCs w:val="18"/>
              </w:rPr>
              <w:t>纳入评价范围单位资产总额占公司合并 财务报表资产总额的比例</w:t>
            </w:r>
          </w:p>
        </w:tc>
        <w:tc>
          <w:tcPr>
            <w:tcW w:w="6380"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r>
      <w:tr>
        <w:trPr>
          <w:trHeight w:val="714" w:hRule="exact"/>
        </w:trPr>
        <w:tc>
          <w:tcPr>
            <w:tcW w:w="3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94"/>
              <w:jc w:val="left"/>
              <w:rPr>
                <w:rFonts w:ascii="宋体" w:hAnsi="宋体" w:cs="宋体" w:eastAsia="宋体" w:hint="default"/>
                <w:sz w:val="18"/>
                <w:szCs w:val="18"/>
              </w:rPr>
            </w:pPr>
            <w:r>
              <w:rPr>
                <w:rFonts w:ascii="宋体" w:hAnsi="宋体" w:cs="宋体" w:eastAsia="宋体" w:hint="default"/>
                <w:sz w:val="18"/>
                <w:szCs w:val="18"/>
              </w:rPr>
              <w:t>纳入评价范围单位营业收入占公司合并 财务报表营业收入的比例</w:t>
            </w:r>
          </w:p>
        </w:tc>
        <w:tc>
          <w:tcPr>
            <w:tcW w:w="6380"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r>
      <w:tr>
        <w:trPr>
          <w:trHeight w:val="397" w:hRule="exact"/>
        </w:trPr>
        <w:tc>
          <w:tcPr>
            <w:tcW w:w="9557"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0"/>
              <w:jc w:val="center"/>
              <w:rPr>
                <w:rFonts w:ascii="宋体" w:hAnsi="宋体" w:cs="宋体" w:eastAsia="宋体" w:hint="default"/>
                <w:sz w:val="18"/>
                <w:szCs w:val="18"/>
              </w:rPr>
            </w:pPr>
            <w:r>
              <w:rPr>
                <w:rFonts w:ascii="宋体" w:hAnsi="宋体" w:cs="宋体" w:eastAsia="宋体" w:hint="default"/>
                <w:sz w:val="18"/>
                <w:szCs w:val="18"/>
              </w:rPr>
              <w:t>缺陷认定标准</w:t>
            </w:r>
          </w:p>
        </w:tc>
      </w:tr>
      <w:tr>
        <w:trPr>
          <w:trHeight w:val="407" w:hRule="exact"/>
        </w:trPr>
        <w:tc>
          <w:tcPr>
            <w:tcW w:w="3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1" w:right="5"/>
              <w:jc w:val="center"/>
              <w:rPr>
                <w:rFonts w:ascii="宋体" w:hAnsi="宋体" w:cs="宋体" w:eastAsia="宋体" w:hint="default"/>
                <w:sz w:val="18"/>
                <w:szCs w:val="18"/>
              </w:rPr>
            </w:pPr>
            <w:r>
              <w:rPr>
                <w:rFonts w:ascii="宋体" w:hAnsi="宋体" w:cs="宋体" w:eastAsia="宋体" w:hint="default"/>
                <w:sz w:val="18"/>
                <w:szCs w:val="18"/>
              </w:rPr>
              <w:t>类别</w:t>
            </w:r>
          </w:p>
        </w:tc>
        <w:tc>
          <w:tcPr>
            <w:tcW w:w="33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5" w:right="0"/>
              <w:jc w:val="center"/>
              <w:rPr>
                <w:rFonts w:ascii="宋体" w:hAnsi="宋体" w:cs="宋体" w:eastAsia="宋体" w:hint="default"/>
                <w:sz w:val="18"/>
                <w:szCs w:val="18"/>
              </w:rPr>
            </w:pPr>
            <w:r>
              <w:rPr>
                <w:rFonts w:ascii="宋体" w:hAnsi="宋体" w:cs="宋体" w:eastAsia="宋体" w:hint="default"/>
                <w:sz w:val="18"/>
                <w:szCs w:val="18"/>
              </w:rPr>
              <w:t>财务报告</w:t>
            </w:r>
          </w:p>
        </w:tc>
        <w:tc>
          <w:tcPr>
            <w:tcW w:w="30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非财务报告</w:t>
            </w:r>
          </w:p>
        </w:tc>
      </w:tr>
      <w:tr>
        <w:trPr>
          <w:trHeight w:val="689" w:hRule="exact"/>
        </w:trPr>
        <w:tc>
          <w:tcPr>
            <w:tcW w:w="3177" w:type="dxa"/>
            <w:tcBorders>
              <w:top w:val="single" w:sz="4" w:space="0" w:color="000000"/>
              <w:left w:val="single" w:sz="4" w:space="0" w:color="000000"/>
              <w:bottom w:val="nil" w:sz="6" w:space="0" w:color="auto"/>
              <w:right w:val="single" w:sz="4" w:space="0" w:color="000000"/>
            </w:tcBorders>
            <w:shd w:val="clear" w:color="auto" w:fill="D2D2D2"/>
          </w:tcPr>
          <w:p>
            <w:pPr/>
          </w:p>
        </w:tc>
        <w:tc>
          <w:tcPr>
            <w:tcW w:w="3329" w:type="dxa"/>
            <w:vMerge w:val="restart"/>
            <w:tcBorders>
              <w:top w:val="single" w:sz="4" w:space="0" w:color="000000"/>
              <w:left w:val="single" w:sz="9" w:space="0" w:color="D2D2D2"/>
              <w:right w:val="single" w:sz="4" w:space="0" w:color="000000"/>
            </w:tcBorders>
          </w:tcPr>
          <w:p>
            <w:pPr>
              <w:pStyle w:val="TableParagraph"/>
              <w:spacing w:line="240" w:lineRule="auto" w:before="71"/>
              <w:ind w:left="22" w:right="0"/>
              <w:jc w:val="left"/>
              <w:rPr>
                <w:rFonts w:ascii="宋体" w:hAnsi="宋体" w:cs="宋体" w:eastAsia="宋体" w:hint="default"/>
                <w:sz w:val="18"/>
                <w:szCs w:val="18"/>
              </w:rPr>
            </w:pPr>
            <w:r>
              <w:rPr>
                <w:rFonts w:ascii="宋体" w:hAnsi="宋体" w:cs="宋体" w:eastAsia="宋体" w:hint="default"/>
                <w:sz w:val="18"/>
                <w:szCs w:val="18"/>
              </w:rPr>
              <w:t>①  重大缺陷的认定标准</w:t>
            </w:r>
          </w:p>
          <w:p>
            <w:pPr>
              <w:pStyle w:val="TableParagraph"/>
              <w:spacing w:line="302" w:lineRule="auto" w:before="116"/>
              <w:ind w:left="22" w:right="124"/>
              <w:jc w:val="left"/>
              <w:rPr>
                <w:rFonts w:ascii="宋体" w:hAnsi="宋体" w:cs="宋体" w:eastAsia="宋体" w:hint="default"/>
                <w:sz w:val="18"/>
                <w:szCs w:val="18"/>
              </w:rPr>
            </w:pPr>
            <w:r>
              <w:rPr>
                <w:rFonts w:ascii="Times New Roman" w:hAnsi="Times New Roman" w:cs="Times New Roman" w:eastAsia="Times New Roman" w:hint="default"/>
                <w:sz w:val="18"/>
                <w:szCs w:val="18"/>
              </w:rPr>
              <w:t>I</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对已经公告的财务报告出现的重大差错</w:t>
            </w:r>
            <w:r>
              <w:rPr>
                <w:rFonts w:ascii="宋体" w:hAnsi="宋体" w:cs="宋体" w:eastAsia="宋体" w:hint="default"/>
                <w:w w:val="99"/>
                <w:sz w:val="18"/>
                <w:szCs w:val="18"/>
              </w:rPr>
              <w:t> </w:t>
            </w:r>
            <w:r>
              <w:rPr>
                <w:rFonts w:ascii="宋体" w:hAnsi="宋体" w:cs="宋体" w:eastAsia="宋体" w:hint="default"/>
                <w:sz w:val="18"/>
                <w:szCs w:val="18"/>
              </w:rPr>
              <w:t>进行错报更正；</w:t>
            </w:r>
          </w:p>
          <w:p>
            <w:pPr>
              <w:pStyle w:val="TableParagraph"/>
              <w:spacing w:line="302" w:lineRule="auto" w:before="68"/>
              <w:ind w:left="22" w:right="64"/>
              <w:jc w:val="left"/>
              <w:rPr>
                <w:rFonts w:ascii="宋体" w:hAnsi="宋体" w:cs="宋体" w:eastAsia="宋体" w:hint="default"/>
                <w:sz w:val="18"/>
                <w:szCs w:val="18"/>
              </w:rPr>
            </w:pPr>
            <w:r>
              <w:rPr>
                <w:rFonts w:ascii="Times New Roman" w:hAnsi="Times New Roman" w:cs="Times New Roman" w:eastAsia="Times New Roman" w:hint="default"/>
                <w:sz w:val="18"/>
                <w:szCs w:val="18"/>
              </w:rPr>
              <w:t>II</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当期财务报告存在重大错报，而内部控</w:t>
            </w:r>
            <w:r>
              <w:rPr>
                <w:rFonts w:ascii="宋体" w:hAnsi="宋体" w:cs="宋体" w:eastAsia="宋体" w:hint="default"/>
                <w:w w:val="99"/>
                <w:sz w:val="18"/>
                <w:szCs w:val="18"/>
              </w:rPr>
              <w:t> </w:t>
            </w:r>
            <w:r>
              <w:rPr>
                <w:rFonts w:ascii="宋体" w:hAnsi="宋体" w:cs="宋体" w:eastAsia="宋体" w:hint="default"/>
                <w:sz w:val="18"/>
                <w:szCs w:val="18"/>
              </w:rPr>
              <w:t>制在运行过程中未能发现该错报；</w:t>
            </w:r>
          </w:p>
        </w:tc>
        <w:tc>
          <w:tcPr>
            <w:tcW w:w="3051" w:type="dxa"/>
            <w:vMerge w:val="restart"/>
            <w:tcBorders>
              <w:top w:val="single" w:sz="4" w:space="0" w:color="000000"/>
              <w:left w:val="single" w:sz="4" w:space="0" w:color="000000"/>
              <w:right w:val="single" w:sz="4" w:space="0" w:color="000000"/>
            </w:tcBorders>
          </w:tcPr>
          <w:p>
            <w:pPr>
              <w:pStyle w:val="TableParagraph"/>
              <w:spacing w:line="319" w:lineRule="auto" w:before="51"/>
              <w:ind w:left="22" w:right="136"/>
              <w:jc w:val="left"/>
              <w:rPr>
                <w:rFonts w:ascii="宋体" w:hAnsi="宋体" w:cs="宋体" w:eastAsia="宋体" w:hint="default"/>
                <w:sz w:val="18"/>
                <w:szCs w:val="18"/>
              </w:rPr>
            </w:pPr>
            <w:r>
              <w:rPr>
                <w:rFonts w:ascii="宋体" w:hAnsi="宋体" w:cs="宋体" w:eastAsia="宋体" w:hint="default"/>
                <w:sz w:val="18"/>
                <w:szCs w:val="18"/>
              </w:rPr>
              <w:t>公司确定的非财务报告内部控制缺陷 评价的定性标准如下：</w:t>
            </w:r>
          </w:p>
          <w:p>
            <w:pPr>
              <w:pStyle w:val="TableParagraph"/>
              <w:spacing w:line="240" w:lineRule="auto" w:before="56"/>
              <w:ind w:left="22" w:right="0"/>
              <w:jc w:val="left"/>
              <w:rPr>
                <w:rFonts w:ascii="宋体" w:hAnsi="宋体" w:cs="宋体" w:eastAsia="宋体" w:hint="default"/>
                <w:sz w:val="18"/>
                <w:szCs w:val="18"/>
              </w:rPr>
            </w:pPr>
            <w:r>
              <w:rPr>
                <w:rFonts w:ascii="宋体" w:hAnsi="宋体" w:cs="宋体" w:eastAsia="宋体" w:hint="default"/>
                <w:sz w:val="18"/>
                <w:szCs w:val="18"/>
              </w:rPr>
              <w:t>①  重大缺陷的认定标准</w:t>
            </w:r>
          </w:p>
          <w:p>
            <w:pPr>
              <w:pStyle w:val="TableParagraph"/>
              <w:spacing w:line="240" w:lineRule="auto" w:before="116"/>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I</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公司缺乏民主决策程序；</w:t>
            </w:r>
          </w:p>
          <w:p>
            <w:pPr>
              <w:pStyle w:val="TableParagraph"/>
              <w:spacing w:line="240" w:lineRule="auto" w:before="103"/>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II</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公司决策程序导致重大失误；</w:t>
            </w:r>
          </w:p>
        </w:tc>
      </w:tr>
      <w:tr>
        <w:trPr>
          <w:trHeight w:val="392" w:hRule="exact"/>
        </w:trPr>
        <w:tc>
          <w:tcPr>
            <w:tcW w:w="317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定性标准</w:t>
            </w:r>
          </w:p>
        </w:tc>
        <w:tc>
          <w:tcPr>
            <w:tcW w:w="3329" w:type="dxa"/>
            <w:vMerge/>
            <w:tcBorders>
              <w:left w:val="single" w:sz="9" w:space="0" w:color="D2D2D2"/>
              <w:right w:val="single" w:sz="4" w:space="0" w:color="000000"/>
            </w:tcBorders>
          </w:tcPr>
          <w:p>
            <w:pPr/>
          </w:p>
        </w:tc>
        <w:tc>
          <w:tcPr>
            <w:tcW w:w="3051" w:type="dxa"/>
            <w:vMerge/>
            <w:tcBorders>
              <w:left w:val="single" w:sz="4" w:space="0" w:color="000000"/>
              <w:right w:val="single" w:sz="4" w:space="0" w:color="000000"/>
            </w:tcBorders>
          </w:tcPr>
          <w:p>
            <w:pPr/>
          </w:p>
        </w:tc>
      </w:tr>
      <w:tr>
        <w:trPr>
          <w:trHeight w:val="689" w:hRule="exact"/>
        </w:trPr>
        <w:tc>
          <w:tcPr>
            <w:tcW w:w="3177" w:type="dxa"/>
            <w:tcBorders>
              <w:top w:val="nil" w:sz="6" w:space="0" w:color="auto"/>
              <w:left w:val="single" w:sz="4" w:space="0" w:color="000000"/>
              <w:bottom w:val="single" w:sz="4" w:space="0" w:color="000000"/>
              <w:right w:val="single" w:sz="4" w:space="0" w:color="000000"/>
            </w:tcBorders>
            <w:shd w:val="clear" w:color="auto" w:fill="D2D2D2"/>
          </w:tcPr>
          <w:p>
            <w:pPr/>
          </w:p>
        </w:tc>
        <w:tc>
          <w:tcPr>
            <w:tcW w:w="3329" w:type="dxa"/>
            <w:vMerge/>
            <w:tcBorders>
              <w:left w:val="single" w:sz="9" w:space="0" w:color="D2D2D2"/>
              <w:bottom w:val="single" w:sz="4" w:space="0" w:color="000000"/>
              <w:right w:val="single" w:sz="4" w:space="0" w:color="000000"/>
            </w:tcBorders>
          </w:tcPr>
          <w:p>
            <w:pPr/>
          </w:p>
        </w:tc>
        <w:tc>
          <w:tcPr>
            <w:tcW w:w="3051" w:type="dxa"/>
            <w:vMerge/>
            <w:tcBorders>
              <w:left w:val="single" w:sz="4" w:space="0" w:color="000000"/>
              <w:bottom w:val="single" w:sz="4" w:space="0" w:color="000000"/>
              <w:right w:val="single" w:sz="4" w:space="0" w:color="000000"/>
            </w:tcBorders>
          </w:tcPr>
          <w:p>
            <w:pPr/>
          </w:p>
        </w:tc>
      </w:tr>
    </w:tbl>
    <w:p>
      <w:pPr>
        <w:spacing w:after="0"/>
        <w:sectPr>
          <w:pgSz w:w="11910" w:h="16840"/>
          <w:pgMar w:header="877" w:footer="979" w:top="1060" w:bottom="1160" w:left="980" w:right="0"/>
        </w:sectPr>
      </w:pPr>
    </w:p>
    <w:p>
      <w:pPr>
        <w:spacing w:line="240" w:lineRule="auto" w:before="0"/>
        <w:rPr>
          <w:rFonts w:ascii="宋体" w:hAnsi="宋体" w:cs="宋体" w:eastAsia="宋体" w:hint="default"/>
          <w:b/>
          <w:bCs/>
          <w:sz w:val="20"/>
          <w:szCs w:val="20"/>
        </w:rPr>
      </w:pPr>
      <w:r>
        <w:rPr/>
        <w:pict>
          <v:shape style="position:absolute;margin-left:331.634003pt;margin-top:381.799988pt;width:203.3pt;height:46.85pt;mso-position-horizontal-relative:page;mso-position-vertical-relative:page;z-index:-1221424" type="#_x0000_t202" filled="false" stroked="false">
            <v:textbox inset="0,0,0,0">
              <w:txbxContent>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8"/>
                    <w:rPr>
                      <w:rFonts w:ascii="宋体" w:hAnsi="宋体" w:cs="宋体" w:eastAsia="宋体" w:hint="default"/>
                      <w:sz w:val="15"/>
                      <w:szCs w:val="15"/>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入指标衡量。</w:t>
                  </w:r>
                </w:p>
              </w:txbxContent>
            </v:textbox>
            <w10:wrap type="none"/>
          </v:shape>
        </w:pict>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28"/>
          <w:szCs w:val="28"/>
        </w:rPr>
      </w:pPr>
    </w:p>
    <w:p>
      <w:pPr>
        <w:spacing w:before="44"/>
        <w:ind w:left="0" w:right="1140" w:firstLine="0"/>
        <w:jc w:val="right"/>
        <w:rPr>
          <w:rFonts w:ascii="宋体" w:hAnsi="宋体" w:cs="宋体" w:eastAsia="宋体" w:hint="default"/>
          <w:sz w:val="18"/>
          <w:szCs w:val="18"/>
        </w:rPr>
      </w:pPr>
      <w:r>
        <w:rPr/>
        <w:pict>
          <v:shape style="position:absolute;margin-left:56.459999pt;margin-top:-118.108307pt;width:479.2pt;height:628.75pt;mso-position-horizontal-relative:page;mso-position-vertical-relative:paragraph;z-index:280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194"/>
                    <w:gridCol w:w="3324"/>
                    <w:gridCol w:w="3051"/>
                  </w:tblGrid>
                  <w:tr>
                    <w:trPr>
                      <w:trHeight w:val="6186"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24" w:type="dxa"/>
                        <w:tcBorders>
                          <w:top w:val="single" w:sz="4" w:space="0" w:color="000000"/>
                          <w:left w:val="single" w:sz="4" w:space="0" w:color="000000"/>
                          <w:bottom w:val="single" w:sz="4" w:space="0" w:color="000000"/>
                          <w:right w:val="single" w:sz="4" w:space="0" w:color="000000"/>
                        </w:tcBorders>
                      </w:tcPr>
                      <w:p>
                        <w:pPr>
                          <w:pStyle w:val="TableParagraph"/>
                          <w:spacing w:line="302" w:lineRule="auto" w:before="10"/>
                          <w:ind w:left="23" w:right="22"/>
                          <w:jc w:val="both"/>
                          <w:rPr>
                            <w:rFonts w:ascii="宋体" w:hAnsi="宋体" w:cs="宋体" w:eastAsia="宋体" w:hint="default"/>
                            <w:sz w:val="18"/>
                            <w:szCs w:val="18"/>
                          </w:rPr>
                        </w:pPr>
                        <w:r>
                          <w:rPr>
                            <w:rFonts w:ascii="Times New Roman" w:hAnsi="Times New Roman" w:cs="Times New Roman" w:eastAsia="Times New Roman" w:hint="default"/>
                            <w:sz w:val="18"/>
                            <w:szCs w:val="18"/>
                          </w:rPr>
                          <w:t>III</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审计委员会以及内部审计部门对财务报</w:t>
                        </w:r>
                        <w:r>
                          <w:rPr>
                            <w:rFonts w:ascii="宋体" w:hAnsi="宋体" w:cs="宋体" w:eastAsia="宋体" w:hint="default"/>
                            <w:w w:val="99"/>
                            <w:sz w:val="18"/>
                            <w:szCs w:val="18"/>
                          </w:rPr>
                          <w:t> </w:t>
                        </w:r>
                        <w:r>
                          <w:rPr>
                            <w:rFonts w:ascii="宋体" w:hAnsi="宋体" w:cs="宋体" w:eastAsia="宋体" w:hint="default"/>
                            <w:sz w:val="18"/>
                            <w:szCs w:val="18"/>
                          </w:rPr>
                          <w:t>告内部控制监督无效。</w:t>
                        </w:r>
                      </w:p>
                      <w:p>
                        <w:pPr>
                          <w:pStyle w:val="TableParagraph"/>
                          <w:spacing w:line="240" w:lineRule="auto" w:before="70"/>
                          <w:ind w:left="23" w:right="0"/>
                          <w:jc w:val="both"/>
                          <w:rPr>
                            <w:rFonts w:ascii="宋体" w:hAnsi="宋体" w:cs="宋体" w:eastAsia="宋体" w:hint="default"/>
                            <w:sz w:val="18"/>
                            <w:szCs w:val="18"/>
                          </w:rPr>
                        </w:pPr>
                        <w:r>
                          <w:rPr>
                            <w:rFonts w:ascii="宋体" w:hAnsi="宋体" w:cs="宋体" w:eastAsia="宋体" w:hint="default"/>
                            <w:sz w:val="18"/>
                            <w:szCs w:val="18"/>
                          </w:rPr>
                          <w:t>②  重要缺陷的认定标准</w:t>
                        </w:r>
                      </w:p>
                      <w:p>
                        <w:pPr>
                          <w:pStyle w:val="TableParagraph"/>
                          <w:spacing w:line="302" w:lineRule="auto" w:before="115"/>
                          <w:ind w:left="23" w:right="124"/>
                          <w:jc w:val="both"/>
                          <w:rPr>
                            <w:rFonts w:ascii="宋体" w:hAnsi="宋体" w:cs="宋体" w:eastAsia="宋体" w:hint="default"/>
                            <w:sz w:val="18"/>
                            <w:szCs w:val="18"/>
                          </w:rPr>
                        </w:pPr>
                        <w:r>
                          <w:rPr>
                            <w:rFonts w:ascii="Times New Roman" w:hAnsi="Times New Roman" w:cs="Times New Roman" w:eastAsia="Times New Roman" w:hint="default"/>
                            <w:sz w:val="18"/>
                            <w:szCs w:val="18"/>
                          </w:rPr>
                          <w:t>I</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未依照公认会计准则选择和应用会计政</w:t>
                        </w:r>
                        <w:r>
                          <w:rPr>
                            <w:rFonts w:ascii="宋体" w:hAnsi="宋体" w:cs="宋体" w:eastAsia="宋体" w:hint="default"/>
                            <w:w w:val="99"/>
                            <w:sz w:val="18"/>
                            <w:szCs w:val="18"/>
                          </w:rPr>
                          <w:t> </w:t>
                        </w:r>
                        <w:r>
                          <w:rPr>
                            <w:rFonts w:ascii="宋体" w:hAnsi="宋体" w:cs="宋体" w:eastAsia="宋体" w:hint="default"/>
                            <w:sz w:val="18"/>
                            <w:szCs w:val="18"/>
                          </w:rPr>
                          <w:t>策；</w:t>
                        </w:r>
                      </w:p>
                      <w:p>
                        <w:pPr>
                          <w:pStyle w:val="TableParagraph"/>
                          <w:spacing w:line="309" w:lineRule="auto" w:before="68"/>
                          <w:ind w:left="23" w:right="48"/>
                          <w:jc w:val="both"/>
                          <w:rPr>
                            <w:rFonts w:ascii="宋体" w:hAnsi="宋体" w:cs="宋体" w:eastAsia="宋体" w:hint="default"/>
                            <w:sz w:val="18"/>
                            <w:szCs w:val="18"/>
                          </w:rPr>
                        </w:pPr>
                        <w:r>
                          <w:rPr>
                            <w:rFonts w:ascii="Times New Roman" w:hAnsi="Times New Roman" w:cs="Times New Roman" w:eastAsia="Times New Roman" w:hint="default"/>
                            <w:sz w:val="18"/>
                            <w:szCs w:val="18"/>
                          </w:rPr>
                          <w:t>II</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对于非常规或特殊交易的账务处理没有</w:t>
                        </w:r>
                        <w:r>
                          <w:rPr>
                            <w:rFonts w:ascii="宋体" w:hAnsi="宋体" w:cs="宋体" w:eastAsia="宋体" w:hint="default"/>
                            <w:w w:val="99"/>
                            <w:sz w:val="18"/>
                            <w:szCs w:val="18"/>
                          </w:rPr>
                          <w:t> </w:t>
                        </w:r>
                        <w:r>
                          <w:rPr>
                            <w:rFonts w:ascii="宋体" w:hAnsi="宋体" w:cs="宋体" w:eastAsia="宋体" w:hint="default"/>
                            <w:sz w:val="18"/>
                            <w:szCs w:val="18"/>
                          </w:rPr>
                          <w:t>建立相应的控制机制或没有实施且没有相</w:t>
                        </w:r>
                        <w:r>
                          <w:rPr>
                            <w:rFonts w:ascii="宋体" w:hAnsi="宋体" w:cs="宋体" w:eastAsia="宋体" w:hint="default"/>
                            <w:w w:val="99"/>
                            <w:sz w:val="18"/>
                            <w:szCs w:val="18"/>
                          </w:rPr>
                          <w:t> </w:t>
                        </w:r>
                        <w:r>
                          <w:rPr>
                            <w:rFonts w:ascii="宋体" w:hAnsi="宋体" w:cs="宋体" w:eastAsia="宋体" w:hint="default"/>
                            <w:sz w:val="18"/>
                            <w:szCs w:val="18"/>
                          </w:rPr>
                          <w:t>应的补偿性控制；</w:t>
                        </w:r>
                      </w:p>
                      <w:p>
                        <w:pPr>
                          <w:pStyle w:val="TableParagraph"/>
                          <w:spacing w:line="309" w:lineRule="auto" w:before="64"/>
                          <w:ind w:left="23" w:right="22"/>
                          <w:jc w:val="both"/>
                          <w:rPr>
                            <w:rFonts w:ascii="宋体" w:hAnsi="宋体" w:cs="宋体" w:eastAsia="宋体" w:hint="default"/>
                            <w:sz w:val="18"/>
                            <w:szCs w:val="18"/>
                          </w:rPr>
                        </w:pPr>
                        <w:r>
                          <w:rPr>
                            <w:rFonts w:ascii="Times New Roman" w:hAnsi="Times New Roman" w:cs="Times New Roman" w:eastAsia="Times New Roman" w:hint="default"/>
                            <w:sz w:val="18"/>
                            <w:szCs w:val="18"/>
                          </w:rPr>
                          <w:t>III</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对于期末财务报告过程的控制存在一项</w:t>
                        </w:r>
                        <w:r>
                          <w:rPr>
                            <w:rFonts w:ascii="宋体" w:hAnsi="宋体" w:cs="宋体" w:eastAsia="宋体" w:hint="default"/>
                            <w:w w:val="99"/>
                            <w:sz w:val="18"/>
                            <w:szCs w:val="18"/>
                          </w:rPr>
                          <w:t> </w:t>
                        </w:r>
                        <w:r>
                          <w:rPr>
                            <w:rFonts w:ascii="宋体" w:hAnsi="宋体" w:cs="宋体" w:eastAsia="宋体" w:hint="default"/>
                            <w:sz w:val="18"/>
                            <w:szCs w:val="18"/>
                          </w:rPr>
                          <w:t>或多项缺陷且不能合理保证编制的财务报</w:t>
                        </w:r>
                        <w:r>
                          <w:rPr>
                            <w:rFonts w:ascii="宋体" w:hAnsi="宋体" w:cs="宋体" w:eastAsia="宋体" w:hint="default"/>
                            <w:w w:val="99"/>
                            <w:sz w:val="18"/>
                            <w:szCs w:val="18"/>
                          </w:rPr>
                          <w:t> </w:t>
                        </w:r>
                        <w:r>
                          <w:rPr>
                            <w:rFonts w:ascii="宋体" w:hAnsi="宋体" w:cs="宋体" w:eastAsia="宋体" w:hint="default"/>
                            <w:sz w:val="18"/>
                            <w:szCs w:val="18"/>
                          </w:rPr>
                          <w:t>表达到真实、准确的目标。</w:t>
                        </w:r>
                      </w:p>
                      <w:p>
                        <w:pPr>
                          <w:pStyle w:val="TableParagraph"/>
                          <w:spacing w:line="319" w:lineRule="auto" w:before="62"/>
                          <w:ind w:left="23" w:right="48"/>
                          <w:jc w:val="both"/>
                          <w:rPr>
                            <w:rFonts w:ascii="宋体" w:hAnsi="宋体" w:cs="宋体" w:eastAsia="宋体" w:hint="default"/>
                            <w:sz w:val="18"/>
                            <w:szCs w:val="18"/>
                          </w:rPr>
                        </w:pPr>
                        <w:r>
                          <w:rPr>
                            <w:rFonts w:ascii="宋体" w:hAnsi="宋体" w:cs="宋体" w:eastAsia="宋体" w:hint="default"/>
                            <w:sz w:val="18"/>
                            <w:szCs w:val="18"/>
                          </w:rPr>
                          <w:t>③一般缺陷的认定标准一般缺陷指上述重 大缺陷和重要缺陷外的其它缺陷。</w:t>
                        </w:r>
                      </w:p>
                    </w:tc>
                    <w:tc>
                      <w:tcPr>
                        <w:tcW w:w="3051" w:type="dxa"/>
                        <w:tcBorders>
                          <w:top w:val="single" w:sz="4" w:space="0" w:color="000000"/>
                          <w:left w:val="single" w:sz="4" w:space="0" w:color="000000"/>
                          <w:bottom w:val="single" w:sz="4" w:space="0" w:color="000000"/>
                          <w:right w:val="single" w:sz="4" w:space="0" w:color="000000"/>
                        </w:tcBorders>
                      </w:tcPr>
                      <w:p>
                        <w:pPr>
                          <w:pStyle w:val="TableParagraph"/>
                          <w:spacing w:line="302" w:lineRule="auto" w:before="10"/>
                          <w:ind w:left="22" w:right="93"/>
                          <w:jc w:val="left"/>
                          <w:rPr>
                            <w:rFonts w:ascii="宋体" w:hAnsi="宋体" w:cs="宋体" w:eastAsia="宋体" w:hint="default"/>
                            <w:sz w:val="18"/>
                            <w:szCs w:val="18"/>
                          </w:rPr>
                        </w:pPr>
                        <w:r>
                          <w:rPr>
                            <w:rFonts w:ascii="Times New Roman" w:hAnsi="Times New Roman" w:cs="Times New Roman" w:eastAsia="Times New Roman" w:hint="default"/>
                            <w:sz w:val="18"/>
                            <w:szCs w:val="18"/>
                          </w:rPr>
                          <w:t>III</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公司重要业务缺乏制度控制或制度</w:t>
                        </w:r>
                        <w:r>
                          <w:rPr>
                            <w:rFonts w:ascii="宋体" w:hAnsi="宋体" w:cs="宋体" w:eastAsia="宋体" w:hint="default"/>
                            <w:w w:val="99"/>
                            <w:sz w:val="18"/>
                            <w:szCs w:val="18"/>
                          </w:rPr>
                          <w:t> </w:t>
                        </w:r>
                        <w:r>
                          <w:rPr>
                            <w:rFonts w:ascii="宋体" w:hAnsi="宋体" w:cs="宋体" w:eastAsia="宋体" w:hint="default"/>
                            <w:sz w:val="18"/>
                            <w:szCs w:val="18"/>
                          </w:rPr>
                          <w:t>体系失效；</w:t>
                        </w:r>
                      </w:p>
                      <w:p>
                        <w:pPr>
                          <w:pStyle w:val="TableParagraph"/>
                          <w:spacing w:line="302" w:lineRule="auto" w:before="69"/>
                          <w:ind w:left="22" w:right="81"/>
                          <w:jc w:val="left"/>
                          <w:rPr>
                            <w:rFonts w:ascii="宋体" w:hAnsi="宋体" w:cs="宋体" w:eastAsia="宋体" w:hint="default"/>
                            <w:sz w:val="18"/>
                            <w:szCs w:val="18"/>
                          </w:rPr>
                        </w:pPr>
                        <w:r>
                          <w:rPr>
                            <w:rFonts w:ascii="Times New Roman" w:hAnsi="Times New Roman" w:cs="Times New Roman" w:eastAsia="Times New Roman" w:hint="default"/>
                            <w:sz w:val="18"/>
                            <w:szCs w:val="18"/>
                          </w:rPr>
                          <w:t>IV</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公司内部控制重大或重要缺陷未得 到整改。</w:t>
                        </w:r>
                      </w:p>
                      <w:p>
                        <w:pPr>
                          <w:pStyle w:val="TableParagraph"/>
                          <w:spacing w:line="240" w:lineRule="auto" w:before="69"/>
                          <w:ind w:left="22" w:right="0"/>
                          <w:jc w:val="left"/>
                          <w:rPr>
                            <w:rFonts w:ascii="宋体" w:hAnsi="宋体" w:cs="宋体" w:eastAsia="宋体" w:hint="default"/>
                            <w:sz w:val="18"/>
                            <w:szCs w:val="18"/>
                          </w:rPr>
                        </w:pPr>
                        <w:r>
                          <w:rPr>
                            <w:rFonts w:ascii="宋体" w:hAnsi="宋体" w:cs="宋体" w:eastAsia="宋体" w:hint="default"/>
                            <w:sz w:val="18"/>
                            <w:szCs w:val="18"/>
                          </w:rPr>
                          <w:t>②  重要缺陷的认定标准</w:t>
                        </w:r>
                      </w:p>
                      <w:p>
                        <w:pPr>
                          <w:pStyle w:val="TableParagraph"/>
                          <w:spacing w:line="338" w:lineRule="auto" w:before="116"/>
                          <w:ind w:left="22" w:right="33"/>
                          <w:jc w:val="left"/>
                          <w:rPr>
                            <w:rFonts w:ascii="宋体" w:hAnsi="宋体" w:cs="宋体" w:eastAsia="宋体" w:hint="default"/>
                            <w:sz w:val="18"/>
                            <w:szCs w:val="18"/>
                          </w:rPr>
                        </w:pPr>
                        <w:r>
                          <w:rPr>
                            <w:rFonts w:ascii="Times New Roman" w:hAnsi="Times New Roman" w:cs="Times New Roman" w:eastAsia="Times New Roman" w:hint="default"/>
                            <w:sz w:val="18"/>
                            <w:szCs w:val="18"/>
                          </w:rPr>
                          <w:t>I</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公司民主决策程序存在但不够完善；</w:t>
                        </w:r>
                        <w:r>
                          <w:rPr>
                            <w:rFonts w:ascii="宋体" w:hAnsi="宋体" w:cs="宋体" w:eastAsia="宋体" w:hint="default"/>
                            <w:w w:val="99"/>
                            <w:sz w:val="18"/>
                            <w:szCs w:val="18"/>
                          </w:rPr>
                          <w:t> </w:t>
                        </w:r>
                        <w:r>
                          <w:rPr>
                            <w:rFonts w:ascii="Times New Roman" w:hAnsi="Times New Roman" w:cs="Times New Roman" w:eastAsia="Times New Roman" w:hint="default"/>
                            <w:sz w:val="18"/>
                            <w:szCs w:val="18"/>
                          </w:rPr>
                          <w:t>II</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公司决策程序导致出现一般失误；</w:t>
                        </w:r>
                        <w:r>
                          <w:rPr>
                            <w:rFonts w:ascii="宋体" w:hAnsi="宋体" w:cs="宋体" w:eastAsia="宋体" w:hint="default"/>
                            <w:w w:val="99"/>
                            <w:sz w:val="18"/>
                            <w:szCs w:val="18"/>
                          </w:rPr>
                          <w:t> </w:t>
                        </w:r>
                        <w:r>
                          <w:rPr>
                            <w:rFonts w:ascii="Times New Roman" w:hAnsi="Times New Roman" w:cs="Times New Roman" w:eastAsia="Times New Roman" w:hint="default"/>
                            <w:sz w:val="18"/>
                            <w:szCs w:val="18"/>
                          </w:rPr>
                          <w:t>III</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公司违反企业内部规章，形成损失</w:t>
                        </w:r>
                      </w:p>
                      <w:p>
                        <w:pPr>
                          <w:pStyle w:val="TableParagraph"/>
                          <w:spacing w:line="302" w:lineRule="auto" w:before="19"/>
                          <w:ind w:left="22" w:right="81"/>
                          <w:jc w:val="left"/>
                          <w:rPr>
                            <w:rFonts w:ascii="宋体" w:hAnsi="宋体" w:cs="宋体" w:eastAsia="宋体" w:hint="default"/>
                            <w:sz w:val="18"/>
                            <w:szCs w:val="18"/>
                          </w:rPr>
                        </w:pPr>
                        <w:r>
                          <w:rPr>
                            <w:rFonts w:ascii="Times New Roman" w:hAnsi="Times New Roman" w:cs="Times New Roman" w:eastAsia="Times New Roman" w:hint="default"/>
                            <w:sz w:val="18"/>
                            <w:szCs w:val="18"/>
                          </w:rPr>
                          <w:t>IV</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公司内部控制重要或一般缺陷未得 到整改。</w:t>
                        </w:r>
                      </w:p>
                      <w:p>
                        <w:pPr>
                          <w:pStyle w:val="TableParagraph"/>
                          <w:spacing w:line="240" w:lineRule="auto" w:before="70"/>
                          <w:ind w:left="22" w:right="0"/>
                          <w:jc w:val="left"/>
                          <w:rPr>
                            <w:rFonts w:ascii="宋体" w:hAnsi="宋体" w:cs="宋体" w:eastAsia="宋体" w:hint="default"/>
                            <w:sz w:val="18"/>
                            <w:szCs w:val="18"/>
                          </w:rPr>
                        </w:pPr>
                        <w:r>
                          <w:rPr>
                            <w:rFonts w:ascii="宋体" w:hAnsi="宋体" w:cs="宋体" w:eastAsia="宋体" w:hint="default"/>
                            <w:sz w:val="18"/>
                            <w:szCs w:val="18"/>
                          </w:rPr>
                          <w:t>③  一般缺陷的认定标准</w:t>
                        </w:r>
                      </w:p>
                      <w:p>
                        <w:pPr>
                          <w:pStyle w:val="TableParagraph"/>
                          <w:spacing w:line="240" w:lineRule="auto" w:before="116"/>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I</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公司决策程序效率不高；</w:t>
                        </w:r>
                      </w:p>
                      <w:p>
                        <w:pPr>
                          <w:pStyle w:val="TableParagraph"/>
                          <w:spacing w:line="240" w:lineRule="auto" w:before="10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II</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公司一般岗位业务人员流失严重；</w:t>
                        </w:r>
                      </w:p>
                      <w:p>
                        <w:pPr>
                          <w:pStyle w:val="TableParagraph"/>
                          <w:spacing w:line="319" w:lineRule="auto" w:before="103"/>
                          <w:ind w:left="22" w:right="93"/>
                          <w:jc w:val="left"/>
                          <w:rPr>
                            <w:rFonts w:ascii="宋体" w:hAnsi="宋体" w:cs="宋体" w:eastAsia="宋体" w:hint="default"/>
                            <w:sz w:val="18"/>
                            <w:szCs w:val="18"/>
                          </w:rPr>
                        </w:pPr>
                        <w:r>
                          <w:rPr>
                            <w:rFonts w:ascii="Times New Roman" w:hAnsi="Times New Roman" w:cs="Times New Roman" w:eastAsia="Times New Roman" w:hint="default"/>
                            <w:sz w:val="18"/>
                            <w:szCs w:val="18"/>
                          </w:rPr>
                          <w:t>III</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媒体出现负面新闻，但影响不大；</w:t>
                        </w:r>
                        <w:r>
                          <w:rPr>
                            <w:rFonts w:ascii="宋体" w:hAnsi="宋体" w:cs="宋体" w:eastAsia="宋体" w:hint="default"/>
                            <w:w w:val="99"/>
                            <w:sz w:val="18"/>
                            <w:szCs w:val="18"/>
                          </w:rPr>
                          <w:t> </w:t>
                        </w:r>
                        <w:r>
                          <w:rPr>
                            <w:rFonts w:ascii="Times New Roman" w:hAnsi="Times New Roman" w:cs="Times New Roman" w:eastAsia="Times New Roman" w:hint="default"/>
                            <w:sz w:val="18"/>
                            <w:szCs w:val="18"/>
                          </w:rPr>
                          <w:t>IV</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公司一般业务制度或系统存在缺 陷；</w:t>
                        </w:r>
                      </w:p>
                      <w:p>
                        <w:pPr>
                          <w:pStyle w:val="TableParagraph"/>
                          <w:spacing w:line="240" w:lineRule="auto" w:before="56"/>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V</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公司一般缺陷未得到整改；</w:t>
                        </w:r>
                      </w:p>
                      <w:p>
                        <w:pPr>
                          <w:pStyle w:val="TableParagraph"/>
                          <w:spacing w:line="240" w:lineRule="auto" w:before="103"/>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VI</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公司存在其他缺陷。</w:t>
                        </w:r>
                      </w:p>
                    </w:tc>
                  </w:tr>
                  <w:tr>
                    <w:trPr>
                      <w:trHeight w:val="4770"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6"/>
                            <w:szCs w:val="26"/>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定量标准</w:t>
                        </w:r>
                      </w:p>
                    </w:tc>
                    <w:tc>
                      <w:tcPr>
                        <w:tcW w:w="3324" w:type="dxa"/>
                        <w:tcBorders>
                          <w:top w:val="single" w:sz="4" w:space="0" w:color="000000"/>
                          <w:left w:val="single" w:sz="4" w:space="0" w:color="000000"/>
                          <w:bottom w:val="single" w:sz="4" w:space="0" w:color="000000"/>
                          <w:right w:val="single" w:sz="9" w:space="0" w:color="FFFFFF"/>
                        </w:tcBorders>
                      </w:tcPr>
                      <w:p>
                        <w:pPr>
                          <w:pStyle w:val="TableParagraph"/>
                          <w:spacing w:line="312" w:lineRule="auto" w:before="51"/>
                          <w:ind w:left="23" w:right="-39"/>
                          <w:jc w:val="left"/>
                          <w:rPr>
                            <w:rFonts w:ascii="宋体" w:hAnsi="宋体" w:cs="宋体" w:eastAsia="宋体" w:hint="default"/>
                            <w:sz w:val="18"/>
                            <w:szCs w:val="18"/>
                          </w:rPr>
                        </w:pPr>
                        <w:r>
                          <w:rPr>
                            <w:rFonts w:ascii="宋体" w:hAnsi="宋体" w:cs="宋体" w:eastAsia="宋体" w:hint="default"/>
                            <w:sz w:val="18"/>
                            <w:szCs w:val="18"/>
                          </w:rPr>
                          <w:t>定量标准以营业收入、资产总额作为衡量 指标。内部控制缺陷可能导致或导致的损 </w:t>
                        </w:r>
                        <w:r>
                          <w:rPr>
                            <w:rFonts w:ascii="宋体" w:hAnsi="宋体" w:cs="宋体" w:eastAsia="宋体" w:hint="default"/>
                            <w:spacing w:val="-5"/>
                            <w:sz w:val="18"/>
                            <w:szCs w:val="18"/>
                          </w:rPr>
                          <w:t>失与利润表相关的，以营业收</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如果该缺陷单独或连同其他缺陷可能导致 的财务报告错报金额小于营业收入的</w:t>
                        </w:r>
                        <w:r>
                          <w:rPr>
                            <w:rFonts w:ascii="宋体" w:hAnsi="宋体" w:cs="宋体" w:eastAsia="宋体" w:hint="default"/>
                            <w:spacing w:val="-45"/>
                            <w:sz w:val="18"/>
                            <w:szCs w:val="18"/>
                          </w:rPr>
                          <w:t> </w:t>
                        </w:r>
                        <w:r>
                          <w:rPr>
                            <w:rFonts w:ascii="Times New Roman" w:hAnsi="Times New Roman" w:cs="Times New Roman" w:eastAsia="Times New Roman" w:hint="default"/>
                            <w:spacing w:val="-8"/>
                            <w:sz w:val="18"/>
                            <w:szCs w:val="18"/>
                          </w:rPr>
                          <w:t>1%</w:t>
                        </w:r>
                        <w:r>
                          <w:rPr>
                            <w:rFonts w:ascii="宋体" w:hAnsi="宋体" w:cs="宋体" w:eastAsia="宋体" w:hint="default"/>
                            <w:spacing w:val="-8"/>
                            <w:sz w:val="18"/>
                            <w:szCs w:val="18"/>
                          </w:rPr>
                          <w:t>，</w:t>
                        </w:r>
                        <w:r>
                          <w:rPr>
                            <w:rFonts w:ascii="宋体" w:hAnsi="宋体" w:cs="宋体" w:eastAsia="宋体" w:hint="default"/>
                            <w:spacing w:val="-22"/>
                            <w:sz w:val="18"/>
                            <w:szCs w:val="18"/>
                          </w:rPr>
                          <w:t> </w:t>
                        </w:r>
                        <w:r>
                          <w:rPr>
                            <w:rFonts w:ascii="宋体" w:hAnsi="宋体" w:cs="宋体" w:eastAsia="宋体" w:hint="default"/>
                            <w:sz w:val="18"/>
                            <w:szCs w:val="18"/>
                          </w:rPr>
                          <w:t>则认定为一般缺陷；如果超过营业收入的</w:t>
                        </w:r>
                        <w:r>
                          <w:rPr>
                            <w:rFonts w:ascii="宋体" w:hAnsi="宋体" w:cs="宋体" w:eastAsia="宋体" w:hint="default"/>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但小于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则为重要缺陷；如果超过营 业收入的</w:t>
                        </w:r>
                        <w:r>
                          <w:rPr>
                            <w:rFonts w:ascii="宋体" w:hAnsi="宋体" w:cs="宋体" w:eastAsia="宋体" w:hint="default"/>
                            <w:spacing w:val="-42"/>
                            <w:sz w:val="18"/>
                            <w:szCs w:val="18"/>
                          </w:rPr>
                          <w:t> </w:t>
                        </w:r>
                        <w:r>
                          <w:rPr>
                            <w:rFonts w:ascii="Times New Roman" w:hAnsi="Times New Roman" w:cs="Times New Roman" w:eastAsia="Times New Roman" w:hint="default"/>
                            <w:spacing w:val="-6"/>
                            <w:sz w:val="18"/>
                            <w:szCs w:val="18"/>
                          </w:rPr>
                          <w:t>2%</w:t>
                        </w:r>
                        <w:r>
                          <w:rPr>
                            <w:rFonts w:ascii="宋体" w:hAnsi="宋体" w:cs="宋体" w:eastAsia="宋体" w:hint="default"/>
                            <w:spacing w:val="-6"/>
                            <w:sz w:val="18"/>
                            <w:szCs w:val="18"/>
                          </w:rPr>
                          <w:t>，则认定为重大缺陷。内部控</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制缺陷可能导致或导致的损失与资产管理 相关的，以资产总额指标衡量。如果该缺 陷单独或连同其他缺陷可能导致的财务报 告错报金额小于资产总额的</w:t>
                        </w:r>
                        <w:r>
                          <w:rPr>
                            <w:rFonts w:ascii="宋体" w:hAnsi="宋体" w:cs="宋体" w:eastAsia="宋体" w:hint="default"/>
                            <w:spacing w:val="-44"/>
                            <w:sz w:val="18"/>
                            <w:szCs w:val="18"/>
                          </w:rPr>
                          <w:t> </w:t>
                        </w:r>
                        <w:r>
                          <w:rPr>
                            <w:rFonts w:ascii="Times New Roman" w:hAnsi="Times New Roman" w:cs="Times New Roman" w:eastAsia="Times New Roman" w:hint="default"/>
                            <w:spacing w:val="-12"/>
                            <w:sz w:val="18"/>
                            <w:szCs w:val="18"/>
                          </w:rPr>
                          <w:t>1%</w:t>
                        </w:r>
                        <w:r>
                          <w:rPr>
                            <w:rFonts w:ascii="宋体" w:hAnsi="宋体" w:cs="宋体" w:eastAsia="宋体" w:hint="default"/>
                            <w:spacing w:val="-12"/>
                            <w:sz w:val="18"/>
                            <w:szCs w:val="18"/>
                          </w:rPr>
                          <w:t>，则认定为</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6"/>
                            <w:sz w:val="18"/>
                            <w:szCs w:val="18"/>
                          </w:rPr>
                          <w:t>一般缺陷；如果超过资产总额的</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但小于</w:t>
                        </w:r>
                        <w:r>
                          <w:rPr>
                            <w:rFonts w:ascii="宋体" w:hAnsi="宋体" w:cs="宋体" w:eastAsia="宋体" w:hint="default"/>
                            <w:spacing w:val="-87"/>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认定为重要缺陷；如果超过资产总额</w:t>
                        </w:r>
                      </w:p>
                      <w:p>
                        <w:pPr>
                          <w:pStyle w:val="TableParagraph"/>
                          <w:spacing w:line="240" w:lineRule="auto" w:before="4"/>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，则认定为重大缺陷</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3051" w:type="dxa"/>
                        <w:tcBorders>
                          <w:top w:val="single" w:sz="4" w:space="0" w:color="000000"/>
                          <w:left w:val="single" w:sz="9" w:space="0" w:color="FFFFFF"/>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312" w:lineRule="auto"/>
                          <w:ind w:left="16" w:right="21"/>
                          <w:jc w:val="left"/>
                          <w:rPr>
                            <w:rFonts w:ascii="宋体" w:hAnsi="宋体" w:cs="宋体" w:eastAsia="宋体" w:hint="default"/>
                            <w:sz w:val="18"/>
                            <w:szCs w:val="18"/>
                          </w:rPr>
                        </w:pPr>
                        <w:r>
                          <w:rPr>
                            <w:rFonts w:ascii="宋体" w:hAnsi="宋体" w:cs="宋体" w:eastAsia="宋体" w:hint="default"/>
                            <w:sz w:val="18"/>
                            <w:szCs w:val="18"/>
                          </w:rPr>
                          <w:t>定量标准以直接财产损失金额作为衡 </w:t>
                        </w:r>
                        <w:r>
                          <w:rPr>
                            <w:rFonts w:ascii="宋体" w:hAnsi="宋体" w:cs="宋体" w:eastAsia="宋体" w:hint="default"/>
                            <w:spacing w:val="-4"/>
                            <w:sz w:val="18"/>
                            <w:szCs w:val="18"/>
                          </w:rPr>
                          <w:t>量指标。内部控制缺陷可能导致或导致</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4"/>
                            <w:sz w:val="18"/>
                            <w:szCs w:val="18"/>
                          </w:rPr>
                          <w:t>的损失与利润表相关的，以直接财产损</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4"/>
                            <w:sz w:val="18"/>
                            <w:szCs w:val="18"/>
                          </w:rPr>
                          <w:t>失金额指标衡量。如果该缺陷单独或连</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同其他缺陷可能导致的财务报告错报 金额小于资产总额的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，则认定为一 般缺陷；如果超过资产总额的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但小 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则为重要缺陷；如果超过资产总 额的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，则认定为重大缺陷。</w:t>
                        </w: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23"/>
                            <w:szCs w:val="23"/>
                          </w:rPr>
                        </w:pP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财务报告重大缺陷数量（个）</w:t>
                        </w:r>
                      </w:p>
                    </w:tc>
                    <w:tc>
                      <w:tcPr>
                        <w:tcW w:w="637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非财务报告重大缺陷数量（个）</w:t>
                        </w:r>
                      </w:p>
                    </w:tc>
                    <w:tc>
                      <w:tcPr>
                        <w:tcW w:w="637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财务报告重要缺陷数量（个）</w:t>
                        </w:r>
                      </w:p>
                    </w:tc>
                    <w:tc>
                      <w:tcPr>
                        <w:tcW w:w="637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非财务报告重要缺陷数量（个）</w:t>
                        </w:r>
                      </w:p>
                    </w:tc>
                    <w:tc>
                      <w:tcPr>
                        <w:tcW w:w="637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r>
                </w:tbl>
                <w:p>
                  <w:pPr/>
                </w:p>
              </w:txbxContent>
            </v:textbox>
            <w10:wrap type="none"/>
          </v:shape>
        </w:pict>
      </w:r>
      <w:r>
        <w:rPr>
          <w:rFonts w:ascii="宋体" w:hAnsi="宋体" w:cs="宋体" w:eastAsia="宋体" w:hint="default"/>
          <w:sz w:val="18"/>
          <w:szCs w:val="18"/>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1"/>
          <w:szCs w:val="11"/>
        </w:rPr>
      </w:pPr>
    </w:p>
    <w:p>
      <w:pPr>
        <w:spacing w:line="936" w:lineRule="exact"/>
        <w:ind w:left="6676" w:right="0" w:firstLine="0"/>
        <w:rPr>
          <w:rFonts w:ascii="宋体" w:hAnsi="宋体" w:cs="宋体" w:eastAsia="宋体" w:hint="default"/>
          <w:sz w:val="20"/>
          <w:szCs w:val="20"/>
        </w:rPr>
      </w:pPr>
      <w:r>
        <w:rPr>
          <w:rFonts w:ascii="宋体" w:hAnsi="宋体" w:cs="宋体" w:eastAsia="宋体" w:hint="default"/>
          <w:position w:val="-18"/>
          <w:sz w:val="20"/>
          <w:szCs w:val="20"/>
        </w:rPr>
        <w:pict>
          <v:group style="width:152.1pt;height:46.85pt;mso-position-horizontal-relative:char;mso-position-vertical-relative:line" coordorigin="0,0" coordsize="3042,937">
            <v:group style="position:absolute;left:0;top:0;width:3042;height:937" coordorigin="0,0" coordsize="3042,937">
              <v:shape style="position:absolute;left:0;top:0;width:3042;height:937" coordorigin="0,0" coordsize="3042,937" path="m0,936l3041,936,3041,0,0,0,0,936xe" filled="true" fillcolor="#ffffff" stroked="false">
                <v:path arrowok="t"/>
                <v:fill type="solid"/>
              </v:shape>
            </v:group>
          </v:group>
        </w:pict>
      </w:r>
      <w:r>
        <w:rPr>
          <w:rFonts w:ascii="宋体" w:hAnsi="宋体" w:cs="宋体" w:eastAsia="宋体" w:hint="default"/>
          <w:position w:val="-18"/>
          <w:sz w:val="20"/>
          <w:szCs w:val="20"/>
        </w:rPr>
      </w:r>
    </w:p>
    <w:p>
      <w:pPr>
        <w:spacing w:line="240" w:lineRule="auto" w:before="13"/>
        <w:rPr>
          <w:rFonts w:ascii="宋体" w:hAnsi="宋体" w:cs="宋体" w:eastAsia="宋体" w:hint="default"/>
          <w:sz w:val="26"/>
          <w:szCs w:val="26"/>
        </w:rPr>
      </w:pPr>
    </w:p>
    <w:p>
      <w:pPr>
        <w:spacing w:line="312" w:lineRule="exact"/>
        <w:ind w:left="6699" w:right="0" w:firstLine="0"/>
        <w:rPr>
          <w:rFonts w:ascii="宋体" w:hAnsi="宋体" w:cs="宋体" w:eastAsia="宋体" w:hint="default"/>
          <w:sz w:val="20"/>
          <w:szCs w:val="20"/>
        </w:rPr>
      </w:pPr>
      <w:r>
        <w:rPr>
          <w:rFonts w:ascii="宋体" w:hAnsi="宋体" w:cs="宋体" w:eastAsia="宋体" w:hint="default"/>
          <w:position w:val="-5"/>
          <w:sz w:val="20"/>
          <w:szCs w:val="20"/>
        </w:rPr>
        <w:pict>
          <v:group style="width:149.8pt;height:15.6pt;mso-position-horizontal-relative:char;mso-position-vertical-relative:line" coordorigin="0,0" coordsize="2996,312">
            <v:group style="position:absolute;left:0;top:0;width:2996;height:312" coordorigin="0,0" coordsize="2996,312">
              <v:shape style="position:absolute;left:0;top:0;width:2996;height:312" coordorigin="0,0" coordsize="2996,312" path="m0,312l2996,312,2996,0,0,0,0,312xe" filled="true" fillcolor="#ffffff" stroked="false">
                <v:path arrowok="t"/>
                <v:fill type="solid"/>
              </v:shape>
            </v:group>
          </v:group>
        </w:pict>
      </w:r>
      <w:r>
        <w:rPr>
          <w:rFonts w:ascii="宋体" w:hAnsi="宋体" w:cs="宋体" w:eastAsia="宋体" w:hint="default"/>
          <w:position w:val="-5"/>
          <w:sz w:val="20"/>
          <w:szCs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3"/>
          <w:szCs w:val="23"/>
        </w:rPr>
      </w:pPr>
    </w:p>
    <w:p>
      <w:pPr>
        <w:pStyle w:val="Heading2"/>
        <w:spacing w:line="240" w:lineRule="auto" w:before="26"/>
        <w:ind w:right="1117"/>
        <w:jc w:val="left"/>
        <w:rPr>
          <w:b w:val="0"/>
          <w:bCs w:val="0"/>
        </w:rPr>
      </w:pPr>
      <w:bookmarkStart w:name="十、内部控制审计报告或鉴证报告" w:id="152"/>
      <w:bookmarkEnd w:id="152"/>
      <w:r>
        <w:rPr>
          <w:b w:val="0"/>
          <w:bCs w:val="0"/>
        </w:rPr>
      </w:r>
      <w:r>
        <w:rPr/>
        <w:t>十、内部控制审计报告或鉴证报告</w:t>
      </w:r>
      <w:r>
        <w:rPr>
          <w:b w:val="0"/>
          <w:bCs w:val="0"/>
        </w:rPr>
      </w:r>
    </w:p>
    <w:p>
      <w:pPr>
        <w:spacing w:line="240" w:lineRule="auto" w:before="7"/>
        <w:rPr>
          <w:rFonts w:ascii="宋体" w:hAnsi="宋体" w:cs="宋体" w:eastAsia="宋体" w:hint="default"/>
          <w:b/>
          <w:bCs/>
          <w:sz w:val="26"/>
          <w:szCs w:val="26"/>
        </w:rPr>
      </w:pPr>
    </w:p>
    <w:p>
      <w:pPr>
        <w:spacing w:before="0"/>
        <w:ind w:left="154" w:right="1117" w:firstLine="0"/>
        <w:jc w:val="left"/>
        <w:rPr>
          <w:rFonts w:ascii="宋体" w:hAnsi="宋体" w:cs="宋体" w:eastAsia="宋体" w:hint="default"/>
          <w:sz w:val="18"/>
          <w:szCs w:val="18"/>
        </w:rPr>
      </w:pPr>
      <w:r>
        <w:rPr>
          <w:rFonts w:ascii="宋体" w:hAnsi="宋体" w:cs="宋体" w:eastAsia="宋体" w:hint="default"/>
          <w:sz w:val="18"/>
          <w:szCs w:val="18"/>
        </w:rPr>
        <w:t>内部控制鉴证报告</w:t>
      </w:r>
    </w:p>
    <w:p>
      <w:pPr>
        <w:spacing w:after="0"/>
        <w:jc w:val="left"/>
        <w:rPr>
          <w:rFonts w:ascii="宋体" w:hAnsi="宋体" w:cs="宋体" w:eastAsia="宋体" w:hint="default"/>
          <w:sz w:val="18"/>
          <w:szCs w:val="18"/>
        </w:rPr>
        <w:sectPr>
          <w:pgSz w:w="11910" w:h="16840"/>
          <w:pgMar w:header="87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2662"/>
        <w:gridCol w:w="6907"/>
      </w:tblGrid>
      <w:tr>
        <w:trPr>
          <w:trHeight w:val="402" w:hRule="exact"/>
        </w:trPr>
        <w:tc>
          <w:tcPr>
            <w:tcW w:w="956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内部控制鉴证报告中的审议意见段</w:t>
            </w:r>
          </w:p>
        </w:tc>
      </w:tr>
      <w:tr>
        <w:trPr>
          <w:trHeight w:val="714" w:hRule="exact"/>
        </w:trPr>
        <w:tc>
          <w:tcPr>
            <w:tcW w:w="9569" w:type="dxa"/>
            <w:gridSpan w:val="2"/>
            <w:tcBorders>
              <w:top w:val="single" w:sz="4" w:space="0" w:color="000000"/>
              <w:left w:val="single" w:sz="4" w:space="0" w:color="000000"/>
              <w:bottom w:val="single" w:sz="4" w:space="0" w:color="000000"/>
              <w:right w:val="single" w:sz="4" w:space="0" w:color="000000"/>
            </w:tcBorders>
          </w:tcPr>
          <w:p>
            <w:pPr>
              <w:pStyle w:val="TableParagraph"/>
              <w:spacing w:line="302" w:lineRule="auto" w:before="51"/>
              <w:ind w:left="22" w:right="84"/>
              <w:jc w:val="left"/>
              <w:rPr>
                <w:rFonts w:ascii="宋体" w:hAnsi="宋体" w:cs="宋体" w:eastAsia="宋体" w:hint="default"/>
                <w:sz w:val="18"/>
                <w:szCs w:val="18"/>
              </w:rPr>
            </w:pPr>
            <w:r>
              <w:rPr>
                <w:rFonts w:ascii="宋体" w:hAnsi="宋体" w:cs="宋体" w:eastAsia="宋体" w:hint="default"/>
                <w:sz w:val="18"/>
                <w:szCs w:val="18"/>
              </w:rPr>
              <w:t>我们认为，贵公司按照财政部等五部委颁发的《企业内部控制基本规范》及相关规定于</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日在所有重大方 面保持了与财务报表相关的有效的内部控制。本结论是在受到鉴证报告中指出的固有限制的条件下形成的。</w:t>
            </w:r>
          </w:p>
        </w:tc>
      </w:tr>
      <w:tr>
        <w:trPr>
          <w:trHeight w:val="402" w:hRule="exact"/>
        </w:trPr>
        <w:tc>
          <w:tcPr>
            <w:tcW w:w="2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内控鉴证报告披露情况</w:t>
            </w:r>
          </w:p>
        </w:tc>
        <w:tc>
          <w:tcPr>
            <w:tcW w:w="69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披露</w:t>
            </w:r>
          </w:p>
        </w:tc>
      </w:tr>
      <w:tr>
        <w:trPr>
          <w:trHeight w:val="402" w:hRule="exact"/>
        </w:trPr>
        <w:tc>
          <w:tcPr>
            <w:tcW w:w="2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内部控制鉴证报告全文披露日期</w:t>
            </w:r>
          </w:p>
        </w:tc>
        <w:tc>
          <w:tcPr>
            <w:tcW w:w="69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402" w:hRule="exact"/>
        </w:trPr>
        <w:tc>
          <w:tcPr>
            <w:tcW w:w="2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内部控制鉴证报告全文披露索引</w:t>
            </w:r>
          </w:p>
        </w:tc>
        <w:tc>
          <w:tcPr>
            <w:tcW w:w="69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巨潮资讯网《新开普电子股份有限公司内部控制鉴证报告》</w:t>
            </w:r>
          </w:p>
        </w:tc>
      </w:tr>
      <w:tr>
        <w:trPr>
          <w:trHeight w:val="402" w:hRule="exact"/>
        </w:trPr>
        <w:tc>
          <w:tcPr>
            <w:tcW w:w="2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内控鉴证报告意见类型</w:t>
            </w:r>
          </w:p>
        </w:tc>
        <w:tc>
          <w:tcPr>
            <w:tcW w:w="69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标准无保留意见</w:t>
            </w:r>
          </w:p>
        </w:tc>
      </w:tr>
      <w:tr>
        <w:trPr>
          <w:trHeight w:val="402" w:hRule="exact"/>
        </w:trPr>
        <w:tc>
          <w:tcPr>
            <w:tcW w:w="2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非财务报告是否存在重大缺陷</w:t>
            </w:r>
          </w:p>
        </w:tc>
        <w:tc>
          <w:tcPr>
            <w:tcW w:w="69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spacing w:before="51"/>
        <w:ind w:left="154" w:right="1117" w:firstLine="0"/>
        <w:jc w:val="left"/>
        <w:rPr>
          <w:rFonts w:ascii="宋体" w:hAnsi="宋体" w:cs="宋体" w:eastAsia="宋体" w:hint="default"/>
          <w:sz w:val="18"/>
          <w:szCs w:val="18"/>
        </w:rPr>
      </w:pPr>
      <w:r>
        <w:rPr>
          <w:rFonts w:ascii="宋体" w:hAnsi="宋体" w:cs="宋体" w:eastAsia="宋体" w:hint="default"/>
          <w:sz w:val="18"/>
          <w:szCs w:val="18"/>
        </w:rPr>
        <w:t>会计师事务所是否出具非标准意见的内部控制鉴证报告</w:t>
      </w:r>
    </w:p>
    <w:p>
      <w:pPr>
        <w:spacing w:line="338" w:lineRule="auto" w:before="117"/>
        <w:ind w:left="154" w:right="463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是</w:t>
      </w:r>
      <w:r>
        <w:rPr>
          <w:rFonts w:ascii="Times New Roman" w:hAnsi="Times New Roman" w:cs="Times New Roman" w:eastAsia="Times New Roman" w:hint="default"/>
          <w:sz w:val="18"/>
          <w:szCs w:val="18"/>
        </w:rPr>
        <w:t>√</w:t>
      </w:r>
      <w:r>
        <w:rPr>
          <w:rFonts w:ascii="宋体" w:hAnsi="宋体" w:cs="宋体" w:eastAsia="宋体" w:hint="default"/>
          <w:sz w:val="18"/>
          <w:szCs w:val="18"/>
        </w:rPr>
        <w:t>否 会计师事务所出具的内部控制鉴证报告与董事会的自我评价报告意见是否一致</w:t>
      </w:r>
    </w:p>
    <w:p>
      <w:pPr>
        <w:spacing w:before="43"/>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是</w:t>
      </w:r>
      <w:r>
        <w:rPr>
          <w:rFonts w:ascii="Times New Roman" w:hAnsi="Times New Roman" w:cs="Times New Roman" w:eastAsia="Times New Roman" w:hint="default"/>
          <w:sz w:val="18"/>
          <w:szCs w:val="18"/>
        </w:rPr>
        <w:t>□</w:t>
      </w:r>
      <w:r>
        <w:rPr>
          <w:rFonts w:ascii="宋体" w:hAnsi="宋体" w:cs="宋体" w:eastAsia="宋体" w:hint="default"/>
          <w:sz w:val="18"/>
          <w:szCs w:val="18"/>
        </w:rPr>
        <w:t>否</w:t>
      </w:r>
    </w:p>
    <w:p>
      <w:pPr>
        <w:spacing w:after="0"/>
        <w:jc w:val="left"/>
        <w:rPr>
          <w:rFonts w:ascii="宋体" w:hAnsi="宋体" w:cs="宋体" w:eastAsia="宋体" w:hint="default"/>
          <w:sz w:val="18"/>
          <w:szCs w:val="18"/>
        </w:rPr>
        <w:sectPr>
          <w:pgSz w:w="11910" w:h="16840"/>
          <w:pgMar w:header="877" w:footer="979" w:top="106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0"/>
          <w:szCs w:val="20"/>
        </w:rPr>
      </w:pPr>
    </w:p>
    <w:p>
      <w:pPr>
        <w:pStyle w:val="Heading1"/>
        <w:spacing w:line="240" w:lineRule="auto"/>
        <w:ind w:left="3207" w:right="1117"/>
        <w:jc w:val="left"/>
        <w:rPr>
          <w:b w:val="0"/>
          <w:bCs w:val="0"/>
        </w:rPr>
      </w:pPr>
      <w:bookmarkStart w:name="第十节公司债券相关情况" w:id="153"/>
      <w:bookmarkEnd w:id="153"/>
      <w:r>
        <w:rPr>
          <w:b w:val="0"/>
          <w:bCs w:val="0"/>
        </w:rPr>
      </w:r>
      <w:bookmarkStart w:name="_bookmark8" w:id="154"/>
      <w:bookmarkEnd w:id="154"/>
      <w:r>
        <w:rPr>
          <w:b w:val="0"/>
          <w:bCs w:val="0"/>
        </w:rPr>
      </w:r>
      <w:r>
        <w:rPr/>
        <w:t>第十节公司债券相关情况</w:t>
      </w:r>
      <w:r>
        <w:rPr>
          <w:b w:val="0"/>
          <w:bCs w:val="0"/>
        </w:rPr>
      </w:r>
    </w:p>
    <w:p>
      <w:pPr>
        <w:spacing w:line="240" w:lineRule="auto" w:before="8"/>
        <w:rPr>
          <w:rFonts w:ascii="宋体" w:hAnsi="宋体" w:cs="宋体" w:eastAsia="宋体" w:hint="default"/>
          <w:b/>
          <w:bCs/>
          <w:sz w:val="42"/>
          <w:szCs w:val="42"/>
        </w:rPr>
      </w:pPr>
    </w:p>
    <w:p>
      <w:pPr>
        <w:spacing w:line="357" w:lineRule="auto" w:before="0"/>
        <w:ind w:left="154" w:right="2112" w:firstLine="0"/>
        <w:jc w:val="left"/>
        <w:rPr>
          <w:rFonts w:ascii="宋体" w:hAnsi="宋体" w:cs="宋体" w:eastAsia="宋体" w:hint="default"/>
          <w:sz w:val="18"/>
          <w:szCs w:val="18"/>
        </w:rPr>
      </w:pPr>
      <w:r>
        <w:rPr>
          <w:rFonts w:ascii="宋体" w:hAnsi="宋体" w:cs="宋体" w:eastAsia="宋体" w:hint="default"/>
          <w:sz w:val="18"/>
          <w:szCs w:val="18"/>
        </w:rPr>
        <w:t>公司是否存在公开发行并在证券交易所上市，且在年度报告批准报出日未到期或到期未能全额兑付的公司债券 否</w:t>
      </w:r>
    </w:p>
    <w:p>
      <w:pPr>
        <w:spacing w:after="0" w:line="357" w:lineRule="auto"/>
        <w:jc w:val="left"/>
        <w:rPr>
          <w:rFonts w:ascii="宋体" w:hAnsi="宋体" w:cs="宋体" w:eastAsia="宋体" w:hint="default"/>
          <w:sz w:val="18"/>
          <w:szCs w:val="18"/>
        </w:rPr>
        <w:sectPr>
          <w:pgSz w:w="11910" w:h="16840"/>
          <w:pgMar w:header="877" w:footer="979" w:top="106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0"/>
          <w:szCs w:val="20"/>
        </w:rPr>
      </w:pPr>
    </w:p>
    <w:p>
      <w:pPr>
        <w:pStyle w:val="Heading1"/>
        <w:spacing w:line="240" w:lineRule="auto"/>
        <w:ind w:right="979"/>
        <w:jc w:val="center"/>
        <w:rPr>
          <w:b w:val="0"/>
          <w:bCs w:val="0"/>
        </w:rPr>
      </w:pPr>
      <w:bookmarkStart w:name="第十一节财务报告" w:id="155"/>
      <w:bookmarkEnd w:id="155"/>
      <w:r>
        <w:rPr>
          <w:b w:val="0"/>
          <w:bCs w:val="0"/>
        </w:rPr>
      </w:r>
      <w:bookmarkStart w:name="_bookmark9" w:id="156"/>
      <w:bookmarkEnd w:id="156"/>
      <w:r>
        <w:rPr>
          <w:b w:val="0"/>
          <w:bCs w:val="0"/>
        </w:rPr>
      </w:r>
      <w:r>
        <w:rPr/>
        <w:t>第十一节财务报告</w:t>
      </w:r>
      <w:r>
        <w:rPr>
          <w:b w:val="0"/>
          <w:bCs w:val="0"/>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6"/>
          <w:szCs w:val="16"/>
        </w:rPr>
      </w:pPr>
    </w:p>
    <w:p>
      <w:pPr>
        <w:pStyle w:val="Heading2"/>
        <w:spacing w:line="240" w:lineRule="auto" w:before="26"/>
        <w:ind w:right="1117"/>
        <w:jc w:val="left"/>
        <w:rPr>
          <w:b w:val="0"/>
          <w:bCs w:val="0"/>
        </w:rPr>
      </w:pPr>
      <w:bookmarkStart w:name="一、审计报告" w:id="157"/>
      <w:bookmarkEnd w:id="157"/>
      <w:r>
        <w:rPr>
          <w:b w:val="0"/>
          <w:bCs w:val="0"/>
        </w:rPr>
      </w:r>
      <w:r>
        <w:rPr/>
        <w:t>一、审计报告</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4784"/>
        <w:gridCol w:w="4785"/>
      </w:tblGrid>
      <w:tr>
        <w:trPr>
          <w:trHeight w:val="403"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审计意见类型</w:t>
            </w:r>
          </w:p>
        </w:tc>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标准的无保留意见</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审计报告签署日期</w:t>
            </w:r>
          </w:p>
        </w:tc>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审计机构名称</w:t>
            </w:r>
          </w:p>
        </w:tc>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立信会计师事务所（特殊普通合伙）</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审计报告文号</w:t>
            </w:r>
          </w:p>
        </w:tc>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信会师报字</w:t>
            </w:r>
            <w:r>
              <w:rPr>
                <w:rFonts w:ascii="Times New Roman" w:hAnsi="Times New Roman" w:cs="Times New Roman" w:eastAsia="Times New Roman" w:hint="default"/>
                <w:sz w:val="18"/>
                <w:szCs w:val="18"/>
              </w:rPr>
              <w:t>[2019]</w:t>
            </w:r>
            <w:r>
              <w:rPr>
                <w:rFonts w:ascii="宋体" w:hAnsi="宋体" w:cs="宋体" w:eastAsia="宋体" w:hint="default"/>
                <w:sz w:val="18"/>
                <w:szCs w:val="18"/>
              </w:rPr>
              <w:t>第</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ZG10866 </w:t>
            </w:r>
            <w:r>
              <w:rPr>
                <w:rFonts w:ascii="宋体" w:hAnsi="宋体" w:cs="宋体" w:eastAsia="宋体" w:hint="default"/>
                <w:sz w:val="18"/>
                <w:szCs w:val="18"/>
              </w:rPr>
              <w:t>号</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注册会计师姓名</w:t>
            </w:r>
          </w:p>
        </w:tc>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王娜、王幈</w:t>
            </w:r>
          </w:p>
        </w:tc>
      </w:tr>
    </w:tbl>
    <w:p>
      <w:pPr>
        <w:spacing w:after="0" w:line="240" w:lineRule="auto"/>
        <w:jc w:val="left"/>
        <w:rPr>
          <w:rFonts w:ascii="宋体" w:hAnsi="宋体" w:cs="宋体" w:eastAsia="宋体" w:hint="default"/>
          <w:sz w:val="18"/>
          <w:szCs w:val="18"/>
        </w:rPr>
        <w:sectPr>
          <w:pgSz w:w="11910" w:h="16840"/>
          <w:pgMar w:header="877" w:footer="979" w:top="1060" w:bottom="1160" w:left="980" w:right="0"/>
        </w:sectPr>
      </w:pPr>
    </w:p>
    <w:p>
      <w:pPr>
        <w:spacing w:line="240" w:lineRule="auto" w:before="0"/>
        <w:rPr>
          <w:rFonts w:ascii="宋体" w:hAnsi="宋体" w:cs="宋体" w:eastAsia="宋体" w:hint="default"/>
          <w:b/>
          <w:bCs/>
          <w:sz w:val="24"/>
          <w:szCs w:val="24"/>
        </w:rPr>
      </w:pPr>
    </w:p>
    <w:p>
      <w:pPr>
        <w:spacing w:line="240" w:lineRule="auto" w:before="10"/>
        <w:rPr>
          <w:rFonts w:ascii="宋体" w:hAnsi="宋体" w:cs="宋体" w:eastAsia="宋体" w:hint="default"/>
          <w:b/>
          <w:bCs/>
          <w:sz w:val="32"/>
          <w:szCs w:val="32"/>
        </w:rPr>
      </w:pPr>
    </w:p>
    <w:p>
      <w:pPr>
        <w:pStyle w:val="Heading2"/>
        <w:spacing w:line="357" w:lineRule="auto"/>
        <w:ind w:left="636" w:right="0" w:hanging="483"/>
        <w:jc w:val="left"/>
        <w:rPr>
          <w:b w:val="0"/>
          <w:bCs w:val="0"/>
        </w:rPr>
      </w:pPr>
      <w:r>
        <w:rPr>
          <w:w w:val="95"/>
        </w:rPr>
        <w:t>新开普电子股份有限公司全体股东：</w:t>
      </w:r>
      <w:r>
        <w:rPr>
          <w:spacing w:val="62"/>
          <w:w w:val="95"/>
        </w:rPr>
        <w:t> </w:t>
      </w:r>
      <w:r>
        <w:rPr/>
        <w:t>一、审计意见</w:t>
      </w:r>
      <w:r>
        <w:rPr>
          <w:b w:val="0"/>
          <w:bCs w:val="0"/>
        </w:rPr>
      </w:r>
    </w:p>
    <w:p>
      <w:pPr>
        <w:spacing w:before="51"/>
        <w:ind w:left="153" w:right="-19" w:firstLine="0"/>
        <w:jc w:val="left"/>
        <w:rPr>
          <w:rFonts w:ascii="宋体" w:hAnsi="宋体" w:cs="宋体" w:eastAsia="宋体" w:hint="default"/>
          <w:sz w:val="18"/>
          <w:szCs w:val="18"/>
        </w:rPr>
      </w:pPr>
      <w:r>
        <w:rPr/>
        <w:br w:type="column"/>
      </w:r>
      <w:r>
        <w:rPr>
          <w:rFonts w:ascii="宋体" w:hAnsi="宋体" w:cs="宋体" w:eastAsia="宋体" w:hint="default"/>
          <w:sz w:val="18"/>
          <w:szCs w:val="18"/>
        </w:rPr>
        <w:t>审计报告正文</w:t>
      </w:r>
    </w:p>
    <w:p>
      <w:pPr>
        <w:spacing w:line="240" w:lineRule="auto" w:before="10"/>
        <w:rPr>
          <w:rFonts w:ascii="宋体" w:hAnsi="宋体" w:cs="宋体" w:eastAsia="宋体" w:hint="default"/>
          <w:sz w:val="28"/>
          <w:szCs w:val="28"/>
        </w:rPr>
      </w:pPr>
      <w:r>
        <w:rPr/>
        <w:br w:type="column"/>
      </w:r>
      <w:r>
        <w:rPr>
          <w:rFonts w:ascii="宋体"/>
          <w:sz w:val="28"/>
        </w:rPr>
      </w:r>
    </w:p>
    <w:p>
      <w:pPr>
        <w:pStyle w:val="BodyText"/>
        <w:spacing w:line="240" w:lineRule="auto" w:before="0"/>
        <w:ind w:left="153" w:right="0"/>
        <w:jc w:val="left"/>
      </w:pPr>
      <w:r>
        <w:rPr/>
        <w:t>信会师报字</w:t>
      </w:r>
      <w:r>
        <w:rPr>
          <w:rFonts w:ascii="Times New Roman" w:hAnsi="Times New Roman" w:cs="Times New Roman" w:eastAsia="Times New Roman" w:hint="default"/>
        </w:rPr>
        <w:t>[2019]</w:t>
      </w:r>
      <w:r>
        <w:rPr/>
        <w:t>第</w:t>
      </w:r>
      <w:r>
        <w:rPr>
          <w:rFonts w:ascii="Times New Roman" w:hAnsi="Times New Roman" w:cs="Times New Roman" w:eastAsia="Times New Roman" w:hint="default"/>
        </w:rPr>
        <w:t>ZG10866</w:t>
      </w:r>
      <w:r>
        <w:rPr/>
        <w:t>号</w:t>
      </w:r>
    </w:p>
    <w:p>
      <w:pPr>
        <w:spacing w:after="0" w:line="240" w:lineRule="auto"/>
        <w:jc w:val="left"/>
        <w:sectPr>
          <w:type w:val="continuous"/>
          <w:pgSz w:w="11910" w:h="16840"/>
          <w:pgMar w:top="1060" w:bottom="1160" w:left="980" w:right="0"/>
          <w:cols w:num="3" w:equalWidth="0">
            <w:col w:w="4006" w:space="274"/>
            <w:col w:w="1235" w:space="1289"/>
            <w:col w:w="4126"/>
          </w:cols>
        </w:sectPr>
      </w:pPr>
    </w:p>
    <w:p>
      <w:pPr>
        <w:pStyle w:val="Heading3"/>
        <w:spacing w:line="338" w:lineRule="auto"/>
        <w:ind w:right="1127" w:firstLine="426"/>
        <w:jc w:val="left"/>
      </w:pPr>
      <w:r>
        <w:rPr/>
        <w:t>我们审计了新开普电子股份有限公司（以下简称新开普）财务报表，包括</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 </w:t>
      </w:r>
      <w:r>
        <w:rPr>
          <w:spacing w:val="-5"/>
        </w:rPr>
        <w:t>日的合并及母公司资产负债表，</w:t>
      </w:r>
      <w:r>
        <w:rPr>
          <w:rFonts w:ascii="Times New Roman" w:hAnsi="Times New Roman" w:cs="Times New Roman" w:eastAsia="Times New Roman" w:hint="default"/>
          <w:spacing w:val="-5"/>
        </w:rPr>
        <w:t>2018</w:t>
      </w:r>
      <w:r>
        <w:rPr>
          <w:spacing w:val="-5"/>
        </w:rPr>
        <w:t>年度的合并及母公司利润表、合并及母公司现金流量表、</w:t>
      </w:r>
      <w:r>
        <w:rPr>
          <w:spacing w:val="-107"/>
        </w:rPr>
        <w:t> </w:t>
      </w:r>
      <w:r>
        <w:rPr>
          <w:spacing w:val="-107"/>
        </w:rPr>
      </w:r>
      <w:r>
        <w:rPr/>
        <w:t>合并及母公司股东权益变动表以及相关财务报表附注。</w:t>
      </w:r>
    </w:p>
    <w:p>
      <w:pPr>
        <w:pStyle w:val="Heading3"/>
        <w:spacing w:line="348" w:lineRule="auto" w:before="56"/>
        <w:ind w:right="1169" w:firstLine="426"/>
        <w:jc w:val="both"/>
      </w:pPr>
      <w:r>
        <w:rPr/>
        <w:t>我们认为，后附的财务报表在所有重大方面按照企业会计准则的规定编制，公允反映了 新开普</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日的合并及母公司财务状况以及</w:t>
      </w:r>
      <w:r>
        <w:rPr>
          <w:rFonts w:ascii="Times New Roman" w:hAnsi="Times New Roman" w:cs="Times New Roman" w:eastAsia="Times New Roman" w:hint="default"/>
        </w:rPr>
        <w:t>2018</w:t>
      </w:r>
      <w:r>
        <w:rPr/>
        <w:t>年度的合并及母公司经营成果和现 金流量。</w:t>
      </w:r>
    </w:p>
    <w:p>
      <w:pPr>
        <w:spacing w:line="357" w:lineRule="auto" w:before="46"/>
        <w:ind w:left="580" w:right="1117" w:firstLine="56"/>
        <w:jc w:val="left"/>
        <w:rPr>
          <w:rFonts w:ascii="宋体" w:hAnsi="宋体" w:cs="宋体" w:eastAsia="宋体" w:hint="default"/>
          <w:sz w:val="24"/>
          <w:szCs w:val="24"/>
        </w:rPr>
      </w:pPr>
      <w:r>
        <w:rPr>
          <w:rFonts w:ascii="宋体" w:hAnsi="宋体" w:cs="宋体" w:eastAsia="宋体" w:hint="default"/>
          <w:b/>
          <w:bCs/>
          <w:sz w:val="24"/>
          <w:szCs w:val="24"/>
        </w:rPr>
        <w:t>二、形成审计意见的基础</w:t>
      </w:r>
      <w:r>
        <w:rPr>
          <w:rFonts w:ascii="宋体" w:hAnsi="宋体" w:cs="宋体" w:eastAsia="宋体" w:hint="default"/>
          <w:b/>
          <w:bCs/>
          <w:w w:val="99"/>
          <w:sz w:val="24"/>
          <w:szCs w:val="24"/>
        </w:rPr>
        <w:t> </w:t>
      </w:r>
      <w:r>
        <w:rPr>
          <w:rFonts w:ascii="宋体" w:hAnsi="宋体" w:cs="宋体" w:eastAsia="宋体" w:hint="default"/>
          <w:spacing w:val="-1"/>
          <w:sz w:val="24"/>
          <w:szCs w:val="24"/>
        </w:rPr>
        <w:t>我们按照中国注册会计师审计准则的规定执行了审计工作。审计报告的</w:t>
      </w:r>
      <w:r>
        <w:rPr>
          <w:rFonts w:ascii="Times New Roman" w:hAnsi="Times New Roman" w:cs="Times New Roman" w:eastAsia="Times New Roman" w:hint="default"/>
          <w:spacing w:val="-1"/>
          <w:sz w:val="24"/>
          <w:szCs w:val="24"/>
        </w:rPr>
        <w:t>“</w:t>
      </w:r>
      <w:r>
        <w:rPr>
          <w:rFonts w:ascii="宋体" w:hAnsi="宋体" w:cs="宋体" w:eastAsia="宋体" w:hint="default"/>
          <w:spacing w:val="-1"/>
          <w:sz w:val="24"/>
          <w:szCs w:val="24"/>
        </w:rPr>
        <w:t>注册会计师对财</w:t>
      </w:r>
    </w:p>
    <w:p>
      <w:pPr>
        <w:pStyle w:val="Heading3"/>
        <w:spacing w:line="348" w:lineRule="auto" w:before="5"/>
        <w:ind w:right="1131"/>
        <w:jc w:val="both"/>
      </w:pPr>
      <w:r>
        <w:rPr>
          <w:spacing w:val="-2"/>
        </w:rPr>
        <w:t>务报表审计的责任</w:t>
      </w:r>
      <w:r>
        <w:rPr>
          <w:rFonts w:ascii="Times New Roman" w:hAnsi="Times New Roman" w:cs="Times New Roman" w:eastAsia="Times New Roman" w:hint="default"/>
          <w:spacing w:val="-2"/>
        </w:rPr>
        <w:t>”</w:t>
      </w:r>
      <w:r>
        <w:rPr>
          <w:spacing w:val="-2"/>
        </w:rPr>
        <w:t>部分进一步阐述了我们在这些准则下的责任。按照中国注册会计师职业道</w:t>
      </w:r>
      <w:r>
        <w:rPr>
          <w:spacing w:val="-107"/>
        </w:rPr>
        <w:t> </w:t>
      </w:r>
      <w:r>
        <w:rPr>
          <w:spacing w:val="-107"/>
        </w:rPr>
      </w:r>
      <w:r>
        <w:rPr/>
        <w:t>德守则，我们独立于新开普，并履行了职业道德方面的其他责任。我们相信，我们获取的审 计证据是充分、适当的，为发表审计意见提供了基础。</w:t>
      </w:r>
    </w:p>
    <w:p>
      <w:pPr>
        <w:pStyle w:val="Heading3"/>
        <w:spacing w:line="357" w:lineRule="auto" w:before="46"/>
        <w:ind w:left="580" w:right="1206"/>
        <w:jc w:val="left"/>
      </w:pPr>
      <w:r>
        <w:rPr>
          <w:rFonts w:ascii="宋体" w:hAnsi="宋体" w:cs="宋体" w:eastAsia="宋体" w:hint="default"/>
          <w:b/>
          <w:bCs/>
        </w:rPr>
        <w:t>三、关键审计事项</w:t>
      </w:r>
      <w:r>
        <w:rPr>
          <w:rFonts w:ascii="宋体" w:hAnsi="宋体" w:cs="宋体" w:eastAsia="宋体" w:hint="default"/>
          <w:b/>
          <w:bCs/>
          <w:w w:val="99"/>
        </w:rPr>
        <w:t> </w:t>
      </w:r>
      <w:r>
        <w:rPr/>
        <w:t>关键审计事项是我们根据职业判断，认为对本期财务报表审计最为重要的事项。这些事</w:t>
      </w:r>
    </w:p>
    <w:p>
      <w:pPr>
        <w:pStyle w:val="Heading3"/>
        <w:spacing w:line="357" w:lineRule="auto"/>
        <w:ind w:right="1170"/>
        <w:jc w:val="both"/>
      </w:pPr>
      <w:r>
        <w:rPr/>
        <w:t>项的应对以对财务报表整体进行审计并形成审计意见为背景，我们不对这些事项单独发表意 见。我们确定下列事项是需要在审计报告中沟通的关键审计事项。</w:t>
      </w:r>
    </w:p>
    <w:tbl>
      <w:tblPr>
        <w:tblW w:w="0" w:type="auto"/>
        <w:jc w:val="left"/>
        <w:tblInd w:w="734" w:type="dxa"/>
        <w:tblLayout w:type="fixed"/>
        <w:tblCellMar>
          <w:top w:w="0" w:type="dxa"/>
          <w:left w:w="0" w:type="dxa"/>
          <w:bottom w:w="0" w:type="dxa"/>
          <w:right w:w="0" w:type="dxa"/>
        </w:tblCellMar>
        <w:tblLook w:val="01E0"/>
      </w:tblPr>
      <w:tblGrid>
        <w:gridCol w:w="4396"/>
        <w:gridCol w:w="4070"/>
      </w:tblGrid>
      <w:tr>
        <w:trPr>
          <w:trHeight w:val="347" w:hRule="exact"/>
        </w:trPr>
        <w:tc>
          <w:tcPr>
            <w:tcW w:w="43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0"/>
              <w:jc w:val="center"/>
              <w:rPr>
                <w:rFonts w:ascii="宋体" w:hAnsi="宋体" w:cs="宋体" w:eastAsia="宋体" w:hint="default"/>
                <w:sz w:val="18"/>
                <w:szCs w:val="18"/>
              </w:rPr>
            </w:pPr>
            <w:r>
              <w:rPr>
                <w:rFonts w:ascii="宋体" w:hAnsi="宋体" w:cs="宋体" w:eastAsia="宋体" w:hint="default"/>
                <w:sz w:val="18"/>
                <w:szCs w:val="18"/>
              </w:rPr>
              <w:t>关键审计事项</w:t>
            </w:r>
          </w:p>
        </w:tc>
        <w:tc>
          <w:tcPr>
            <w:tcW w:w="40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left="856" w:right="0"/>
              <w:jc w:val="left"/>
              <w:rPr>
                <w:rFonts w:ascii="宋体" w:hAnsi="宋体" w:cs="宋体" w:eastAsia="宋体" w:hint="default"/>
                <w:sz w:val="18"/>
                <w:szCs w:val="18"/>
              </w:rPr>
            </w:pPr>
            <w:r>
              <w:rPr>
                <w:rFonts w:ascii="宋体" w:hAnsi="宋体" w:cs="宋体" w:eastAsia="宋体" w:hint="default"/>
                <w:sz w:val="18"/>
                <w:szCs w:val="18"/>
              </w:rPr>
              <w:t>该事项在审计中是如何应对的</w:t>
            </w:r>
          </w:p>
        </w:tc>
      </w:tr>
      <w:tr>
        <w:trPr>
          <w:trHeight w:val="347" w:hRule="exact"/>
        </w:trPr>
        <w:tc>
          <w:tcPr>
            <w:tcW w:w="8466"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left="3" w:right="0"/>
              <w:jc w:val="left"/>
              <w:rPr>
                <w:rFonts w:ascii="宋体" w:hAnsi="宋体" w:cs="宋体" w:eastAsia="宋体" w:hint="default"/>
                <w:sz w:val="18"/>
                <w:szCs w:val="18"/>
              </w:rPr>
            </w:pPr>
            <w:r>
              <w:rPr>
                <w:rFonts w:ascii="宋体" w:hAnsi="宋体" w:cs="宋体" w:eastAsia="宋体" w:hint="default"/>
                <w:sz w:val="18"/>
                <w:szCs w:val="18"/>
              </w:rPr>
              <w:t>（一）收入确认</w:t>
            </w:r>
          </w:p>
        </w:tc>
      </w:tr>
      <w:tr>
        <w:trPr>
          <w:trHeight w:val="348" w:hRule="exact"/>
        </w:trPr>
        <w:tc>
          <w:tcPr>
            <w:tcW w:w="43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52"/>
              <w:jc w:val="center"/>
              <w:rPr>
                <w:rFonts w:ascii="宋体" w:hAnsi="宋体" w:cs="宋体" w:eastAsia="宋体" w:hint="default"/>
                <w:sz w:val="18"/>
                <w:szCs w:val="18"/>
              </w:rPr>
            </w:pPr>
            <w:r>
              <w:rPr>
                <w:rFonts w:ascii="宋体" w:hAnsi="宋体" w:cs="宋体" w:eastAsia="宋体" w:hint="default"/>
                <w:sz w:val="18"/>
                <w:szCs w:val="18"/>
              </w:rPr>
              <w:t>请参阅合并财务报表附注三、（二十五）收入所述的会</w:t>
            </w:r>
          </w:p>
        </w:tc>
        <w:tc>
          <w:tcPr>
            <w:tcW w:w="40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left="2" w:right="0"/>
              <w:jc w:val="left"/>
              <w:rPr>
                <w:rFonts w:ascii="宋体" w:hAnsi="宋体" w:cs="宋体" w:eastAsia="宋体" w:hint="default"/>
                <w:sz w:val="18"/>
                <w:szCs w:val="18"/>
              </w:rPr>
            </w:pPr>
            <w:r>
              <w:rPr>
                <w:rFonts w:ascii="宋体" w:hAnsi="宋体" w:cs="宋体" w:eastAsia="宋体" w:hint="default"/>
                <w:sz w:val="18"/>
                <w:szCs w:val="18"/>
              </w:rPr>
              <w:t>我们执行的主要审计程序如下：</w:t>
            </w:r>
          </w:p>
        </w:tc>
      </w:tr>
    </w:tbl>
    <w:p>
      <w:pPr>
        <w:spacing w:after="0" w:line="240" w:lineRule="auto"/>
        <w:jc w:val="left"/>
        <w:rPr>
          <w:rFonts w:ascii="宋体" w:hAnsi="宋体" w:cs="宋体" w:eastAsia="宋体" w:hint="default"/>
          <w:sz w:val="18"/>
          <w:szCs w:val="18"/>
        </w:rPr>
        <w:sectPr>
          <w:type w:val="continuous"/>
          <w:pgSz w:w="11910" w:h="16840"/>
          <w:pgMar w:top="106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5"/>
          <w:szCs w:val="25"/>
        </w:rPr>
      </w:pPr>
    </w:p>
    <w:p>
      <w:pPr>
        <w:spacing w:before="44"/>
        <w:ind w:left="0" w:right="1638" w:firstLine="0"/>
        <w:jc w:val="right"/>
        <w:rPr>
          <w:rFonts w:ascii="宋体" w:hAnsi="宋体" w:cs="宋体" w:eastAsia="宋体" w:hint="default"/>
          <w:sz w:val="18"/>
          <w:szCs w:val="18"/>
        </w:rPr>
      </w:pPr>
      <w:r>
        <w:rPr/>
        <w:pict>
          <v:shape style="position:absolute;margin-left:85.699997pt;margin-top:-377.50827pt;width:424.4pt;height:458.45pt;mso-position-horizontal-relative:page;mso-position-vertical-relative:paragraph;z-index:282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4396"/>
                    <w:gridCol w:w="4070"/>
                  </w:tblGrid>
                  <w:tr>
                    <w:trPr>
                      <w:trHeight w:val="4091" w:hRule="exact"/>
                    </w:trPr>
                    <w:tc>
                      <w:tcPr>
                        <w:tcW w:w="4396" w:type="dxa"/>
                        <w:tcBorders>
                          <w:top w:val="single" w:sz="6" w:space="0" w:color="000000"/>
                          <w:left w:val="single" w:sz="6" w:space="0" w:color="000000"/>
                          <w:bottom w:val="single" w:sz="6" w:space="0" w:color="000000"/>
                          <w:right w:val="single" w:sz="6" w:space="0" w:color="000000"/>
                        </w:tcBorders>
                      </w:tcPr>
                      <w:p>
                        <w:pPr>
                          <w:pStyle w:val="TableParagraph"/>
                          <w:spacing w:line="314" w:lineRule="auto" w:before="21"/>
                          <w:ind w:left="3" w:right="55"/>
                          <w:jc w:val="left"/>
                          <w:rPr>
                            <w:rFonts w:ascii="宋体" w:hAnsi="宋体" w:cs="宋体" w:eastAsia="宋体" w:hint="default"/>
                            <w:sz w:val="18"/>
                            <w:szCs w:val="18"/>
                          </w:rPr>
                        </w:pPr>
                        <w:r>
                          <w:rPr>
                            <w:rFonts w:ascii="宋体" w:hAnsi="宋体" w:cs="宋体" w:eastAsia="宋体" w:hint="default"/>
                            <w:sz w:val="18"/>
                            <w:szCs w:val="18"/>
                          </w:rPr>
                          <w:t>计政策及附注五、（三十二）营业收入和营业成本，于 </w:t>
                        </w:r>
                        <w:r>
                          <w:rPr>
                            <w:rFonts w:ascii="Times New Roman" w:hAnsi="Times New Roman" w:cs="Times New Roman" w:eastAsia="Times New Roman" w:hint="default"/>
                            <w:sz w:val="18"/>
                            <w:szCs w:val="18"/>
                          </w:rPr>
                          <w:t>2018</w:t>
                        </w:r>
                        <w:r>
                          <w:rPr>
                            <w:rFonts w:ascii="宋体" w:hAnsi="宋体" w:cs="宋体" w:eastAsia="宋体" w:hint="default"/>
                            <w:sz w:val="18"/>
                            <w:szCs w:val="18"/>
                          </w:rPr>
                          <w:t>年度，新开普营业收入为人民币</w:t>
                        </w:r>
                        <w:r>
                          <w:rPr>
                            <w:rFonts w:ascii="Times New Roman" w:hAnsi="Times New Roman" w:cs="Times New Roman" w:eastAsia="Times New Roman" w:hint="default"/>
                            <w:sz w:val="18"/>
                            <w:szCs w:val="18"/>
                          </w:rPr>
                          <w:t>83,762.76</w:t>
                        </w:r>
                        <w:r>
                          <w:rPr>
                            <w:rFonts w:ascii="宋体" w:hAnsi="宋体" w:cs="宋体" w:eastAsia="宋体" w:hint="default"/>
                            <w:sz w:val="18"/>
                            <w:szCs w:val="18"/>
                          </w:rPr>
                          <w:t>万元，公 司属于软件和信息技术服务业，其销售方式分为直销及 经销，在产品交付客户或经销商，经验收合格且开具发 票后，公司予以确认收入。 由于收入是新开普的关键业绩指标之一，从而存在管理 层为了达到特定目标或期望而操纵收入确认时点的固有 风险，因此我们将收入确认识别为关键审计事项。</w:t>
                        </w:r>
                      </w:p>
                    </w:tc>
                    <w:tc>
                      <w:tcPr>
                        <w:tcW w:w="4070" w:type="dxa"/>
                        <w:tcBorders>
                          <w:top w:val="single" w:sz="6" w:space="0" w:color="000000"/>
                          <w:left w:val="single" w:sz="6" w:space="0" w:color="000000"/>
                          <w:bottom w:val="single" w:sz="6" w:space="0" w:color="000000"/>
                          <w:right w:val="single" w:sz="6" w:space="0" w:color="000000"/>
                        </w:tcBorders>
                      </w:tcPr>
                      <w:p>
                        <w:pPr>
                          <w:pStyle w:val="TableParagraph"/>
                          <w:spacing w:line="309" w:lineRule="auto" w:before="21"/>
                          <w:ind w:left="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、了解和评价管理层与收入确认相关的关键内部控 制的设计和运行的有效性； </w:t>
                        </w:r>
                        <w:r>
                          <w:rPr>
                            <w:rFonts w:ascii="Times New Roman" w:hAnsi="Times New Roman" w:cs="Times New Roman" w:eastAsia="Times New Roman" w:hint="default"/>
                            <w:sz w:val="18"/>
                            <w:szCs w:val="18"/>
                          </w:rPr>
                          <w:t>2</w:t>
                        </w:r>
                        <w:r>
                          <w:rPr>
                            <w:rFonts w:ascii="宋体" w:hAnsi="宋体" w:cs="宋体" w:eastAsia="宋体" w:hint="default"/>
                            <w:sz w:val="18"/>
                            <w:szCs w:val="18"/>
                          </w:rPr>
                          <w:t>、针对直销及经销两种不同的销售方式，选取样本 检查销售合同，识别与商品所有权上的风险和报酬 转移相关的合同条款与条件，评价收入确认时点是 否符合企业会计准则的要求； </w:t>
                        </w:r>
                        <w:r>
                          <w:rPr>
                            <w:rFonts w:ascii="Times New Roman" w:hAnsi="Times New Roman" w:cs="Times New Roman" w:eastAsia="Times New Roman" w:hint="default"/>
                            <w:sz w:val="18"/>
                            <w:szCs w:val="18"/>
                          </w:rPr>
                          <w:t>3</w:t>
                        </w:r>
                        <w:r>
                          <w:rPr>
                            <w:rFonts w:ascii="宋体" w:hAnsi="宋体" w:cs="宋体" w:eastAsia="宋体" w:hint="default"/>
                            <w:sz w:val="18"/>
                            <w:szCs w:val="18"/>
                          </w:rPr>
                          <w:t>、结合产品类型对收入及毛利情况执行分析，判断 本期收入金额变动趋势； </w:t>
                        </w:r>
                        <w:r>
                          <w:rPr>
                            <w:rFonts w:ascii="Times New Roman" w:hAnsi="Times New Roman" w:cs="Times New Roman" w:eastAsia="Times New Roman" w:hint="default"/>
                            <w:sz w:val="18"/>
                            <w:szCs w:val="18"/>
                          </w:rPr>
                          <w:t>4</w:t>
                        </w:r>
                        <w:r>
                          <w:rPr>
                            <w:rFonts w:ascii="宋体" w:hAnsi="宋体" w:cs="宋体" w:eastAsia="宋体" w:hint="default"/>
                            <w:sz w:val="18"/>
                            <w:szCs w:val="18"/>
                          </w:rPr>
                          <w:t>、对本年记录的收入交易选取样本，核对发票、销 售合同及出库单，评价相关收入确认是否符合公司 收入确认的会计政策； </w:t>
                        </w:r>
                        <w:r>
                          <w:rPr>
                            <w:rFonts w:ascii="Times New Roman" w:hAnsi="Times New Roman" w:cs="Times New Roman" w:eastAsia="Times New Roman" w:hint="default"/>
                            <w:sz w:val="18"/>
                            <w:szCs w:val="18"/>
                          </w:rPr>
                          <w:t>5</w:t>
                        </w:r>
                        <w:r>
                          <w:rPr>
                            <w:rFonts w:ascii="宋体" w:hAnsi="宋体" w:cs="宋体" w:eastAsia="宋体" w:hint="default"/>
                            <w:sz w:val="18"/>
                            <w:szCs w:val="18"/>
                          </w:rPr>
                          <w:t>、结合应收账款和发出商品函证程序，并抽查收入 确认的相关外部单据。</w:t>
                        </w:r>
                      </w:p>
                    </w:tc>
                  </w:tr>
                  <w:tr>
                    <w:trPr>
                      <w:trHeight w:val="347" w:hRule="exact"/>
                    </w:trPr>
                    <w:tc>
                      <w:tcPr>
                        <w:tcW w:w="8466"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3" w:right="0"/>
                          <w:jc w:val="left"/>
                          <w:rPr>
                            <w:rFonts w:ascii="宋体" w:hAnsi="宋体" w:cs="宋体" w:eastAsia="宋体" w:hint="default"/>
                            <w:sz w:val="18"/>
                            <w:szCs w:val="18"/>
                          </w:rPr>
                        </w:pPr>
                        <w:r>
                          <w:rPr>
                            <w:rFonts w:ascii="宋体" w:hAnsi="宋体" w:cs="宋体" w:eastAsia="宋体" w:hint="default"/>
                            <w:b/>
                            <w:bCs/>
                            <w:sz w:val="18"/>
                            <w:szCs w:val="18"/>
                          </w:rPr>
                          <w:t>（二）商誉减值</w:t>
                        </w:r>
                        <w:r>
                          <w:rPr>
                            <w:rFonts w:ascii="宋体" w:hAnsi="宋体" w:cs="宋体" w:eastAsia="宋体" w:hint="default"/>
                            <w:sz w:val="18"/>
                            <w:szCs w:val="18"/>
                          </w:rPr>
                        </w:r>
                      </w:p>
                    </w:tc>
                  </w:tr>
                  <w:tr>
                    <w:trPr>
                      <w:trHeight w:val="4716" w:hRule="exact"/>
                    </w:trPr>
                    <w:tc>
                      <w:tcPr>
                        <w:tcW w:w="4396" w:type="dxa"/>
                        <w:tcBorders>
                          <w:top w:val="single" w:sz="6" w:space="0" w:color="000000"/>
                          <w:left w:val="single" w:sz="6" w:space="0" w:color="000000"/>
                          <w:bottom w:val="single" w:sz="6" w:space="0" w:color="000000"/>
                          <w:right w:val="single" w:sz="6" w:space="0" w:color="000000"/>
                        </w:tcBorders>
                      </w:tcPr>
                      <w:p>
                        <w:pPr>
                          <w:pStyle w:val="TableParagraph"/>
                          <w:spacing w:line="309" w:lineRule="auto" w:before="21"/>
                          <w:ind w:left="3" w:right="-17"/>
                          <w:jc w:val="left"/>
                          <w:rPr>
                            <w:rFonts w:ascii="宋体" w:hAnsi="宋体" w:cs="宋体" w:eastAsia="宋体" w:hint="default"/>
                            <w:sz w:val="18"/>
                            <w:szCs w:val="18"/>
                          </w:rPr>
                        </w:pPr>
                        <w:r>
                          <w:rPr>
                            <w:rFonts w:ascii="宋体" w:hAnsi="宋体" w:cs="宋体" w:eastAsia="宋体" w:hint="default"/>
                            <w:sz w:val="18"/>
                            <w:szCs w:val="18"/>
                          </w:rPr>
                          <w:t>请参阅合并财务报表附注五、（十五）商誉，新开普于 </w:t>
                        </w:r>
                        <w:r>
                          <w:rPr>
                            <w:rFonts w:ascii="Times New Roman" w:hAnsi="Times New Roman" w:cs="Times New Roman" w:eastAsia="Times New Roman" w:hint="default"/>
                            <w:sz w:val="18"/>
                            <w:szCs w:val="18"/>
                          </w:rPr>
                          <w:t>2015</w:t>
                        </w:r>
                        <w:r>
                          <w:rPr>
                            <w:rFonts w:ascii="宋体" w:hAnsi="宋体" w:cs="宋体" w:eastAsia="宋体" w:hint="default"/>
                            <w:sz w:val="18"/>
                            <w:szCs w:val="18"/>
                          </w:rPr>
                          <w:t>年</w:t>
                        </w:r>
                        <w:r>
                          <w:rPr>
                            <w:rFonts w:ascii="Times New Roman" w:hAnsi="Times New Roman" w:cs="Times New Roman" w:eastAsia="Times New Roman" w:hint="default"/>
                            <w:sz w:val="18"/>
                            <w:szCs w:val="18"/>
                          </w:rPr>
                          <w:t>8</w:t>
                        </w:r>
                        <w:r>
                          <w:rPr>
                            <w:rFonts w:ascii="宋体" w:hAnsi="宋体" w:cs="宋体" w:eastAsia="宋体" w:hint="default"/>
                            <w:sz w:val="18"/>
                            <w:szCs w:val="18"/>
                          </w:rPr>
                          <w:t>月</w:t>
                        </w:r>
                        <w:r>
                          <w:rPr>
                            <w:rFonts w:ascii="Times New Roman" w:hAnsi="Times New Roman" w:cs="Times New Roman" w:eastAsia="Times New Roman" w:hint="default"/>
                            <w:sz w:val="18"/>
                            <w:szCs w:val="18"/>
                          </w:rPr>
                          <w:t>13</w:t>
                        </w:r>
                        <w:r>
                          <w:rPr>
                            <w:rFonts w:ascii="宋体" w:hAnsi="宋体" w:cs="宋体" w:eastAsia="宋体" w:hint="default"/>
                            <w:sz w:val="18"/>
                            <w:szCs w:val="18"/>
                          </w:rPr>
                          <w:t>日以</w:t>
                        </w:r>
                        <w:r>
                          <w:rPr>
                            <w:rFonts w:ascii="Times New Roman" w:hAnsi="Times New Roman" w:cs="Times New Roman" w:eastAsia="Times New Roman" w:hint="default"/>
                            <w:sz w:val="18"/>
                            <w:szCs w:val="18"/>
                          </w:rPr>
                          <w:t>32,000</w:t>
                        </w:r>
                        <w:r>
                          <w:rPr>
                            <w:rFonts w:ascii="宋体" w:hAnsi="宋体" w:cs="宋体" w:eastAsia="宋体" w:hint="default"/>
                            <w:sz w:val="18"/>
                            <w:szCs w:val="18"/>
                          </w:rPr>
                          <w:t>万元的对价，收购北京迪科远望 </w:t>
                        </w:r>
                        <w:r>
                          <w:rPr>
                            <w:rFonts w:ascii="宋体" w:hAnsi="宋体" w:cs="宋体" w:eastAsia="宋体" w:hint="default"/>
                            <w:spacing w:val="-2"/>
                            <w:sz w:val="18"/>
                            <w:szCs w:val="18"/>
                          </w:rPr>
                          <w:t>科技有限公司</w:t>
                        </w:r>
                        <w:r>
                          <w:rPr>
                            <w:rFonts w:ascii="Times New Roman" w:hAnsi="Times New Roman" w:cs="Times New Roman" w:eastAsia="Times New Roman" w:hint="default"/>
                            <w:spacing w:val="-2"/>
                            <w:sz w:val="18"/>
                            <w:szCs w:val="18"/>
                          </w:rPr>
                          <w:t>100.00%</w:t>
                        </w:r>
                        <w:r>
                          <w:rPr>
                            <w:rFonts w:ascii="宋体" w:hAnsi="宋体" w:cs="宋体" w:eastAsia="宋体" w:hint="default"/>
                            <w:spacing w:val="-2"/>
                            <w:sz w:val="18"/>
                            <w:szCs w:val="18"/>
                          </w:rPr>
                          <w:t>的股权，形成商誉</w:t>
                        </w:r>
                        <w:r>
                          <w:rPr>
                            <w:rFonts w:ascii="Times New Roman" w:hAnsi="Times New Roman" w:cs="Times New Roman" w:eastAsia="Times New Roman" w:hint="default"/>
                            <w:spacing w:val="-2"/>
                            <w:sz w:val="18"/>
                            <w:szCs w:val="18"/>
                          </w:rPr>
                          <w:t>28,007.62</w:t>
                        </w:r>
                        <w:r>
                          <w:rPr>
                            <w:rFonts w:ascii="宋体" w:hAnsi="宋体" w:cs="宋体" w:eastAsia="宋体" w:hint="default"/>
                            <w:spacing w:val="-2"/>
                            <w:sz w:val="18"/>
                            <w:szCs w:val="18"/>
                          </w:rPr>
                          <w:t>万元，</w:t>
                        </w:r>
                        <w:r>
                          <w:rPr>
                            <w:rFonts w:ascii="宋体" w:hAnsi="宋体" w:cs="宋体" w:eastAsia="宋体" w:hint="default"/>
                            <w:spacing w:val="-58"/>
                            <w:sz w:val="18"/>
                            <w:szCs w:val="18"/>
                          </w:rPr>
                          <w:t> </w:t>
                        </w:r>
                        <w:r>
                          <w:rPr>
                            <w:rFonts w:ascii="宋体" w:hAnsi="宋体" w:cs="宋体" w:eastAsia="宋体" w:hint="default"/>
                            <w:spacing w:val="-58"/>
                            <w:sz w:val="18"/>
                            <w:szCs w:val="18"/>
                          </w:rPr>
                        </w:r>
                        <w:r>
                          <w:rPr>
                            <w:rFonts w:ascii="宋体" w:hAnsi="宋体" w:cs="宋体" w:eastAsia="宋体" w:hint="default"/>
                            <w:sz w:val="18"/>
                            <w:szCs w:val="18"/>
                          </w:rPr>
                          <w:t>于</w:t>
                        </w:r>
                        <w:r>
                          <w:rPr>
                            <w:rFonts w:ascii="Times New Roman" w:hAnsi="Times New Roman" w:cs="Times New Roman" w:eastAsia="Times New Roman" w:hint="default"/>
                            <w:sz w:val="18"/>
                            <w:szCs w:val="18"/>
                          </w:rPr>
                          <w:t>2015</w:t>
                        </w:r>
                        <w:r>
                          <w:rPr>
                            <w:rFonts w:ascii="宋体" w:hAnsi="宋体" w:cs="宋体" w:eastAsia="宋体" w:hint="default"/>
                            <w:sz w:val="18"/>
                            <w:szCs w:val="18"/>
                          </w:rPr>
                          <w:t>年</w:t>
                        </w:r>
                        <w:r>
                          <w:rPr>
                            <w:rFonts w:ascii="Times New Roman" w:hAnsi="Times New Roman" w:cs="Times New Roman" w:eastAsia="Times New Roman" w:hint="default"/>
                            <w:sz w:val="18"/>
                            <w:szCs w:val="18"/>
                          </w:rPr>
                          <w:t>9</w:t>
                        </w:r>
                        <w:r>
                          <w:rPr>
                            <w:rFonts w:ascii="宋体" w:hAnsi="宋体" w:cs="宋体" w:eastAsia="宋体" w:hint="default"/>
                            <w:sz w:val="18"/>
                            <w:szCs w:val="18"/>
                          </w:rPr>
                          <w:t>月</w:t>
                        </w:r>
                        <w:r>
                          <w:rPr>
                            <w:rFonts w:ascii="Times New Roman" w:hAnsi="Times New Roman" w:cs="Times New Roman" w:eastAsia="Times New Roman" w:hint="default"/>
                            <w:sz w:val="18"/>
                            <w:szCs w:val="18"/>
                          </w:rPr>
                          <w:t>21</w:t>
                        </w:r>
                        <w:r>
                          <w:rPr>
                            <w:rFonts w:ascii="宋体" w:hAnsi="宋体" w:cs="宋体" w:eastAsia="宋体" w:hint="default"/>
                            <w:sz w:val="18"/>
                            <w:szCs w:val="18"/>
                          </w:rPr>
                          <w:t>日以</w:t>
                        </w:r>
                        <w:r>
                          <w:rPr>
                            <w:rFonts w:ascii="Times New Roman" w:hAnsi="Times New Roman" w:cs="Times New Roman" w:eastAsia="Times New Roman" w:hint="default"/>
                            <w:sz w:val="18"/>
                            <w:szCs w:val="18"/>
                          </w:rPr>
                          <w:t>19,900</w:t>
                        </w:r>
                        <w:r>
                          <w:rPr>
                            <w:rFonts w:ascii="宋体" w:hAnsi="宋体" w:cs="宋体" w:eastAsia="宋体" w:hint="default"/>
                            <w:sz w:val="18"/>
                            <w:szCs w:val="18"/>
                          </w:rPr>
                          <w:t>万元的对价，收购上海树维信 </w:t>
                        </w:r>
                        <w:r>
                          <w:rPr>
                            <w:rFonts w:ascii="宋体" w:hAnsi="宋体" w:cs="宋体" w:eastAsia="宋体" w:hint="default"/>
                            <w:spacing w:val="-2"/>
                            <w:sz w:val="18"/>
                            <w:szCs w:val="18"/>
                          </w:rPr>
                          <w:t>息科技有限公司</w:t>
                        </w:r>
                        <w:r>
                          <w:rPr>
                            <w:rFonts w:ascii="Times New Roman" w:hAnsi="Times New Roman" w:cs="Times New Roman" w:eastAsia="Times New Roman" w:hint="default"/>
                            <w:spacing w:val="-2"/>
                            <w:sz w:val="18"/>
                            <w:szCs w:val="18"/>
                          </w:rPr>
                          <w:t>100.00%</w:t>
                        </w:r>
                        <w:r>
                          <w:rPr>
                            <w:rFonts w:ascii="宋体" w:hAnsi="宋体" w:cs="宋体" w:eastAsia="宋体" w:hint="default"/>
                            <w:spacing w:val="-2"/>
                            <w:sz w:val="18"/>
                            <w:szCs w:val="18"/>
                          </w:rPr>
                          <w:t>的股权，同时，公司将根据上海</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树维数字化校园与教务管理系统业务的收入完成情况， 向交易对方支付最高不超过</w:t>
                        </w:r>
                        <w:r>
                          <w:rPr>
                            <w:rFonts w:ascii="Times New Roman" w:hAnsi="Times New Roman" w:cs="Times New Roman" w:eastAsia="Times New Roman" w:hint="default"/>
                            <w:sz w:val="18"/>
                            <w:szCs w:val="18"/>
                          </w:rPr>
                          <w:t>2,000.00</w:t>
                        </w:r>
                        <w:r>
                          <w:rPr>
                            <w:rFonts w:ascii="宋体" w:hAnsi="宋体" w:cs="宋体" w:eastAsia="宋体" w:hint="default"/>
                            <w:sz w:val="18"/>
                            <w:szCs w:val="18"/>
                          </w:rPr>
                          <w:t>万元的附条件的股 权转让追加对价，交易形成商誉</w:t>
                        </w:r>
                        <w:r>
                          <w:rPr>
                            <w:rFonts w:ascii="Times New Roman" w:hAnsi="Times New Roman" w:cs="Times New Roman" w:eastAsia="Times New Roman" w:hint="default"/>
                            <w:sz w:val="18"/>
                            <w:szCs w:val="18"/>
                          </w:rPr>
                          <w:t>18,950.86</w:t>
                        </w:r>
                        <w:r>
                          <w:rPr>
                            <w:rFonts w:ascii="宋体" w:hAnsi="宋体" w:cs="宋体" w:eastAsia="宋体" w:hint="default"/>
                            <w:sz w:val="18"/>
                            <w:szCs w:val="18"/>
                          </w:rPr>
                          <w:t>万元，在对商 誉进行减值测试时，需要测算相关资产组未来现金流入 以及确定合适的折现率计算其未来现金流量的现值。若 资产组未来现金流量的现值现值低于其包括商誉金额的 账面价值，应确认商誉减值损失。由于商誉减值测试需 要管理层作出重大判断，因此我们将商誉减值测试确认 为关键审计事项。</w:t>
                        </w:r>
                      </w:p>
                    </w:tc>
                    <w:tc>
                      <w:tcPr>
                        <w:tcW w:w="4070" w:type="dxa"/>
                        <w:tcBorders>
                          <w:top w:val="single" w:sz="6" w:space="0" w:color="000000"/>
                          <w:left w:val="single" w:sz="6" w:space="0" w:color="000000"/>
                          <w:bottom w:val="single" w:sz="6" w:space="0" w:color="000000"/>
                          <w:right w:val="single" w:sz="6" w:space="0" w:color="000000"/>
                        </w:tcBorders>
                      </w:tcPr>
                      <w:p>
                        <w:pPr>
                          <w:pStyle w:val="TableParagraph"/>
                          <w:spacing w:line="309"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我们执行的主要审计程序如下： </w:t>
                        </w:r>
                        <w:r>
                          <w:rPr>
                            <w:rFonts w:ascii="Times New Roman" w:hAnsi="Times New Roman" w:cs="Times New Roman" w:eastAsia="Times New Roman" w:hint="default"/>
                            <w:sz w:val="18"/>
                            <w:szCs w:val="18"/>
                          </w:rPr>
                          <w:t>1</w:t>
                        </w:r>
                        <w:r>
                          <w:rPr>
                            <w:rFonts w:ascii="宋体" w:hAnsi="宋体" w:cs="宋体" w:eastAsia="宋体" w:hint="default"/>
                            <w:sz w:val="18"/>
                            <w:szCs w:val="18"/>
                          </w:rPr>
                          <w:t>、了解和评价与商誉减值相关的内部控制的设计及 执行有效性； </w:t>
                        </w:r>
                        <w:r>
                          <w:rPr>
                            <w:rFonts w:ascii="Times New Roman" w:hAnsi="Times New Roman" w:cs="Times New Roman" w:eastAsia="Times New Roman" w:hint="default"/>
                            <w:sz w:val="18"/>
                            <w:szCs w:val="18"/>
                          </w:rPr>
                          <w:t>2</w:t>
                        </w:r>
                        <w:r>
                          <w:rPr>
                            <w:rFonts w:ascii="宋体" w:hAnsi="宋体" w:cs="宋体" w:eastAsia="宋体" w:hint="default"/>
                            <w:sz w:val="18"/>
                            <w:szCs w:val="18"/>
                          </w:rPr>
                          <w:t>、复核管理层对资产组的认定和商誉的分摊方法， 以及计算可回收金额时所依据的基础数据和测试时 所使用的折现率； </w:t>
                        </w:r>
                        <w:r>
                          <w:rPr>
                            <w:rFonts w:ascii="Times New Roman" w:hAnsi="Times New Roman" w:cs="Times New Roman" w:eastAsia="Times New Roman" w:hint="default"/>
                            <w:sz w:val="18"/>
                            <w:szCs w:val="18"/>
                          </w:rPr>
                          <w:t>3</w:t>
                        </w:r>
                        <w:r>
                          <w:rPr>
                            <w:rFonts w:ascii="宋体" w:hAnsi="宋体" w:cs="宋体" w:eastAsia="宋体" w:hint="default"/>
                            <w:sz w:val="18"/>
                            <w:szCs w:val="18"/>
                          </w:rPr>
                          <w:t>、评价由管理层聘请的外部评估机构的独立性、客 观性、经验和资质； </w:t>
                        </w:r>
                        <w:r>
                          <w:rPr>
                            <w:rFonts w:ascii="Times New Roman" w:hAnsi="Times New Roman" w:cs="Times New Roman" w:eastAsia="Times New Roman" w:hint="default"/>
                            <w:sz w:val="18"/>
                            <w:szCs w:val="18"/>
                          </w:rPr>
                          <w:t>4</w:t>
                        </w:r>
                        <w:r>
                          <w:rPr>
                            <w:rFonts w:ascii="宋体" w:hAnsi="宋体" w:cs="宋体" w:eastAsia="宋体" w:hint="default"/>
                            <w:sz w:val="18"/>
                            <w:szCs w:val="18"/>
                          </w:rPr>
                          <w:t>、与管理层及其聘请的外部评估机构讨论商誉减值 测试过程中所使用的方法、关键评估的假设、参数 的选择、预测未来收入及现金流折现率等的合理性 </w:t>
                        </w:r>
                        <w:r>
                          <w:rPr>
                            <w:rFonts w:ascii="Times New Roman" w:hAnsi="Times New Roman" w:cs="Times New Roman" w:eastAsia="Times New Roman" w:hint="default"/>
                            <w:sz w:val="18"/>
                            <w:szCs w:val="18"/>
                          </w:rPr>
                          <w:t>5</w:t>
                        </w:r>
                        <w:r>
                          <w:rPr>
                            <w:rFonts w:ascii="宋体" w:hAnsi="宋体" w:cs="宋体" w:eastAsia="宋体" w:hint="default"/>
                            <w:sz w:val="18"/>
                            <w:szCs w:val="18"/>
                          </w:rPr>
                          <w:t>、评估管理层减值测试中所采用关键假设及判断的 合理性，验证商誉减值测试模型的计算准确性； </w:t>
                        </w:r>
                        <w:r>
                          <w:rPr>
                            <w:rFonts w:ascii="Times New Roman" w:hAnsi="Times New Roman" w:cs="Times New Roman" w:eastAsia="Times New Roman" w:hint="default"/>
                            <w:sz w:val="18"/>
                            <w:szCs w:val="18"/>
                          </w:rPr>
                          <w:t>6</w:t>
                        </w:r>
                        <w:r>
                          <w:rPr>
                            <w:rFonts w:ascii="宋体" w:hAnsi="宋体" w:cs="宋体" w:eastAsia="宋体" w:hint="default"/>
                            <w:sz w:val="18"/>
                            <w:szCs w:val="18"/>
                          </w:rPr>
                          <w:t>、评估管理层对于</w:t>
                        </w: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12</w:t>
                        </w:r>
                        <w:r>
                          <w:rPr>
                            <w:rFonts w:ascii="宋体" w:hAnsi="宋体" w:cs="宋体" w:eastAsia="宋体" w:hint="default"/>
                            <w:sz w:val="18"/>
                            <w:szCs w:val="18"/>
                          </w:rPr>
                          <w:t>月</w:t>
                        </w:r>
                        <w:r>
                          <w:rPr>
                            <w:rFonts w:ascii="Times New Roman" w:hAnsi="Times New Roman" w:cs="Times New Roman" w:eastAsia="Times New Roman" w:hint="default"/>
                            <w:sz w:val="18"/>
                            <w:szCs w:val="18"/>
                          </w:rPr>
                          <w:t>31</w:t>
                        </w:r>
                        <w:r>
                          <w:rPr>
                            <w:rFonts w:ascii="宋体" w:hAnsi="宋体" w:cs="宋体" w:eastAsia="宋体" w:hint="default"/>
                            <w:sz w:val="18"/>
                            <w:szCs w:val="18"/>
                          </w:rPr>
                          <w:t>日对商誉及减值评 估结果的财务报表披露是否恰当。</w:t>
                        </w:r>
                      </w:p>
                    </w:tc>
                  </w:tr>
                </w:tbl>
                <w:p>
                  <w:pPr/>
                </w:p>
              </w:txbxContent>
            </v:textbox>
            <w10:wrap type="none"/>
          </v:shape>
        </w:pict>
      </w:r>
      <w:r>
        <w:rPr>
          <w:rFonts w:ascii="宋体" w:hAnsi="宋体" w:cs="宋体" w:eastAsia="宋体" w:hint="default"/>
          <w:sz w:val="18"/>
          <w:szCs w:val="18"/>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7"/>
          <w:szCs w:val="27"/>
        </w:rPr>
      </w:pPr>
    </w:p>
    <w:p>
      <w:pPr>
        <w:pStyle w:val="Heading3"/>
        <w:spacing w:line="357" w:lineRule="auto" w:before="26"/>
        <w:ind w:left="580" w:right="1206"/>
        <w:jc w:val="left"/>
      </w:pPr>
      <w:r>
        <w:rPr>
          <w:rFonts w:ascii="宋体" w:hAnsi="宋体" w:cs="宋体" w:eastAsia="宋体" w:hint="default"/>
          <w:b/>
          <w:bCs/>
        </w:rPr>
        <w:t>四、其他信息</w:t>
      </w:r>
      <w:r>
        <w:rPr>
          <w:rFonts w:ascii="宋体" w:hAnsi="宋体" w:cs="宋体" w:eastAsia="宋体" w:hint="default"/>
          <w:b/>
          <w:bCs/>
          <w:w w:val="99"/>
        </w:rPr>
        <w:t> </w:t>
      </w:r>
      <w:r>
        <w:rPr/>
        <w:t>新开普管理层（以下简称管理层）对其他信息负责。其他信息包括新开普</w:t>
      </w:r>
      <w:r>
        <w:rPr>
          <w:rFonts w:ascii="Times New Roman" w:hAnsi="Times New Roman" w:cs="Times New Roman" w:eastAsia="Times New Roman" w:hint="default"/>
        </w:rPr>
        <w:t>2018</w:t>
      </w:r>
      <w:r>
        <w:rPr/>
        <w:t>年年度报</w:t>
      </w:r>
    </w:p>
    <w:p>
      <w:pPr>
        <w:pStyle w:val="Heading3"/>
        <w:spacing w:line="357" w:lineRule="auto" w:before="5"/>
        <w:ind w:left="580" w:right="1206" w:hanging="426"/>
        <w:jc w:val="left"/>
      </w:pPr>
      <w:r>
        <w:rPr/>
        <w:t>告中涵盖的信息，但不包括财务报表和我们的审计报告。 我们对财务报表发表的审计意见不涵盖其他信息，我们也不对其他信息发表任何形式的</w:t>
      </w:r>
    </w:p>
    <w:p>
      <w:pPr>
        <w:pStyle w:val="Heading3"/>
        <w:spacing w:line="240" w:lineRule="auto"/>
        <w:ind w:right="1117"/>
        <w:jc w:val="left"/>
      </w:pPr>
      <w:r>
        <w:rPr/>
        <w:t>鉴证结论。</w:t>
      </w:r>
    </w:p>
    <w:p>
      <w:pPr>
        <w:pStyle w:val="Heading3"/>
        <w:spacing w:line="357" w:lineRule="auto" w:before="154"/>
        <w:ind w:right="1170" w:firstLine="426"/>
        <w:jc w:val="right"/>
      </w:pPr>
      <w:r>
        <w:rPr/>
        <w:t>结合我们对财务报表的审计，我们的责任是阅读其他信息，在此过程中，考虑其他信息 是否与财务报表或我们在审计过程中了解到的情况存在重大不一致或者似乎存在重大错报。 基于我们已执行的工作，如果我们确定其他信息存在重大错报，我们应当报告该事实。</w:t>
      </w:r>
    </w:p>
    <w:p>
      <w:pPr>
        <w:pStyle w:val="Heading3"/>
        <w:spacing w:line="240" w:lineRule="auto"/>
        <w:ind w:right="1117"/>
        <w:jc w:val="left"/>
      </w:pPr>
      <w:r>
        <w:rPr/>
        <w:t>在这方面，我们无任何事项需要报告。</w:t>
      </w:r>
    </w:p>
    <w:p>
      <w:pPr>
        <w:spacing w:after="0" w:line="240" w:lineRule="auto"/>
        <w:jc w:val="left"/>
        <w:sectPr>
          <w:pgSz w:w="11910" w:h="16840"/>
          <w:pgMar w:header="877" w:footer="979" w:top="1060" w:bottom="1160" w:left="980" w:right="0"/>
        </w:sectPr>
      </w:pPr>
    </w:p>
    <w:p>
      <w:pPr>
        <w:spacing w:line="240" w:lineRule="auto" w:before="7"/>
        <w:rPr>
          <w:rFonts w:ascii="宋体" w:hAnsi="宋体" w:cs="宋体" w:eastAsia="宋体" w:hint="default"/>
          <w:sz w:val="29"/>
          <w:szCs w:val="29"/>
        </w:rPr>
      </w:pPr>
    </w:p>
    <w:p>
      <w:pPr>
        <w:spacing w:line="357" w:lineRule="auto" w:before="26"/>
        <w:ind w:left="580" w:right="1206" w:firstLine="0"/>
        <w:jc w:val="left"/>
        <w:rPr>
          <w:rFonts w:ascii="宋体" w:hAnsi="宋体" w:cs="宋体" w:eastAsia="宋体" w:hint="default"/>
          <w:sz w:val="24"/>
          <w:szCs w:val="24"/>
        </w:rPr>
      </w:pPr>
      <w:r>
        <w:rPr>
          <w:rFonts w:ascii="宋体" w:hAnsi="宋体" w:cs="宋体" w:eastAsia="宋体" w:hint="default"/>
          <w:b/>
          <w:bCs/>
          <w:sz w:val="24"/>
          <w:szCs w:val="24"/>
        </w:rPr>
        <w:t>五、管理层和治理层对财务报表的责任</w:t>
      </w:r>
      <w:r>
        <w:rPr>
          <w:rFonts w:ascii="宋体" w:hAnsi="宋体" w:cs="宋体" w:eastAsia="宋体" w:hint="default"/>
          <w:b/>
          <w:bCs/>
          <w:w w:val="99"/>
          <w:sz w:val="24"/>
          <w:szCs w:val="24"/>
        </w:rPr>
        <w:t> </w:t>
      </w:r>
      <w:r>
        <w:rPr>
          <w:rFonts w:ascii="宋体" w:hAnsi="宋体" w:cs="宋体" w:eastAsia="宋体" w:hint="default"/>
          <w:sz w:val="24"/>
          <w:szCs w:val="24"/>
        </w:rPr>
        <w:t>管理层负责按照企业会计准则的规定编制财务报表，使其实现公允反映，并设计、执行</w:t>
      </w:r>
    </w:p>
    <w:p>
      <w:pPr>
        <w:pStyle w:val="Heading3"/>
        <w:spacing w:line="357" w:lineRule="auto"/>
        <w:ind w:left="580" w:right="1206" w:hanging="426"/>
        <w:jc w:val="left"/>
      </w:pPr>
      <w:r>
        <w:rPr/>
        <w:t>和维护必要的内部控制，以使财务报表不存在由于舞弊或错误导致的重大错报。 在编制财务报表时，管理层负责评估新开普的持续经营能力，披露与持续经营相关的事</w:t>
      </w:r>
    </w:p>
    <w:p>
      <w:pPr>
        <w:pStyle w:val="Heading3"/>
        <w:spacing w:line="357" w:lineRule="auto"/>
        <w:ind w:left="580" w:right="1117" w:hanging="426"/>
        <w:jc w:val="left"/>
      </w:pPr>
      <w:r>
        <w:rPr>
          <w:spacing w:val="-5"/>
        </w:rPr>
        <w:t>项（如适用），并运用持续经营假设，除非计划进行清算、终止运营或别无其他现实的选择。</w:t>
      </w:r>
      <w:r>
        <w:rPr/>
        <w:t> 治理层负责监督新开普的财务报告过程。</w:t>
      </w:r>
    </w:p>
    <w:p>
      <w:pPr>
        <w:spacing w:line="357" w:lineRule="auto" w:before="36"/>
        <w:ind w:left="580" w:right="0" w:firstLine="0"/>
        <w:jc w:val="left"/>
        <w:rPr>
          <w:rFonts w:ascii="宋体" w:hAnsi="宋体" w:cs="宋体" w:eastAsia="宋体" w:hint="default"/>
          <w:sz w:val="24"/>
          <w:szCs w:val="24"/>
        </w:rPr>
      </w:pPr>
      <w:r>
        <w:rPr>
          <w:rFonts w:ascii="宋体" w:hAnsi="宋体" w:cs="宋体" w:eastAsia="宋体" w:hint="default"/>
          <w:b/>
          <w:bCs/>
          <w:sz w:val="24"/>
          <w:szCs w:val="24"/>
        </w:rPr>
        <w:t>六、注册会计师对财务报表审计的责任</w:t>
      </w:r>
      <w:r>
        <w:rPr>
          <w:rFonts w:ascii="宋体" w:hAnsi="宋体" w:cs="宋体" w:eastAsia="宋体" w:hint="default"/>
          <w:b/>
          <w:bCs/>
          <w:w w:val="99"/>
          <w:sz w:val="24"/>
          <w:szCs w:val="24"/>
        </w:rPr>
        <w:t> </w:t>
      </w:r>
      <w:r>
        <w:rPr>
          <w:rFonts w:ascii="宋体" w:hAnsi="宋体" w:cs="宋体" w:eastAsia="宋体" w:hint="default"/>
          <w:sz w:val="24"/>
          <w:szCs w:val="24"/>
        </w:rPr>
        <w:t>我们的目标是对财务报表整体是否不存在由于舞弊或错误导致的重大错报获取合理保证，</w:t>
      </w:r>
    </w:p>
    <w:p>
      <w:pPr>
        <w:pStyle w:val="Heading3"/>
        <w:spacing w:line="357" w:lineRule="auto"/>
        <w:ind w:right="1170"/>
        <w:jc w:val="both"/>
      </w:pPr>
      <w:r>
        <w:rPr/>
        <w:t>并出具包含审计意见的审计报告。合理保证是高水平的保证，但并不能保证按照审计准则执 行的审计在某一重大错报存在时总能发现。错报可能由于舞弊或错误导致，如果合理预期错 报单独或汇总起来可能影响财务报表使用者依据财务报表作出的经济决策，则通常认为错报 是重大的。</w:t>
      </w:r>
    </w:p>
    <w:p>
      <w:pPr>
        <w:pStyle w:val="Heading3"/>
        <w:spacing w:line="357" w:lineRule="auto"/>
        <w:ind w:right="1224" w:firstLine="426"/>
        <w:jc w:val="both"/>
      </w:pPr>
      <w:r>
        <w:rPr/>
        <w:t>在按照审计准则执行审计工作的过程中，我们运用职业判断，并保持职业怀疑。同时， 我们也执行以下工作：</w:t>
      </w:r>
    </w:p>
    <w:p>
      <w:pPr>
        <w:pStyle w:val="Heading3"/>
        <w:spacing w:line="350" w:lineRule="auto"/>
        <w:ind w:right="1132" w:firstLine="426"/>
        <w:jc w:val="both"/>
      </w:pPr>
      <w:r>
        <w:rPr>
          <w:spacing w:val="-1"/>
        </w:rPr>
        <w:t>（</w:t>
      </w:r>
      <w:r>
        <w:rPr>
          <w:rFonts w:ascii="Times New Roman" w:hAnsi="Times New Roman" w:cs="Times New Roman" w:eastAsia="Times New Roman" w:hint="default"/>
          <w:spacing w:val="-1"/>
        </w:rPr>
        <w:t>1</w:t>
      </w:r>
      <w:r>
        <w:rPr>
          <w:spacing w:val="-1"/>
        </w:rPr>
        <w:t>）识别和评估由于舞弊或错误导致的财务报表重大错报风险，设计和实施审计程序以</w:t>
      </w:r>
      <w:r>
        <w:rPr/>
        <w:t> 应对这些风险，并获取充分、适当的审计证据，作为发表审计意见的基础。由于舞弊可能涉 及串通、伪造、故意遗漏、虚假陈述或凌驾于内部控制之上，未能发现由于舞弊导致的重大 错报的风险高于未能发现由于错误导致的重大错报的风险。</w:t>
      </w:r>
    </w:p>
    <w:p>
      <w:pPr>
        <w:pStyle w:val="Heading3"/>
        <w:spacing w:line="338" w:lineRule="auto" w:before="43"/>
        <w:ind w:right="1132" w:firstLine="426"/>
        <w:jc w:val="both"/>
      </w:pPr>
      <w:r>
        <w:rPr>
          <w:spacing w:val="-1"/>
        </w:rPr>
        <w:t>（</w:t>
      </w:r>
      <w:r>
        <w:rPr>
          <w:rFonts w:ascii="Times New Roman" w:hAnsi="Times New Roman" w:cs="Times New Roman" w:eastAsia="Times New Roman" w:hint="default"/>
          <w:spacing w:val="-1"/>
        </w:rPr>
        <w:t>2</w:t>
      </w:r>
      <w:r>
        <w:rPr>
          <w:spacing w:val="-1"/>
        </w:rPr>
        <w:t>）了解与审计相关的内部控制，以设计恰当的审计程序，但目的并非对内部控制的有</w:t>
      </w:r>
      <w:r>
        <w:rPr/>
        <w:t> 效性发表意见。</w:t>
      </w:r>
    </w:p>
    <w:p>
      <w:pPr>
        <w:pStyle w:val="Heading3"/>
        <w:spacing w:line="240" w:lineRule="auto" w:before="55"/>
        <w:ind w:left="580" w:right="1117"/>
        <w:jc w:val="left"/>
      </w:pPr>
      <w:r>
        <w:rPr/>
        <w:t>（</w:t>
      </w:r>
      <w:r>
        <w:rPr>
          <w:rFonts w:ascii="Times New Roman" w:hAnsi="Times New Roman" w:cs="Times New Roman" w:eastAsia="Times New Roman" w:hint="default"/>
        </w:rPr>
        <w:t>3</w:t>
      </w:r>
      <w:r>
        <w:rPr/>
        <w:t>）评价管理层选用会计政策的恰当性和作出会计估计及相关披露的合理性。</w:t>
      </w:r>
    </w:p>
    <w:p>
      <w:pPr>
        <w:pStyle w:val="Heading3"/>
        <w:spacing w:line="352" w:lineRule="auto" w:before="135"/>
        <w:ind w:right="1132" w:firstLine="426"/>
        <w:jc w:val="both"/>
      </w:pPr>
      <w:r>
        <w:rPr>
          <w:spacing w:val="-1"/>
        </w:rPr>
        <w:t>（</w:t>
      </w:r>
      <w:r>
        <w:rPr>
          <w:rFonts w:ascii="Times New Roman" w:hAnsi="Times New Roman" w:cs="Times New Roman" w:eastAsia="Times New Roman" w:hint="default"/>
          <w:spacing w:val="-1"/>
        </w:rPr>
        <w:t>4</w:t>
      </w:r>
      <w:r>
        <w:rPr>
          <w:spacing w:val="-1"/>
        </w:rPr>
        <w:t>）对管理层使用持续经营假设的恰当性得出结论。同时，根据获取的审计证据，就可</w:t>
      </w:r>
      <w:r>
        <w:rPr/>
        <w:t> 能导致对新开普持续经营能力产生重大疑虑的事项或情况是否存在重大不确定性得出结论。 如果我们得出结论认为存在重大不确定性，审计准则要求我们在审计报告中提请报表使用者 注意财务报表中的相关披露；如果披露不充分，我们应当发表非无保留意见。我们的结论基 于截至审计报告日可获得的信息。然而，未来的事项或情况可能导致新开普不能持续经营。</w:t>
      </w:r>
    </w:p>
    <w:p>
      <w:pPr>
        <w:pStyle w:val="Heading3"/>
        <w:spacing w:line="338" w:lineRule="auto" w:before="41"/>
        <w:ind w:right="1133" w:firstLine="426"/>
        <w:jc w:val="both"/>
      </w:pPr>
      <w:r>
        <w:rPr>
          <w:spacing w:val="-1"/>
        </w:rPr>
        <w:t>（</w:t>
      </w:r>
      <w:r>
        <w:rPr>
          <w:rFonts w:ascii="Times New Roman" w:hAnsi="Times New Roman" w:cs="Times New Roman" w:eastAsia="Times New Roman" w:hint="default"/>
          <w:spacing w:val="-1"/>
        </w:rPr>
        <w:t>5</w:t>
      </w:r>
      <w:r>
        <w:rPr>
          <w:spacing w:val="-1"/>
        </w:rPr>
        <w:t>）评价财务报表的总体列报、结构和内容（包括披露），并评价财务报表是否公允反</w:t>
      </w:r>
      <w:r>
        <w:rPr/>
        <w:t> 映相关交易和事项。</w:t>
      </w:r>
    </w:p>
    <w:p>
      <w:pPr>
        <w:pStyle w:val="Heading3"/>
        <w:spacing w:line="240" w:lineRule="auto" w:before="55"/>
        <w:ind w:left="580" w:right="0"/>
        <w:jc w:val="left"/>
      </w:pPr>
      <w:r>
        <w:rPr/>
        <w:t>（</w:t>
      </w:r>
      <w:r>
        <w:rPr>
          <w:rFonts w:ascii="Times New Roman" w:hAnsi="Times New Roman" w:cs="Times New Roman" w:eastAsia="Times New Roman" w:hint="default"/>
        </w:rPr>
        <w:t>6</w:t>
      </w:r>
      <w:r>
        <w:rPr/>
        <w:t>）就新开普中实体或业务活动的财务信息获取充分、适当的审计证据，以对财务报表</w:t>
      </w:r>
    </w:p>
    <w:p>
      <w:pPr>
        <w:spacing w:after="0" w:line="240" w:lineRule="auto"/>
        <w:jc w:val="left"/>
        <w:sectPr>
          <w:pgSz w:w="11910" w:h="16840"/>
          <w:pgMar w:header="877" w:footer="979" w:top="1060" w:bottom="1160" w:left="980" w:right="0"/>
        </w:sectPr>
      </w:pPr>
    </w:p>
    <w:p>
      <w:pPr>
        <w:spacing w:line="240" w:lineRule="auto" w:before="7"/>
        <w:rPr>
          <w:rFonts w:ascii="宋体" w:hAnsi="宋体" w:cs="宋体" w:eastAsia="宋体" w:hint="default"/>
          <w:sz w:val="29"/>
          <w:szCs w:val="29"/>
        </w:rPr>
      </w:pPr>
    </w:p>
    <w:p>
      <w:pPr>
        <w:pStyle w:val="Heading3"/>
        <w:spacing w:line="357" w:lineRule="auto" w:before="26"/>
        <w:ind w:left="580" w:right="1206" w:hanging="426"/>
        <w:jc w:val="left"/>
      </w:pPr>
      <w:r>
        <w:rPr/>
        <w:t>发表审计意见。我们负责指导、监督和执行集团审计，并对审计意见承担全部责任。 我们与治理层就计划的审计范围、时间安排和重大审计发现等事项进行沟通，包括沟通</w:t>
      </w:r>
    </w:p>
    <w:p>
      <w:pPr>
        <w:pStyle w:val="Heading3"/>
        <w:spacing w:line="357" w:lineRule="auto"/>
        <w:ind w:left="580" w:right="1206" w:hanging="426"/>
        <w:jc w:val="left"/>
      </w:pPr>
      <w:r>
        <w:rPr/>
        <w:t>我们在审计中识别出的值得关注的内部控制缺陷。 我们还就已遵守与独立性相关的职业道德要求向治理层提供声明，并与治理层沟通可能</w:t>
      </w:r>
    </w:p>
    <w:p>
      <w:pPr>
        <w:pStyle w:val="Heading3"/>
        <w:spacing w:line="357" w:lineRule="auto"/>
        <w:ind w:left="580" w:right="1206" w:hanging="426"/>
        <w:jc w:val="left"/>
      </w:pPr>
      <w:r>
        <w:rPr/>
        <w:t>被合理认为影响我们独立性的所有关系和其他事项，以及相关的防范措施（如适用）。 从与治理层沟通过的事项中，我们确定哪些事项对本期财务报表审计最为重要，因而构</w:t>
      </w:r>
    </w:p>
    <w:p>
      <w:pPr>
        <w:pStyle w:val="Heading3"/>
        <w:spacing w:line="357" w:lineRule="auto"/>
        <w:ind w:right="1171"/>
        <w:jc w:val="both"/>
      </w:pPr>
      <w:r>
        <w:rPr/>
        <w:t>成关键审计事项。我们在审计报告中描述这些事项，除非法律法规禁止公开披露这些事项， 或在极少数情形下，如果合理预期在审计报告中沟通某事项造成的负面后果超过在公众利益 方面产生的益处，我们确定不应在审计报告中沟通该事项。</w:t>
      </w:r>
    </w:p>
    <w:p>
      <w:pPr>
        <w:spacing w:line="240" w:lineRule="auto" w:before="0"/>
        <w:rPr>
          <w:rFonts w:ascii="宋体" w:hAnsi="宋体" w:cs="宋体" w:eastAsia="宋体" w:hint="default"/>
          <w:sz w:val="24"/>
          <w:szCs w:val="24"/>
        </w:rPr>
      </w:pPr>
    </w:p>
    <w:p>
      <w:pPr>
        <w:pStyle w:val="Heading2"/>
        <w:tabs>
          <w:tab w:pos="3056" w:val="left" w:leader="none"/>
        </w:tabs>
        <w:spacing w:line="240" w:lineRule="auto" w:before="190"/>
        <w:ind w:left="0" w:right="4298"/>
        <w:jc w:val="center"/>
        <w:rPr>
          <w:b w:val="0"/>
          <w:bCs w:val="0"/>
        </w:rPr>
      </w:pPr>
      <w:r>
        <w:rPr>
          <w:w w:val="95"/>
        </w:rPr>
        <w:t>立信会计师事务所</w:t>
        <w:tab/>
      </w:r>
      <w:r>
        <w:rPr/>
        <w:t>中国注册会计师：王娜</w:t>
      </w:r>
      <w:r>
        <w:rPr>
          <w:b w:val="0"/>
          <w:bCs w:val="0"/>
        </w:rPr>
      </w:r>
    </w:p>
    <w:p>
      <w:pPr>
        <w:pStyle w:val="Heading2"/>
        <w:tabs>
          <w:tab w:pos="3562" w:val="left" w:leader="none"/>
        </w:tabs>
        <w:spacing w:line="715" w:lineRule="auto" w:before="154"/>
        <w:ind w:left="3705" w:right="4810" w:hanging="3277"/>
        <w:jc w:val="left"/>
        <w:rPr>
          <w:b w:val="0"/>
          <w:bCs w:val="0"/>
        </w:rPr>
      </w:pPr>
      <w:r>
        <w:rPr>
          <w:w w:val="95"/>
        </w:rPr>
        <w:t>（特殊普通合伙）</w:t>
        <w:tab/>
      </w:r>
      <w:r>
        <w:rPr/>
        <w:t>（项目合伙人）</w:t>
      </w:r>
      <w:r>
        <w:rPr>
          <w:w w:val="99"/>
        </w:rPr>
        <w:t> </w:t>
      </w:r>
      <w:r>
        <w:rPr/>
        <w:t>中国注册会计师：王幈</w:t>
      </w:r>
      <w:r>
        <w:rPr>
          <w:b w:val="0"/>
          <w:bCs w:val="0"/>
        </w:rPr>
      </w:r>
    </w:p>
    <w:p>
      <w:pPr>
        <w:pStyle w:val="Heading2"/>
        <w:tabs>
          <w:tab w:pos="2697" w:val="left" w:leader="none"/>
        </w:tabs>
        <w:spacing w:line="240" w:lineRule="auto" w:before="147"/>
        <w:ind w:left="0" w:right="4426"/>
        <w:jc w:val="center"/>
        <w:rPr>
          <w:b w:val="0"/>
          <w:bCs w:val="0"/>
        </w:rPr>
      </w:pPr>
      <w:r>
        <w:rPr>
          <w:w w:val="95"/>
        </w:rPr>
        <w:t>中国</w:t>
      </w:r>
      <w:r>
        <w:rPr>
          <w:rFonts w:ascii="Times New Roman" w:hAnsi="Times New Roman" w:cs="Times New Roman" w:eastAsia="Times New Roman" w:hint="default"/>
          <w:w w:val="95"/>
        </w:rPr>
        <w:t>•</w:t>
      </w:r>
      <w:r>
        <w:rPr>
          <w:w w:val="95"/>
        </w:rPr>
        <w:t>上海</w:t>
        <w:tab/>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3</w:t>
      </w:r>
      <w:r>
        <w:rPr/>
        <w:t>月</w:t>
      </w:r>
      <w:r>
        <w:rPr>
          <w:rFonts w:ascii="Times New Roman" w:hAnsi="Times New Roman" w:cs="Times New Roman" w:eastAsia="Times New Roman" w:hint="default"/>
        </w:rPr>
        <w:t>28</w:t>
      </w:r>
      <w:r>
        <w:rPr/>
        <w:t>日</w:t>
      </w:r>
      <w:r>
        <w:rPr>
          <w:b w:val="0"/>
          <w:bCs w:val="0"/>
        </w:rPr>
      </w:r>
    </w:p>
    <w:p>
      <w:pPr>
        <w:spacing w:after="0" w:line="240" w:lineRule="auto"/>
        <w:jc w:val="center"/>
        <w:sectPr>
          <w:pgSz w:w="11910" w:h="16840"/>
          <w:pgMar w:header="877" w:footer="979" w:top="1060" w:bottom="1160" w:left="980" w:right="0"/>
        </w:sectPr>
      </w:pPr>
    </w:p>
    <w:p>
      <w:pPr>
        <w:spacing w:line="240" w:lineRule="auto" w:before="12"/>
        <w:rPr>
          <w:rFonts w:ascii="宋体" w:hAnsi="宋体" w:cs="宋体" w:eastAsia="宋体" w:hint="default"/>
          <w:b/>
          <w:bCs/>
          <w:sz w:val="25"/>
          <w:szCs w:val="25"/>
        </w:rPr>
      </w:pPr>
    </w:p>
    <w:p>
      <w:pPr>
        <w:spacing w:line="360" w:lineRule="auto" w:before="44"/>
        <w:ind w:left="154" w:right="7872" w:firstLine="0"/>
        <w:jc w:val="left"/>
        <w:rPr>
          <w:rFonts w:ascii="宋体" w:hAnsi="宋体" w:cs="宋体" w:eastAsia="宋体" w:hint="default"/>
          <w:sz w:val="18"/>
          <w:szCs w:val="18"/>
        </w:rPr>
      </w:pPr>
      <w:r>
        <w:rPr>
          <w:rFonts w:ascii="宋体" w:hAnsi="宋体" w:cs="宋体" w:eastAsia="宋体" w:hint="default"/>
          <w:sz w:val="18"/>
          <w:szCs w:val="18"/>
        </w:rPr>
        <w:t>二、财务报表 财务附注中报表的单位为：人民币元</w:t>
      </w:r>
    </w:p>
    <w:p>
      <w:pPr>
        <w:spacing w:line="240" w:lineRule="auto" w:before="12"/>
        <w:rPr>
          <w:rFonts w:ascii="宋体" w:hAnsi="宋体" w:cs="宋体" w:eastAsia="宋体" w:hint="default"/>
          <w:sz w:val="19"/>
          <w:szCs w:val="19"/>
        </w:rPr>
      </w:pPr>
    </w:p>
    <w:p>
      <w:pPr>
        <w:pStyle w:val="Heading4"/>
        <w:spacing w:line="240" w:lineRule="auto"/>
        <w:ind w:right="1117"/>
        <w:jc w:val="left"/>
        <w:rPr>
          <w:b w:val="0"/>
          <w:bCs w:val="0"/>
        </w:rPr>
      </w:pPr>
      <w:bookmarkStart w:name="1、合并资产负债表" w:id="158"/>
      <w:bookmarkEnd w:id="158"/>
      <w:r>
        <w:rPr>
          <w:b w:val="0"/>
          <w:bCs w:val="0"/>
        </w:rPr>
      </w:r>
      <w:r>
        <w:rPr>
          <w:rFonts w:ascii="Times New Roman" w:hAnsi="Times New Roman" w:cs="Times New Roman" w:eastAsia="Times New Roman" w:hint="default"/>
        </w:rPr>
        <w:t>1</w:t>
      </w:r>
      <w:r>
        <w:rPr/>
        <w:t>、合并资产负债表</w:t>
      </w:r>
      <w:r>
        <w:rPr>
          <w:b w:val="0"/>
          <w:bCs w:val="0"/>
        </w:rPr>
      </w:r>
    </w:p>
    <w:p>
      <w:pPr>
        <w:spacing w:line="240" w:lineRule="auto" w:before="3"/>
        <w:rPr>
          <w:rFonts w:ascii="宋体" w:hAnsi="宋体" w:cs="宋体" w:eastAsia="宋体" w:hint="default"/>
          <w:b/>
          <w:bCs/>
          <w:sz w:val="23"/>
          <w:szCs w:val="23"/>
        </w:rPr>
      </w:pPr>
    </w:p>
    <w:p>
      <w:pPr>
        <w:spacing w:after="0" w:line="240" w:lineRule="auto"/>
        <w:rPr>
          <w:rFonts w:ascii="宋体" w:hAnsi="宋体" w:cs="宋体" w:eastAsia="宋体" w:hint="default"/>
          <w:sz w:val="23"/>
          <w:szCs w:val="23"/>
        </w:rPr>
        <w:sectPr>
          <w:pgSz w:w="11910" w:h="16840"/>
          <w:pgMar w:header="877" w:footer="979" w:top="1060" w:bottom="1160" w:left="980" w:right="0"/>
        </w:sectPr>
      </w:pPr>
    </w:p>
    <w:p>
      <w:pPr>
        <w:spacing w:before="44"/>
        <w:ind w:left="154" w:right="-20" w:firstLine="0"/>
        <w:jc w:val="left"/>
        <w:rPr>
          <w:rFonts w:ascii="宋体" w:hAnsi="宋体" w:cs="宋体" w:eastAsia="宋体" w:hint="default"/>
          <w:sz w:val="18"/>
          <w:szCs w:val="18"/>
        </w:rPr>
      </w:pPr>
      <w:r>
        <w:rPr>
          <w:rFonts w:ascii="宋体" w:hAnsi="宋体" w:cs="宋体" w:eastAsia="宋体" w:hint="default"/>
          <w:sz w:val="18"/>
          <w:szCs w:val="18"/>
        </w:rPr>
        <w:t>编制单位：新开普电子股份有限公司</w:t>
      </w:r>
    </w:p>
    <w:p>
      <w:pPr>
        <w:spacing w:line="240" w:lineRule="auto" w:before="0"/>
        <w:rPr>
          <w:rFonts w:ascii="宋体" w:hAnsi="宋体" w:cs="宋体" w:eastAsia="宋体" w:hint="default"/>
          <w:sz w:val="18"/>
          <w:szCs w:val="18"/>
        </w:rPr>
      </w:pPr>
      <w:r>
        <w:rPr/>
        <w:br w:type="column"/>
      </w:r>
      <w:r>
        <w:rPr>
          <w:rFonts w:ascii="宋体"/>
          <w:sz w:val="18"/>
        </w:rPr>
      </w:r>
    </w:p>
    <w:p>
      <w:pPr>
        <w:spacing w:before="161"/>
        <w:ind w:left="153" w:right="-1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3"/>
        <w:rPr>
          <w:rFonts w:ascii="宋体" w:hAnsi="宋体" w:cs="宋体" w:eastAsia="宋体" w:hint="default"/>
          <w:sz w:val="21"/>
          <w:szCs w:val="21"/>
        </w:rPr>
      </w:pPr>
    </w:p>
    <w:p>
      <w:pPr>
        <w:spacing w:before="0"/>
        <w:ind w:left="153" w:right="0" w:firstLine="0"/>
        <w:jc w:val="left"/>
        <w:rPr>
          <w:rFonts w:ascii="宋体" w:hAnsi="宋体" w:cs="宋体" w:eastAsia="宋体" w:hint="default"/>
          <w:sz w:val="18"/>
          <w:szCs w:val="18"/>
        </w:rPr>
      </w:pPr>
      <w:r>
        <w:rPr>
          <w:rFonts w:ascii="宋体" w:hAnsi="宋体" w:cs="宋体" w:eastAsia="宋体" w:hint="default"/>
          <w:sz w:val="18"/>
          <w:szCs w:val="18"/>
        </w:rPr>
        <w:t>单位：元</w:t>
      </w:r>
    </w:p>
    <w:p>
      <w:pPr>
        <w:spacing w:after="0"/>
        <w:jc w:val="left"/>
        <w:rPr>
          <w:rFonts w:ascii="宋体" w:hAnsi="宋体" w:cs="宋体" w:eastAsia="宋体" w:hint="default"/>
          <w:sz w:val="18"/>
          <w:szCs w:val="18"/>
        </w:rPr>
        <w:sectPr>
          <w:type w:val="continuous"/>
          <w:pgSz w:w="11910" w:h="16840"/>
          <w:pgMar w:top="1060" w:bottom="1160" w:left="980" w:right="0"/>
          <w:cols w:num="3" w:equalWidth="0">
            <w:col w:w="3035" w:space="1043"/>
            <w:col w:w="1639" w:space="3203"/>
            <w:col w:w="2010"/>
          </w:cols>
        </w:sectPr>
      </w:pP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171"/>
        <w:gridCol w:w="3418"/>
        <w:gridCol w:w="2968"/>
      </w:tblGrid>
      <w:tr>
        <w:trPr>
          <w:trHeight w:val="403"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341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391,588,341.93</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594,278,568.35</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结算备付金</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拆出资金</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1" w:right="88" w:firstLine="36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以公允价值计量且其变动计入当期 损益的金融资产</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衍生金融资产</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3,402,000.00</w:t>
            </w: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应收票据及应收账款</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418,176,051.07</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316,839,429.76</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51" w:right="0"/>
              <w:jc w:val="left"/>
              <w:rPr>
                <w:rFonts w:ascii="宋体" w:hAnsi="宋体" w:cs="宋体" w:eastAsia="宋体" w:hint="default"/>
                <w:sz w:val="18"/>
                <w:szCs w:val="18"/>
              </w:rPr>
            </w:pPr>
            <w:r>
              <w:rPr>
                <w:rFonts w:ascii="宋体" w:hAnsi="宋体" w:cs="宋体" w:eastAsia="宋体" w:hint="default"/>
                <w:sz w:val="18"/>
                <w:szCs w:val="18"/>
              </w:rPr>
              <w:t>其中：应收票据</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1,102,000.00</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615,610.00</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256"/>
              <w:jc w:val="center"/>
              <w:rPr>
                <w:rFonts w:ascii="宋体" w:hAnsi="宋体" w:cs="宋体" w:eastAsia="宋体" w:hint="default"/>
                <w:sz w:val="18"/>
                <w:szCs w:val="18"/>
              </w:rPr>
            </w:pPr>
            <w:r>
              <w:rPr>
                <w:rFonts w:ascii="宋体" w:hAnsi="宋体" w:cs="宋体" w:eastAsia="宋体" w:hint="default"/>
                <w:sz w:val="18"/>
                <w:szCs w:val="18"/>
              </w:rPr>
              <w:t>应收账款</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417,074,051.07</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316,223,819.76</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24,666,239.60</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20,641,971.52</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应收保费</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应收分保账款</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应收分保合同准备金</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62,538,708.35</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57,605,184.03</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51" w:right="0"/>
              <w:jc w:val="left"/>
              <w:rPr>
                <w:rFonts w:ascii="宋体" w:hAnsi="宋体" w:cs="宋体" w:eastAsia="宋体" w:hint="default"/>
                <w:sz w:val="18"/>
                <w:szCs w:val="18"/>
              </w:rPr>
            </w:pPr>
            <w:r>
              <w:rPr>
                <w:rFonts w:ascii="宋体" w:hAnsi="宋体" w:cs="宋体" w:eastAsia="宋体" w:hint="default"/>
                <w:sz w:val="18"/>
                <w:szCs w:val="18"/>
              </w:rPr>
              <w:t>其中：应收利息</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256"/>
              <w:jc w:val="center"/>
              <w:rPr>
                <w:rFonts w:ascii="宋体" w:hAnsi="宋体" w:cs="宋体" w:eastAsia="宋体" w:hint="default"/>
                <w:sz w:val="18"/>
                <w:szCs w:val="18"/>
              </w:rPr>
            </w:pPr>
            <w:r>
              <w:rPr>
                <w:rFonts w:ascii="宋体" w:hAnsi="宋体" w:cs="宋体" w:eastAsia="宋体" w:hint="default"/>
                <w:sz w:val="18"/>
                <w:szCs w:val="18"/>
              </w:rPr>
              <w:t>应收股利</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买入返售金融资产</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234,624,298.05</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199,798,094.17</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持有待售资产</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166,070,266.19</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60,085,841.15</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1,301,065,905.19</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1,249,249,088.98</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341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发放贷款和垫款</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18,060,000.00</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18,060,000.00</w:t>
            </w:r>
          </w:p>
        </w:tc>
      </w:tr>
      <w:tr>
        <w:trPr>
          <w:trHeight w:val="403"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bl>
    <w:p>
      <w:pPr>
        <w:spacing w:after="0"/>
        <w:sectPr>
          <w:type w:val="continuous"/>
          <w:pgSz w:w="11910" w:h="16840"/>
          <w:pgMar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3171"/>
        <w:gridCol w:w="3418"/>
        <w:gridCol w:w="2968"/>
      </w:tblGrid>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87,973,749.69</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60,752,766.40</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15,759,078.06</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16,492,066.84</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139,766,959.56</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147,322,185.56</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2,236,716.70</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1,783,603.93</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47,188,086.58</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55,214,461.24</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7,416,010.95</w:t>
            </w: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469,584,839.57</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469,584,839.57</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1,865,329.43</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3,774,552.65</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18,319,672.16</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15,858,974.52</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非流动资产合计</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808,170,442.70</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788,843,450.71</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2,109,236,347.89</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2,038,092,539.69</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341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178,000,000.00</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145,000,000.00</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向中央银行借款</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168"/>
              <w:jc w:val="right"/>
              <w:rPr>
                <w:rFonts w:ascii="宋体" w:hAnsi="宋体" w:cs="宋体" w:eastAsia="宋体" w:hint="default"/>
                <w:sz w:val="18"/>
                <w:szCs w:val="18"/>
              </w:rPr>
            </w:pPr>
            <w:r>
              <w:rPr>
                <w:rFonts w:ascii="宋体" w:hAnsi="宋体" w:cs="宋体" w:eastAsia="宋体" w:hint="default"/>
                <w:sz w:val="18"/>
                <w:szCs w:val="18"/>
              </w:rPr>
              <w:t>吸收存款及同业存放</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拆入资金</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88" w:firstLine="36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以公允价值计量且其变动计入当期 损益的金融负债</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衍生金融负债</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168"/>
              <w:jc w:val="right"/>
              <w:rPr>
                <w:rFonts w:ascii="宋体" w:hAnsi="宋体" w:cs="宋体" w:eastAsia="宋体" w:hint="default"/>
                <w:sz w:val="18"/>
                <w:szCs w:val="18"/>
              </w:rPr>
            </w:pPr>
            <w:r>
              <w:rPr>
                <w:rFonts w:ascii="宋体" w:hAnsi="宋体" w:cs="宋体" w:eastAsia="宋体" w:hint="default"/>
                <w:sz w:val="18"/>
                <w:szCs w:val="18"/>
              </w:rPr>
              <w:t>应付票据及应付账款</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215,579,345.42</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174,962,218.66</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95,169,282.10</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68,225,497.47</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168"/>
              <w:jc w:val="right"/>
              <w:rPr>
                <w:rFonts w:ascii="宋体" w:hAnsi="宋体" w:cs="宋体" w:eastAsia="宋体" w:hint="default"/>
                <w:sz w:val="18"/>
                <w:szCs w:val="18"/>
              </w:rPr>
            </w:pPr>
            <w:r>
              <w:rPr>
                <w:rFonts w:ascii="宋体" w:hAnsi="宋体" w:cs="宋体" w:eastAsia="宋体" w:hint="default"/>
                <w:sz w:val="18"/>
                <w:szCs w:val="18"/>
              </w:rPr>
              <w:t>卖出回购金融资产款</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应付手续费及佣金</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14,890,284.36</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12,055,978.80</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47,764,363.47</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41,934,169.18</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8,165,131.37</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81,307,698.57</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51" w:right="0"/>
              <w:jc w:val="left"/>
              <w:rPr>
                <w:rFonts w:ascii="宋体" w:hAnsi="宋体" w:cs="宋体" w:eastAsia="宋体" w:hint="default"/>
                <w:sz w:val="18"/>
                <w:szCs w:val="18"/>
              </w:rPr>
            </w:pPr>
            <w:r>
              <w:rPr>
                <w:rFonts w:ascii="宋体" w:hAnsi="宋体" w:cs="宋体" w:eastAsia="宋体" w:hint="default"/>
                <w:sz w:val="18"/>
                <w:szCs w:val="18"/>
              </w:rPr>
              <w:t>其中：应付利息</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56"/>
              <w:jc w:val="center"/>
              <w:rPr>
                <w:rFonts w:ascii="宋体" w:hAnsi="宋体" w:cs="宋体" w:eastAsia="宋体" w:hint="default"/>
                <w:sz w:val="18"/>
                <w:szCs w:val="18"/>
              </w:rPr>
            </w:pPr>
            <w:r>
              <w:rPr>
                <w:rFonts w:ascii="宋体" w:hAnsi="宋体" w:cs="宋体" w:eastAsia="宋体" w:hint="default"/>
                <w:sz w:val="18"/>
                <w:szCs w:val="18"/>
              </w:rPr>
              <w:t>应付股利</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317,324.70</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应付分保账款</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保险合同准备金</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7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3171"/>
        <w:gridCol w:w="3418"/>
        <w:gridCol w:w="2968"/>
      </w:tblGrid>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代理买卖证券款</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代理承销证券款</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持有待售负债</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25,278,400.00</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46,053,400.01</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584,846,806.72</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569,538,962.69</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341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43,871,500.00</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69,149,900.00</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51"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36"/>
              <w:jc w:val="center"/>
              <w:rPr>
                <w:rFonts w:ascii="宋体" w:hAnsi="宋体" w:cs="宋体" w:eastAsia="宋体" w:hint="default"/>
                <w:sz w:val="18"/>
                <w:szCs w:val="18"/>
              </w:rPr>
            </w:pPr>
            <w:r>
              <w:rPr>
                <w:rFonts w:ascii="宋体" w:hAnsi="宋体" w:cs="宋体" w:eastAsia="宋体" w:hint="default"/>
                <w:sz w:val="18"/>
                <w:szCs w:val="18"/>
              </w:rPr>
              <w:t>永续债</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长期应付职工薪酬</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17,452,833.33</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18,928,075.00</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非流动负债合计</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61,324,333.33</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88,077,975.00</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646,171,140.05</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657,616,937.69</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所有者权益：</w:t>
            </w:r>
          </w:p>
        </w:tc>
        <w:tc>
          <w:tcPr>
            <w:tcW w:w="341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481,092,495.00</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324,475,501.00</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51"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36"/>
              <w:jc w:val="center"/>
              <w:rPr>
                <w:rFonts w:ascii="宋体" w:hAnsi="宋体" w:cs="宋体" w:eastAsia="宋体" w:hint="default"/>
                <w:sz w:val="18"/>
                <w:szCs w:val="18"/>
              </w:rPr>
            </w:pPr>
            <w:r>
              <w:rPr>
                <w:rFonts w:ascii="宋体" w:hAnsi="宋体" w:cs="宋体" w:eastAsia="宋体" w:hint="default"/>
                <w:sz w:val="18"/>
                <w:szCs w:val="18"/>
              </w:rPr>
              <w:t>永续债</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479,950,978.98</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702,083,069.98</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69,528,553.80</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45,103,948.56</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39,527,567.18</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一般风险准备</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436,431,760.94</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365,046,574.10</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归属于母公司所有者权益合计</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1,442,579,183.48</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1,361,604,158.46</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20,486,024.36</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18,871,443.54</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1,463,065,207.84</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1,380,475,602.00</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3194"/>
        <w:gridCol w:w="3407"/>
        <w:gridCol w:w="2968"/>
      </w:tblGrid>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负债和所有者权益总计</w:t>
            </w:r>
          </w:p>
        </w:tc>
        <w:tc>
          <w:tcPr>
            <w:tcW w:w="3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114" w:right="0"/>
              <w:jc w:val="left"/>
              <w:rPr>
                <w:rFonts w:ascii="Times New Roman" w:hAnsi="Times New Roman" w:cs="Times New Roman" w:eastAsia="Times New Roman" w:hint="default"/>
                <w:sz w:val="18"/>
                <w:szCs w:val="18"/>
              </w:rPr>
            </w:pPr>
            <w:r>
              <w:rPr>
                <w:rFonts w:ascii="Times New Roman"/>
                <w:sz w:val="18"/>
              </w:rPr>
              <w:t>2,109,236,347.89</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675" w:right="0"/>
              <w:jc w:val="left"/>
              <w:rPr>
                <w:rFonts w:ascii="Times New Roman" w:hAnsi="Times New Roman" w:cs="Times New Roman" w:eastAsia="Times New Roman" w:hint="default"/>
                <w:sz w:val="18"/>
                <w:szCs w:val="18"/>
              </w:rPr>
            </w:pPr>
            <w:r>
              <w:rPr>
                <w:rFonts w:ascii="Times New Roman"/>
                <w:sz w:val="18"/>
              </w:rPr>
              <w:t>2,038,092,539.69</w:t>
            </w:r>
          </w:p>
        </w:tc>
      </w:tr>
    </w:tbl>
    <w:p>
      <w:pPr>
        <w:spacing w:line="240" w:lineRule="auto" w:before="3"/>
        <w:rPr>
          <w:rFonts w:ascii="Times New Roman" w:hAnsi="Times New Roman" w:cs="Times New Roman" w:eastAsia="Times New Roman" w:hint="default"/>
          <w:sz w:val="23"/>
          <w:szCs w:val="23"/>
        </w:rPr>
      </w:pPr>
    </w:p>
    <w:p>
      <w:pPr>
        <w:spacing w:before="44"/>
        <w:ind w:left="154" w:right="1117" w:firstLine="0"/>
        <w:jc w:val="left"/>
        <w:rPr>
          <w:rFonts w:ascii="宋体" w:hAnsi="宋体" w:cs="宋体" w:eastAsia="宋体" w:hint="default"/>
          <w:sz w:val="18"/>
          <w:szCs w:val="18"/>
        </w:rPr>
      </w:pPr>
      <w:r>
        <w:rPr>
          <w:rFonts w:ascii="宋体" w:hAnsi="宋体" w:cs="宋体" w:eastAsia="宋体" w:hint="default"/>
          <w:sz w:val="18"/>
          <w:szCs w:val="18"/>
        </w:rPr>
        <w:t>法定代表人：杨维国主管会计工作负责人：李玉玲会计机构负责人：张翀</w:t>
      </w:r>
    </w:p>
    <w:p>
      <w:pPr>
        <w:spacing w:line="240" w:lineRule="auto" w:before="11"/>
        <w:rPr>
          <w:rFonts w:ascii="宋体" w:hAnsi="宋体" w:cs="宋体" w:eastAsia="宋体" w:hint="default"/>
          <w:sz w:val="26"/>
          <w:szCs w:val="26"/>
        </w:rPr>
      </w:pPr>
    </w:p>
    <w:p>
      <w:pPr>
        <w:pStyle w:val="Heading4"/>
        <w:spacing w:line="240" w:lineRule="auto"/>
        <w:ind w:right="1117"/>
        <w:jc w:val="left"/>
        <w:rPr>
          <w:b w:val="0"/>
          <w:bCs w:val="0"/>
        </w:rPr>
      </w:pPr>
      <w:bookmarkStart w:name="2、母公司资产负债表" w:id="159"/>
      <w:bookmarkEnd w:id="159"/>
      <w:r>
        <w:rPr>
          <w:b w:val="0"/>
          <w:bCs w:val="0"/>
        </w:rPr>
      </w:r>
      <w:r>
        <w:rPr>
          <w:rFonts w:ascii="Times New Roman" w:hAnsi="Times New Roman" w:cs="Times New Roman" w:eastAsia="Times New Roman" w:hint="default"/>
        </w:rPr>
        <w:t>2</w:t>
      </w:r>
      <w:r>
        <w:rPr/>
        <w:t>、母公司资产负债表</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278"/>
        <w:gridCol w:w="3314"/>
        <w:gridCol w:w="2966"/>
      </w:tblGrid>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338,506,068.33</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528,656,517.20</w:t>
            </w:r>
          </w:p>
        </w:tc>
      </w:tr>
      <w:tr>
        <w:trPr>
          <w:trHeight w:val="714"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15" w:firstLine="36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以公允价值计量且其变动计入当期损 益的金融资产</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衍生金融资产</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3,402,000.00</w:t>
            </w: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应收票据及应收账款</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308,637,199.25</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220,767,485.62</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51" w:right="0"/>
              <w:jc w:val="left"/>
              <w:rPr>
                <w:rFonts w:ascii="宋体" w:hAnsi="宋体" w:cs="宋体" w:eastAsia="宋体" w:hint="default"/>
                <w:sz w:val="18"/>
                <w:szCs w:val="18"/>
              </w:rPr>
            </w:pPr>
            <w:r>
              <w:rPr>
                <w:rFonts w:ascii="宋体" w:hAnsi="宋体" w:cs="宋体" w:eastAsia="宋体" w:hint="default"/>
                <w:sz w:val="18"/>
                <w:szCs w:val="18"/>
              </w:rPr>
              <w:t>其中：应收票据</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202,000.00</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575,610.00</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364"/>
              <w:jc w:val="center"/>
              <w:rPr>
                <w:rFonts w:ascii="宋体" w:hAnsi="宋体" w:cs="宋体" w:eastAsia="宋体" w:hint="default"/>
                <w:sz w:val="18"/>
                <w:szCs w:val="18"/>
              </w:rPr>
            </w:pPr>
            <w:r>
              <w:rPr>
                <w:rFonts w:ascii="宋体" w:hAnsi="宋体" w:cs="宋体" w:eastAsia="宋体" w:hint="default"/>
                <w:sz w:val="18"/>
                <w:szCs w:val="18"/>
              </w:rPr>
              <w:t>应收账款</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308,435,199.25</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220,191,875.62</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15,328,657.92</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12,113,285.60</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30,093,637.60</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30,693,961.12</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51" w:right="0"/>
              <w:jc w:val="left"/>
              <w:rPr>
                <w:rFonts w:ascii="宋体" w:hAnsi="宋体" w:cs="宋体" w:eastAsia="宋体" w:hint="default"/>
                <w:sz w:val="18"/>
                <w:szCs w:val="18"/>
              </w:rPr>
            </w:pPr>
            <w:r>
              <w:rPr>
                <w:rFonts w:ascii="宋体" w:hAnsi="宋体" w:cs="宋体" w:eastAsia="宋体" w:hint="default"/>
                <w:sz w:val="18"/>
                <w:szCs w:val="18"/>
              </w:rPr>
              <w:t>其中：应收利息</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364"/>
              <w:jc w:val="center"/>
              <w:rPr>
                <w:rFonts w:ascii="宋体" w:hAnsi="宋体" w:cs="宋体" w:eastAsia="宋体" w:hint="default"/>
                <w:sz w:val="18"/>
                <w:szCs w:val="18"/>
              </w:rPr>
            </w:pPr>
            <w:r>
              <w:rPr>
                <w:rFonts w:ascii="宋体" w:hAnsi="宋体" w:cs="宋体" w:eastAsia="宋体" w:hint="default"/>
                <w:sz w:val="18"/>
                <w:szCs w:val="18"/>
              </w:rPr>
              <w:t>应收股利</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224,188,444.91</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185,298,064.53</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持有待售资产</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146,070,266.19</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60,084,791.50</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1,066,226,274.20</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1,037,614,105.57</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18,060,000.00</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18,060,000.00</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644,825,749.69</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619,602,766.40</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15,759,078.06</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16,492,066.84</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113,862,863.74</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120,582,279.48</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2,236,716.70</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1,783,603.93</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24,529,767.62</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28,900,147.50</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3278"/>
        <w:gridCol w:w="3314"/>
        <w:gridCol w:w="2966"/>
      </w:tblGrid>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4,373,754.04</w:t>
            </w: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1,865,329.43</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3,774,552.65</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12,503,236.74</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12,637,647.49</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非流动资产合计</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838,016,496.02</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821,833,064.29</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1,904,242,770.22</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1,859,447,169.86</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170,000,000.00</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145,000,000.00</w:t>
            </w:r>
          </w:p>
        </w:tc>
      </w:tr>
      <w:tr>
        <w:trPr>
          <w:trHeight w:val="714"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15" w:firstLine="36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以公允价值计量且其变动计入当期损 益的金融负债</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衍生金融负债</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应付票据及应付账款</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218,047,744.14</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148,426,180.53</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83,765,253.14</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54,186,647.90</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102,142.20</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65,775.70</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24,507,191.68</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20,770,194.85</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3,596,868.04</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79,872,388.58</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51" w:right="0"/>
              <w:jc w:val="left"/>
              <w:rPr>
                <w:rFonts w:ascii="宋体" w:hAnsi="宋体" w:cs="宋体" w:eastAsia="宋体" w:hint="default"/>
                <w:sz w:val="18"/>
                <w:szCs w:val="18"/>
              </w:rPr>
            </w:pPr>
            <w:r>
              <w:rPr>
                <w:rFonts w:ascii="宋体" w:hAnsi="宋体" w:cs="宋体" w:eastAsia="宋体" w:hint="default"/>
                <w:sz w:val="18"/>
                <w:szCs w:val="18"/>
              </w:rPr>
              <w:t>其中：应付利息</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364"/>
              <w:jc w:val="center"/>
              <w:rPr>
                <w:rFonts w:ascii="宋体" w:hAnsi="宋体" w:cs="宋体" w:eastAsia="宋体" w:hint="default"/>
                <w:sz w:val="18"/>
                <w:szCs w:val="18"/>
              </w:rPr>
            </w:pPr>
            <w:r>
              <w:rPr>
                <w:rFonts w:ascii="宋体" w:hAnsi="宋体" w:cs="宋体" w:eastAsia="宋体" w:hint="default"/>
                <w:sz w:val="18"/>
                <w:szCs w:val="18"/>
              </w:rPr>
              <w:t>应付股利</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317,324.70</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持有待售负债</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25,278,400.00</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46,053,400.01</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525,297,599.20</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494,374,587.57</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43,871,500.00</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69,149,900.00</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51"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544"/>
              <w:jc w:val="center"/>
              <w:rPr>
                <w:rFonts w:ascii="宋体" w:hAnsi="宋体" w:cs="宋体" w:eastAsia="宋体" w:hint="default"/>
                <w:sz w:val="18"/>
                <w:szCs w:val="18"/>
              </w:rPr>
            </w:pPr>
            <w:r>
              <w:rPr>
                <w:rFonts w:ascii="宋体" w:hAnsi="宋体" w:cs="宋体" w:eastAsia="宋体" w:hint="default"/>
                <w:sz w:val="18"/>
                <w:szCs w:val="18"/>
              </w:rPr>
              <w:t>永续债</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长期应付职工薪酬</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16,132,833.33</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17,608,075.00</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7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3278"/>
        <w:gridCol w:w="3314"/>
        <w:gridCol w:w="2966"/>
      </w:tblGrid>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非流动负债合计</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60,004,333.33</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86,757,975.00</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585,301,932.53</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581,132,562.57</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所有者权益：</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481,092,495.00</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324,475,501.00</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51"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544"/>
              <w:jc w:val="center"/>
              <w:rPr>
                <w:rFonts w:ascii="宋体" w:hAnsi="宋体" w:cs="宋体" w:eastAsia="宋体" w:hint="default"/>
                <w:sz w:val="18"/>
                <w:szCs w:val="18"/>
              </w:rPr>
            </w:pPr>
            <w:r>
              <w:rPr>
                <w:rFonts w:ascii="宋体" w:hAnsi="宋体" w:cs="宋体" w:eastAsia="宋体" w:hint="default"/>
                <w:sz w:val="18"/>
                <w:szCs w:val="18"/>
              </w:rPr>
              <w:t>永续债</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479,950,978.98</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702,083,069.98</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69,528,553.80</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45,103,948.56</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39,527,567.18</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312,793,415.15</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281,757,022.93</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1,318,940,837.69</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1,278,314,607.29</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负债和所有者权益总计</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1,904,242,770.22</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1,859,447,169.86</w:t>
            </w:r>
          </w:p>
        </w:tc>
      </w:tr>
    </w:tbl>
    <w:p>
      <w:pPr>
        <w:spacing w:line="240" w:lineRule="auto" w:before="10"/>
        <w:rPr>
          <w:rFonts w:ascii="Times New Roman" w:hAnsi="Times New Roman" w:cs="Times New Roman" w:eastAsia="Times New Roman" w:hint="default"/>
          <w:sz w:val="21"/>
          <w:szCs w:val="21"/>
        </w:rPr>
      </w:pPr>
    </w:p>
    <w:p>
      <w:pPr>
        <w:pStyle w:val="Heading4"/>
        <w:spacing w:line="240" w:lineRule="auto" w:before="35"/>
        <w:ind w:right="1117"/>
        <w:jc w:val="left"/>
        <w:rPr>
          <w:b w:val="0"/>
          <w:bCs w:val="0"/>
        </w:rPr>
      </w:pPr>
      <w:bookmarkStart w:name="3、合并利润表" w:id="160"/>
      <w:bookmarkEnd w:id="160"/>
      <w:r>
        <w:rPr>
          <w:b w:val="0"/>
          <w:bCs w:val="0"/>
        </w:rPr>
      </w:r>
      <w:r>
        <w:rPr>
          <w:rFonts w:ascii="Times New Roman" w:hAnsi="Times New Roman" w:cs="Times New Roman" w:eastAsia="Times New Roman" w:hint="default"/>
        </w:rPr>
        <w:t>3</w:t>
      </w:r>
      <w:r>
        <w:rPr/>
        <w:t>、合并利润表</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2945"/>
        <w:gridCol w:w="3312"/>
        <w:gridCol w:w="3300"/>
      </w:tblGrid>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3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一、营业总收入</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837,627,576.70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769,619,720.03</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其中：营业收入</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837,627,576.70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769,619,720.03</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利息收入</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已赚保费</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手续费及佣金收入</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二、营业总成本</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777,217,669.43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695,439,222.99</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其中：营业成本</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375,993,045.58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342,317,934.59</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利息支出</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手续费及佣金支出</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退保金</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赔付支出净额</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提取保险合同准备金净额</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保单红利支出</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分保费用</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税金及附加</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11,215,866.20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9,971,166.64</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2967"/>
        <w:gridCol w:w="3301"/>
        <w:gridCol w:w="3300"/>
      </w:tblGrid>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3"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209,201,909.55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179,838,096.56</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3"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63,684,221.57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66,580,902.49</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3" w:right="0"/>
              <w:jc w:val="left"/>
              <w:rPr>
                <w:rFonts w:ascii="宋体" w:hAnsi="宋体" w:cs="宋体" w:eastAsia="宋体" w:hint="default"/>
                <w:sz w:val="18"/>
                <w:szCs w:val="18"/>
              </w:rPr>
            </w:pPr>
            <w:r>
              <w:rPr>
                <w:rFonts w:ascii="宋体" w:hAnsi="宋体" w:cs="宋体" w:eastAsia="宋体" w:hint="default"/>
                <w:sz w:val="18"/>
                <w:szCs w:val="18"/>
              </w:rPr>
              <w:t>研发费用</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87,499,160.98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77,542,170.48</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3"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11,981,072.25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5,509,721.97</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03" w:right="0"/>
              <w:jc w:val="left"/>
              <w:rPr>
                <w:rFonts w:ascii="宋体" w:hAnsi="宋体" w:cs="宋体" w:eastAsia="宋体" w:hint="default"/>
                <w:sz w:val="18"/>
                <w:szCs w:val="18"/>
              </w:rPr>
            </w:pPr>
            <w:r>
              <w:rPr>
                <w:rFonts w:ascii="宋体" w:hAnsi="宋体" w:cs="宋体" w:eastAsia="宋体" w:hint="default"/>
                <w:sz w:val="18"/>
                <w:szCs w:val="18"/>
              </w:rPr>
              <w:t>其中：利息费用</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14,355,684.25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9,906,635.98</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643" w:right="0"/>
              <w:jc w:val="left"/>
              <w:rPr>
                <w:rFonts w:ascii="宋体" w:hAnsi="宋体" w:cs="宋体" w:eastAsia="宋体" w:hint="default"/>
                <w:sz w:val="18"/>
                <w:szCs w:val="18"/>
              </w:rPr>
            </w:pPr>
            <w:r>
              <w:rPr>
                <w:rFonts w:ascii="宋体" w:hAnsi="宋体" w:cs="宋体" w:eastAsia="宋体" w:hint="default"/>
                <w:sz w:val="18"/>
                <w:szCs w:val="18"/>
              </w:rPr>
              <w:t>利息收入</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2,610,946.83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4,564,134.34</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3"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17,642,393.30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13,679,230.26</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加：其他收益</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33,520,686.09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51,581,798.65</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3" w:right="0"/>
              <w:jc w:val="left"/>
              <w:rPr>
                <w:rFonts w:ascii="宋体" w:hAnsi="宋体" w:cs="宋体" w:eastAsia="宋体" w:hint="default"/>
                <w:sz w:val="18"/>
                <w:szCs w:val="18"/>
              </w:rPr>
            </w:pPr>
            <w:r>
              <w:rPr>
                <w:rFonts w:ascii="宋体" w:hAnsi="宋体" w:cs="宋体" w:eastAsia="宋体" w:hint="default"/>
                <w:sz w:val="18"/>
                <w:szCs w:val="18"/>
              </w:rPr>
              <w:t>投资收益（损失以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列）</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10,104,366.95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4,860,564.67</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52" w:firstLine="720"/>
              <w:jc w:val="left"/>
              <w:rPr>
                <w:rFonts w:ascii="宋体" w:hAnsi="宋体" w:cs="宋体" w:eastAsia="宋体" w:hint="default"/>
                <w:sz w:val="18"/>
                <w:szCs w:val="18"/>
              </w:rPr>
            </w:pPr>
            <w:r>
              <w:rPr>
                <w:rFonts w:ascii="宋体" w:hAnsi="宋体" w:cs="宋体" w:eastAsia="宋体" w:hint="default"/>
                <w:sz w:val="18"/>
                <w:szCs w:val="18"/>
              </w:rPr>
              <w:t>其中：对联营企业和合营企 业的投资收益</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2,748,983.29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-1,095,146.27</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3" w:right="0"/>
              <w:jc w:val="left"/>
              <w:rPr>
                <w:rFonts w:ascii="宋体" w:hAnsi="宋体" w:cs="宋体" w:eastAsia="宋体" w:hint="default"/>
                <w:sz w:val="18"/>
                <w:szCs w:val="18"/>
              </w:rPr>
            </w:pPr>
            <w:r>
              <w:rPr>
                <w:rFonts w:ascii="宋体" w:hAnsi="宋体" w:cs="宋体" w:eastAsia="宋体" w:hint="default"/>
                <w:sz w:val="18"/>
                <w:szCs w:val="18"/>
              </w:rPr>
              <w:t>公允价值变动收益（损失以</w:t>
            </w:r>
          </w:p>
          <w:p>
            <w:pPr>
              <w:pStyle w:val="TableParagraph"/>
              <w:spacing w:line="240" w:lineRule="auto" w:before="77"/>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3,402,000.00</w:t>
            </w: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3" w:right="0"/>
              <w:jc w:val="left"/>
              <w:rPr>
                <w:rFonts w:ascii="宋体" w:hAnsi="宋体" w:cs="宋体" w:eastAsia="宋体" w:hint="default"/>
                <w:sz w:val="18"/>
                <w:szCs w:val="18"/>
              </w:rPr>
            </w:pPr>
            <w:r>
              <w:rPr>
                <w:rFonts w:ascii="宋体" w:hAnsi="宋体" w:cs="宋体" w:eastAsia="宋体" w:hint="default"/>
                <w:sz w:val="18"/>
                <w:szCs w:val="18"/>
              </w:rPr>
              <w:t>汇兑收益（损失以</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列）</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3" w:right="0"/>
              <w:jc w:val="left"/>
              <w:rPr>
                <w:rFonts w:ascii="宋体" w:hAnsi="宋体" w:cs="宋体" w:eastAsia="宋体" w:hint="default"/>
                <w:sz w:val="18"/>
                <w:szCs w:val="18"/>
              </w:rPr>
            </w:pPr>
            <w:r>
              <w:rPr>
                <w:rFonts w:ascii="宋体" w:hAnsi="宋体" w:cs="宋体" w:eastAsia="宋体" w:hint="default"/>
                <w:sz w:val="18"/>
                <w:szCs w:val="18"/>
              </w:rPr>
              <w:t>资产处置收益（损失以</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填列）</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w w:val="95"/>
                <w:sz w:val="18"/>
              </w:rPr>
              <w:t>-225,825.93</w:t>
            </w:r>
            <w:r>
              <w:rPr>
                <w:rFonts w:ascii="Times New Roman"/>
                <w:sz w:val="18"/>
              </w:rPr>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5"/>
                <w:sz w:val="18"/>
              </w:rPr>
              <w:t>-106,446.49</w:t>
            </w:r>
            <w:r>
              <w:rPr>
                <w:rFonts w:ascii="Times New Roman"/>
                <w:sz w:val="18"/>
              </w:rPr>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三、营业利润（亏损以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107,211,134.38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130,516,413.87</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加：营业外收入</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3,119,849.54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2,824,972.43</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减：营业外支出</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1,013,307.56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45,686.35</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71"/>
              <w:jc w:val="left"/>
              <w:rPr>
                <w:rFonts w:ascii="宋体" w:hAnsi="宋体" w:cs="宋体" w:eastAsia="宋体" w:hint="default"/>
                <w:sz w:val="18"/>
                <w:szCs w:val="18"/>
              </w:rPr>
            </w:pPr>
            <w:r>
              <w:rPr>
                <w:rFonts w:ascii="宋体" w:hAnsi="宋体" w:cs="宋体" w:eastAsia="宋体" w:hint="default"/>
                <w:sz w:val="18"/>
                <w:szCs w:val="18"/>
              </w:rPr>
              <w:t>四、利润总额（亏损总额以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 列）</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109,317,676.36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133,295,699.95</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减：所得税费用</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2"/>
                <w:sz w:val="18"/>
              </w:rPr>
              <w:t>11,990,487.11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13,067,387.63</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五、净利润（净亏损以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97,327,189.25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120,228,312.32</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54" w:firstLine="360"/>
              <w:jc w:val="left"/>
              <w:rPr>
                <w:rFonts w:ascii="宋体" w:hAnsi="宋体" w:cs="宋体" w:eastAsia="宋体" w:hint="default"/>
                <w:sz w:val="18"/>
                <w:szCs w:val="18"/>
              </w:rPr>
            </w:pPr>
            <w:r>
              <w:rPr>
                <w:rFonts w:ascii="宋体" w:hAnsi="宋体" w:cs="宋体" w:eastAsia="宋体" w:hint="default"/>
                <w:sz w:val="18"/>
                <w:szCs w:val="18"/>
              </w:rPr>
              <w:t>（一）持续经营净利润（净亏损 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97,327,189.25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120,228,312.32</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54" w:firstLine="360"/>
              <w:jc w:val="left"/>
              <w:rPr>
                <w:rFonts w:ascii="宋体" w:hAnsi="宋体" w:cs="宋体" w:eastAsia="宋体" w:hint="default"/>
                <w:sz w:val="18"/>
                <w:szCs w:val="18"/>
              </w:rPr>
            </w:pPr>
            <w:r>
              <w:rPr>
                <w:rFonts w:ascii="宋体" w:hAnsi="宋体" w:cs="宋体" w:eastAsia="宋体" w:hint="default"/>
                <w:sz w:val="18"/>
                <w:szCs w:val="18"/>
              </w:rPr>
              <w:t>（二）终止经营净利润（净亏损 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归属于母公司所有者的净利润</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96,112,608.43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119,671,217.16</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少数股东损益</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1,214,580.82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557,095.16</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六、其他综合收益的税后净额</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54" w:firstLine="180"/>
              <w:jc w:val="left"/>
              <w:rPr>
                <w:rFonts w:ascii="宋体" w:hAnsi="宋体" w:cs="宋体" w:eastAsia="宋体" w:hint="default"/>
                <w:sz w:val="18"/>
                <w:szCs w:val="18"/>
              </w:rPr>
            </w:pPr>
            <w:r>
              <w:rPr>
                <w:rFonts w:ascii="宋体" w:hAnsi="宋体" w:cs="宋体" w:eastAsia="宋体" w:hint="default"/>
                <w:sz w:val="18"/>
                <w:szCs w:val="18"/>
              </w:rPr>
              <w:t>归属母公司所有者的其他综合收益 的税后净额</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54" w:firstLine="360"/>
              <w:jc w:val="left"/>
              <w:rPr>
                <w:rFonts w:ascii="宋体" w:hAnsi="宋体" w:cs="宋体" w:eastAsia="宋体" w:hint="default"/>
                <w:sz w:val="18"/>
                <w:szCs w:val="18"/>
              </w:rPr>
            </w:pPr>
            <w:r>
              <w:rPr>
                <w:rFonts w:ascii="宋体" w:hAnsi="宋体" w:cs="宋体" w:eastAsia="宋体" w:hint="default"/>
                <w:sz w:val="18"/>
                <w:szCs w:val="18"/>
              </w:rPr>
              <w:t>（一）不能重分类进损益的其他 综合收益</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7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2945"/>
        <w:gridCol w:w="3312"/>
        <w:gridCol w:w="3300"/>
      </w:tblGrid>
      <w:tr>
        <w:trPr>
          <w:trHeight w:val="71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重新计量设定受益计划</w:t>
            </w:r>
          </w:p>
          <w:p>
            <w:pPr>
              <w:pStyle w:val="TableParagraph"/>
              <w:spacing w:line="240" w:lineRule="auto" w:before="64"/>
              <w:ind w:left="11" w:right="0"/>
              <w:jc w:val="left"/>
              <w:rPr>
                <w:rFonts w:ascii="宋体" w:hAnsi="宋体" w:cs="宋体" w:eastAsia="宋体" w:hint="default"/>
                <w:sz w:val="18"/>
                <w:szCs w:val="18"/>
              </w:rPr>
            </w:pPr>
            <w:r>
              <w:rPr>
                <w:rFonts w:ascii="宋体" w:hAnsi="宋体" w:cs="宋体" w:eastAsia="宋体" w:hint="default"/>
                <w:sz w:val="18"/>
                <w:szCs w:val="18"/>
              </w:rPr>
              <w:t>变动额</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11" w:right="86"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权益法下不能转损益的 其他综合收益</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1" w:firstLine="360"/>
              <w:jc w:val="left"/>
              <w:rPr>
                <w:rFonts w:ascii="宋体" w:hAnsi="宋体" w:cs="宋体" w:eastAsia="宋体" w:hint="default"/>
                <w:sz w:val="18"/>
                <w:szCs w:val="18"/>
              </w:rPr>
            </w:pPr>
            <w:r>
              <w:rPr>
                <w:rFonts w:ascii="宋体" w:hAnsi="宋体" w:cs="宋体" w:eastAsia="宋体" w:hint="default"/>
                <w:sz w:val="18"/>
                <w:szCs w:val="18"/>
              </w:rPr>
              <w:t>（二）将重分类进损益的其他综 合收益</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权益法下可转损益的其</w:t>
            </w:r>
          </w:p>
          <w:p>
            <w:pPr>
              <w:pStyle w:val="TableParagraph"/>
              <w:spacing w:line="240" w:lineRule="auto" w:before="64"/>
              <w:ind w:left="11" w:right="0"/>
              <w:jc w:val="left"/>
              <w:rPr>
                <w:rFonts w:ascii="宋体" w:hAnsi="宋体" w:cs="宋体" w:eastAsia="宋体" w:hint="default"/>
                <w:sz w:val="18"/>
                <w:szCs w:val="18"/>
              </w:rPr>
            </w:pPr>
            <w:r>
              <w:rPr>
                <w:rFonts w:ascii="宋体" w:hAnsi="宋体" w:cs="宋体" w:eastAsia="宋体" w:hint="default"/>
                <w:sz w:val="18"/>
                <w:szCs w:val="18"/>
              </w:rPr>
              <w:t>他综合收益</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11" w:right="86"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可供出售金融资产公允 价值变动损益</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11" w:right="86"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持有至到期投资重分类 为可供出售金融资产损益</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现金流量套期损益的有</w:t>
            </w:r>
          </w:p>
          <w:p>
            <w:pPr>
              <w:pStyle w:val="TableParagraph"/>
              <w:spacing w:line="240" w:lineRule="auto" w:before="64"/>
              <w:ind w:left="11" w:right="0"/>
              <w:jc w:val="left"/>
              <w:rPr>
                <w:rFonts w:ascii="宋体" w:hAnsi="宋体" w:cs="宋体" w:eastAsia="宋体" w:hint="default"/>
                <w:sz w:val="18"/>
                <w:szCs w:val="18"/>
              </w:rPr>
            </w:pPr>
            <w:r>
              <w:rPr>
                <w:rFonts w:ascii="宋体" w:hAnsi="宋体" w:cs="宋体" w:eastAsia="宋体" w:hint="default"/>
                <w:sz w:val="18"/>
                <w:szCs w:val="18"/>
              </w:rPr>
              <w:t>效部分</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86"/>
              <w:jc w:val="right"/>
              <w:rPr>
                <w:rFonts w:ascii="宋体" w:hAnsi="宋体" w:cs="宋体" w:eastAsia="宋体" w:hint="default"/>
                <w:sz w:val="18"/>
                <w:szCs w:val="18"/>
              </w:rPr>
            </w:pPr>
            <w:r>
              <w:rPr>
                <w:rFonts w:ascii="Times New Roman" w:hAnsi="Times New Roman" w:cs="Times New Roman" w:eastAsia="Times New Roman" w:hint="default"/>
                <w:spacing w:val="-1"/>
                <w:sz w:val="18"/>
                <w:szCs w:val="18"/>
              </w:rPr>
              <w:t>5.</w:t>
            </w:r>
            <w:r>
              <w:rPr>
                <w:rFonts w:ascii="宋体" w:hAnsi="宋体" w:cs="宋体" w:eastAsia="宋体" w:hint="default"/>
                <w:spacing w:val="-1"/>
                <w:sz w:val="18"/>
                <w:szCs w:val="18"/>
              </w:rPr>
              <w:t>外币财务报表折算差额</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其他</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1" w:firstLine="180"/>
              <w:jc w:val="left"/>
              <w:rPr>
                <w:rFonts w:ascii="宋体" w:hAnsi="宋体" w:cs="宋体" w:eastAsia="宋体" w:hint="default"/>
                <w:sz w:val="18"/>
                <w:szCs w:val="18"/>
              </w:rPr>
            </w:pPr>
            <w:r>
              <w:rPr>
                <w:rFonts w:ascii="宋体" w:hAnsi="宋体" w:cs="宋体" w:eastAsia="宋体" w:hint="default"/>
                <w:sz w:val="18"/>
                <w:szCs w:val="18"/>
              </w:rPr>
              <w:t>归属于少数股东的其他综合收益的 税后净额</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七、综合收益总额</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97,327,189.25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120,228,312.32</w:t>
            </w:r>
          </w:p>
        </w:tc>
      </w:tr>
      <w:tr>
        <w:trPr>
          <w:trHeight w:val="71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1" w:firstLine="360"/>
              <w:jc w:val="left"/>
              <w:rPr>
                <w:rFonts w:ascii="宋体" w:hAnsi="宋体" w:cs="宋体" w:eastAsia="宋体" w:hint="default"/>
                <w:sz w:val="18"/>
                <w:szCs w:val="18"/>
              </w:rPr>
            </w:pPr>
            <w:r>
              <w:rPr>
                <w:rFonts w:ascii="宋体" w:hAnsi="宋体" w:cs="宋体" w:eastAsia="宋体" w:hint="default"/>
                <w:sz w:val="18"/>
                <w:szCs w:val="18"/>
              </w:rPr>
              <w:t>归属于母公司所有者的综合收益 总额</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96,112,608.43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119,671,217.16</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1"/>
              <w:jc w:val="right"/>
              <w:rPr>
                <w:rFonts w:ascii="宋体" w:hAnsi="宋体" w:cs="宋体" w:eastAsia="宋体" w:hint="default"/>
                <w:sz w:val="18"/>
                <w:szCs w:val="18"/>
              </w:rPr>
            </w:pPr>
            <w:r>
              <w:rPr>
                <w:rFonts w:ascii="宋体" w:hAnsi="宋体" w:cs="宋体" w:eastAsia="宋体" w:hint="default"/>
                <w:sz w:val="18"/>
                <w:szCs w:val="18"/>
              </w:rPr>
              <w:t>归属于少数股东的综合收益总额</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1,214,580.82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557,095.16</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八、每股收益：</w:t>
            </w:r>
          </w:p>
        </w:tc>
        <w:tc>
          <w:tcPr>
            <w:tcW w:w="331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（一）基本每股收益</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0.20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0.24</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（二）稀释每股收益</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0.20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0.24</w:t>
            </w:r>
          </w:p>
        </w:tc>
      </w:tr>
    </w:tbl>
    <w:p>
      <w:pPr>
        <w:spacing w:line="624" w:lineRule="auto" w:before="51"/>
        <w:ind w:left="154" w:right="1932" w:firstLine="0"/>
        <w:jc w:val="left"/>
        <w:rPr>
          <w:rFonts w:ascii="宋体" w:hAnsi="宋体" w:cs="宋体" w:eastAsia="宋体" w:hint="default"/>
          <w:sz w:val="18"/>
          <w:szCs w:val="18"/>
        </w:rPr>
      </w:pPr>
      <w:r>
        <w:rPr>
          <w:rFonts w:ascii="宋体" w:hAnsi="宋体" w:cs="宋体" w:eastAsia="宋体" w:hint="default"/>
          <w:sz w:val="18"/>
          <w:szCs w:val="18"/>
        </w:rPr>
        <w:t>本期发生同一控制下企业合并的，被合并方在合并前实现的净利润为：元，上期被合并方实现的净利润为：元。 法定代表人：杨维国主管会计工作负责人：李玉玲会计机构负责人：张翀</w:t>
      </w:r>
    </w:p>
    <w:p>
      <w:pPr>
        <w:pStyle w:val="Heading4"/>
        <w:spacing w:line="240" w:lineRule="auto" w:before="63"/>
        <w:ind w:right="1117"/>
        <w:jc w:val="left"/>
        <w:rPr>
          <w:b w:val="0"/>
          <w:bCs w:val="0"/>
        </w:rPr>
      </w:pPr>
      <w:bookmarkStart w:name="4、母公司利润表" w:id="161"/>
      <w:bookmarkEnd w:id="161"/>
      <w:r>
        <w:rPr>
          <w:b w:val="0"/>
          <w:bCs w:val="0"/>
        </w:rPr>
      </w:r>
      <w:r>
        <w:rPr>
          <w:rFonts w:ascii="Times New Roman" w:hAnsi="Times New Roman" w:cs="Times New Roman" w:eastAsia="Times New Roman" w:hint="default"/>
        </w:rPr>
        <w:t>4</w:t>
      </w:r>
      <w:r>
        <w:rPr/>
        <w:t>、母公司利润表</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2943"/>
        <w:gridCol w:w="3314"/>
        <w:gridCol w:w="3300"/>
      </w:tblGrid>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285"/>
              <w:jc w:val="right"/>
              <w:rPr>
                <w:rFonts w:ascii="宋体" w:hAnsi="宋体" w:cs="宋体" w:eastAsia="宋体" w:hint="default"/>
                <w:sz w:val="18"/>
                <w:szCs w:val="18"/>
              </w:rPr>
            </w:pPr>
            <w:r>
              <w:rPr>
                <w:rFonts w:ascii="宋体" w:hAnsi="宋体" w:cs="宋体" w:eastAsia="宋体" w:hint="default"/>
                <w:sz w:val="18"/>
                <w:szCs w:val="18"/>
              </w:rPr>
              <w:t>项目</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一、营业收入</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658,026,471.32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568,826,314.01</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减：营业成本</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337,478,106.04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272,945,926.73</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301"/>
              <w:jc w:val="right"/>
              <w:rPr>
                <w:rFonts w:ascii="宋体" w:hAnsi="宋体" w:cs="宋体" w:eastAsia="宋体" w:hint="default"/>
                <w:sz w:val="18"/>
                <w:szCs w:val="18"/>
              </w:rPr>
            </w:pPr>
            <w:r>
              <w:rPr>
                <w:rFonts w:ascii="宋体" w:hAnsi="宋体" w:cs="宋体" w:eastAsia="宋体" w:hint="default"/>
                <w:sz w:val="18"/>
                <w:szCs w:val="18"/>
              </w:rPr>
              <w:t>税金及附加</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7,906,741.48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6,987,929.79</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31"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191,653,653.90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155,737,916.25</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31"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32,291,718.88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40,406,384.21</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2967"/>
        <w:gridCol w:w="3302"/>
        <w:gridCol w:w="3300"/>
      </w:tblGrid>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3" w:right="0"/>
              <w:jc w:val="left"/>
              <w:rPr>
                <w:rFonts w:ascii="宋体" w:hAnsi="宋体" w:cs="宋体" w:eastAsia="宋体" w:hint="default"/>
                <w:sz w:val="18"/>
                <w:szCs w:val="18"/>
              </w:rPr>
            </w:pPr>
            <w:r>
              <w:rPr>
                <w:rFonts w:ascii="宋体" w:hAnsi="宋体" w:cs="宋体" w:eastAsia="宋体" w:hint="default"/>
                <w:sz w:val="18"/>
                <w:szCs w:val="18"/>
              </w:rPr>
              <w:t>研发费用</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39,414,393.89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36,717,608.93</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3"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11,757,672.93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5,442,117.32</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3" w:right="0"/>
              <w:jc w:val="left"/>
              <w:rPr>
                <w:rFonts w:ascii="宋体" w:hAnsi="宋体" w:cs="宋体" w:eastAsia="宋体" w:hint="default"/>
                <w:sz w:val="18"/>
                <w:szCs w:val="18"/>
              </w:rPr>
            </w:pPr>
            <w:r>
              <w:rPr>
                <w:rFonts w:ascii="宋体" w:hAnsi="宋体" w:cs="宋体" w:eastAsia="宋体" w:hint="default"/>
                <w:sz w:val="18"/>
                <w:szCs w:val="18"/>
              </w:rPr>
              <w:t>其中：利息费用</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14,097,284.91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9,770,110.89</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463" w:right="0"/>
              <w:jc w:val="left"/>
              <w:rPr>
                <w:rFonts w:ascii="宋体" w:hAnsi="宋体" w:cs="宋体" w:eastAsia="宋体" w:hint="default"/>
                <w:sz w:val="18"/>
                <w:szCs w:val="18"/>
              </w:rPr>
            </w:pPr>
            <w:r>
              <w:rPr>
                <w:rFonts w:ascii="宋体" w:hAnsi="宋体" w:cs="宋体" w:eastAsia="宋体" w:hint="default"/>
                <w:sz w:val="18"/>
                <w:szCs w:val="18"/>
              </w:rPr>
              <w:t>利息收入</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2,521,735.10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4,451,378.19</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3"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13,764,707.80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8,744,146.73</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加：其他收益</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25,230,716.02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46,529,944.31</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3" w:right="0"/>
              <w:jc w:val="left"/>
              <w:rPr>
                <w:rFonts w:ascii="宋体" w:hAnsi="宋体" w:cs="宋体" w:eastAsia="宋体" w:hint="default"/>
                <w:sz w:val="18"/>
                <w:szCs w:val="18"/>
              </w:rPr>
            </w:pPr>
            <w:r>
              <w:rPr>
                <w:rFonts w:ascii="宋体" w:hAnsi="宋体" w:cs="宋体" w:eastAsia="宋体" w:hint="default"/>
                <w:sz w:val="18"/>
                <w:szCs w:val="18"/>
              </w:rPr>
              <w:t>投资收益（损失以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列）</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8,034,509.04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14,686,913.00</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53" w:firstLine="720"/>
              <w:jc w:val="left"/>
              <w:rPr>
                <w:rFonts w:ascii="宋体" w:hAnsi="宋体" w:cs="宋体" w:eastAsia="宋体" w:hint="default"/>
                <w:sz w:val="18"/>
                <w:szCs w:val="18"/>
              </w:rPr>
            </w:pPr>
            <w:r>
              <w:rPr>
                <w:rFonts w:ascii="宋体" w:hAnsi="宋体" w:cs="宋体" w:eastAsia="宋体" w:hint="default"/>
                <w:sz w:val="18"/>
                <w:szCs w:val="18"/>
              </w:rPr>
              <w:t>其中：对联营企业和合营企 业的投资收益</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2,748,983.29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-1,095,146.27</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3" w:right="0"/>
              <w:jc w:val="left"/>
              <w:rPr>
                <w:rFonts w:ascii="宋体" w:hAnsi="宋体" w:cs="宋体" w:eastAsia="宋体" w:hint="default"/>
                <w:sz w:val="18"/>
                <w:szCs w:val="18"/>
              </w:rPr>
            </w:pPr>
            <w:r>
              <w:rPr>
                <w:rFonts w:ascii="宋体" w:hAnsi="宋体" w:cs="宋体" w:eastAsia="宋体" w:hint="default"/>
                <w:sz w:val="18"/>
                <w:szCs w:val="18"/>
              </w:rPr>
              <w:t>公允价值变动收益（损失以</w:t>
            </w:r>
          </w:p>
          <w:p>
            <w:pPr>
              <w:pStyle w:val="TableParagraph"/>
              <w:spacing w:line="240" w:lineRule="auto" w:before="77"/>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3,402,000.00</w:t>
            </w: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3" w:right="0"/>
              <w:jc w:val="left"/>
              <w:rPr>
                <w:rFonts w:ascii="宋体" w:hAnsi="宋体" w:cs="宋体" w:eastAsia="宋体" w:hint="default"/>
                <w:sz w:val="18"/>
                <w:szCs w:val="18"/>
              </w:rPr>
            </w:pPr>
            <w:r>
              <w:rPr>
                <w:rFonts w:ascii="宋体" w:hAnsi="宋体" w:cs="宋体" w:eastAsia="宋体" w:hint="default"/>
                <w:sz w:val="18"/>
                <w:szCs w:val="18"/>
              </w:rPr>
              <w:t>资产处置收益（损失以</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填列）</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w w:val="95"/>
                <w:sz w:val="18"/>
              </w:rPr>
              <w:t>-209,139.74</w:t>
            </w:r>
            <w:r>
              <w:rPr>
                <w:rFonts w:ascii="Times New Roman"/>
                <w:sz w:val="18"/>
              </w:rPr>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5"/>
                <w:sz w:val="18"/>
              </w:rPr>
              <w:t>-106,446.49</w:t>
            </w:r>
            <w:r>
              <w:rPr>
                <w:rFonts w:ascii="Times New Roman"/>
                <w:sz w:val="18"/>
              </w:rPr>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二、营业利润（亏损以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60,217,561.72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102,954,694.87</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加：营业外收入</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2,453,322.98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1,430,902.26</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减：营业外支出</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136,536.87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1,986.35</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71"/>
              <w:jc w:val="left"/>
              <w:rPr>
                <w:rFonts w:ascii="宋体" w:hAnsi="宋体" w:cs="宋体" w:eastAsia="宋体" w:hint="default"/>
                <w:sz w:val="18"/>
                <w:szCs w:val="18"/>
              </w:rPr>
            </w:pPr>
            <w:r>
              <w:rPr>
                <w:rFonts w:ascii="宋体" w:hAnsi="宋体" w:cs="宋体" w:eastAsia="宋体" w:hint="default"/>
                <w:sz w:val="18"/>
                <w:szCs w:val="18"/>
              </w:rPr>
              <w:t>三、利润总额（亏损总额以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 列）</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62,534,347.83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104,383,610.78</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减：所得税费用</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6,770,534.02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9,289,906.95</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四、净利润（净亏损以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55,763,813.81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95,093,703.83</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52" w:firstLine="360"/>
              <w:jc w:val="left"/>
              <w:rPr>
                <w:rFonts w:ascii="宋体" w:hAnsi="宋体" w:cs="宋体" w:eastAsia="宋体" w:hint="default"/>
                <w:sz w:val="18"/>
                <w:szCs w:val="18"/>
              </w:rPr>
            </w:pPr>
            <w:r>
              <w:rPr>
                <w:rFonts w:ascii="宋体" w:hAnsi="宋体" w:cs="宋体" w:eastAsia="宋体" w:hint="default"/>
                <w:sz w:val="18"/>
                <w:szCs w:val="18"/>
              </w:rPr>
              <w:t>（一）持续经营净利润（净亏损 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55,763,813.81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95,093,703.83</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52" w:firstLine="360"/>
              <w:jc w:val="left"/>
              <w:rPr>
                <w:rFonts w:ascii="宋体" w:hAnsi="宋体" w:cs="宋体" w:eastAsia="宋体" w:hint="default"/>
                <w:sz w:val="18"/>
                <w:szCs w:val="18"/>
              </w:rPr>
            </w:pPr>
            <w:r>
              <w:rPr>
                <w:rFonts w:ascii="宋体" w:hAnsi="宋体" w:cs="宋体" w:eastAsia="宋体" w:hint="default"/>
                <w:sz w:val="18"/>
                <w:szCs w:val="18"/>
              </w:rPr>
              <w:t>（二）终止经营净利润（净亏损 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五、其他综合收益的税后净额</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52" w:firstLine="360"/>
              <w:jc w:val="left"/>
              <w:rPr>
                <w:rFonts w:ascii="宋体" w:hAnsi="宋体" w:cs="宋体" w:eastAsia="宋体" w:hint="default"/>
                <w:sz w:val="18"/>
                <w:szCs w:val="18"/>
              </w:rPr>
            </w:pPr>
            <w:r>
              <w:rPr>
                <w:rFonts w:ascii="宋体" w:hAnsi="宋体" w:cs="宋体" w:eastAsia="宋体" w:hint="default"/>
                <w:sz w:val="18"/>
                <w:szCs w:val="18"/>
              </w:rPr>
              <w:t>（一）不能重分类进损益的其他 综合收益</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重新计量设定受益计划</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变动额</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97"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权益法下不能转损益的 其他综合收益</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52" w:firstLine="360"/>
              <w:jc w:val="left"/>
              <w:rPr>
                <w:rFonts w:ascii="宋体" w:hAnsi="宋体" w:cs="宋体" w:eastAsia="宋体" w:hint="default"/>
                <w:sz w:val="18"/>
                <w:szCs w:val="18"/>
              </w:rPr>
            </w:pPr>
            <w:r>
              <w:rPr>
                <w:rFonts w:ascii="宋体" w:hAnsi="宋体" w:cs="宋体" w:eastAsia="宋体" w:hint="default"/>
                <w:sz w:val="18"/>
                <w:szCs w:val="18"/>
              </w:rPr>
              <w:t>（二）将重分类进损益的其他综 合收益</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权益法下可转损益的其</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他综合收益</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left="9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可供出售金融资产公允</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7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2943"/>
        <w:gridCol w:w="3314"/>
        <w:gridCol w:w="3300"/>
      </w:tblGrid>
      <w:tr>
        <w:trPr>
          <w:trHeight w:val="36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1" w:right="0"/>
              <w:jc w:val="left"/>
              <w:rPr>
                <w:rFonts w:ascii="宋体" w:hAnsi="宋体" w:cs="宋体" w:eastAsia="宋体" w:hint="default"/>
                <w:sz w:val="18"/>
                <w:szCs w:val="18"/>
              </w:rPr>
            </w:pPr>
            <w:r>
              <w:rPr>
                <w:rFonts w:ascii="宋体" w:hAnsi="宋体" w:cs="宋体" w:eastAsia="宋体" w:hint="default"/>
                <w:sz w:val="18"/>
                <w:szCs w:val="18"/>
              </w:rPr>
              <w:t>价值变动损益</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11" w:right="85"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持有至到期投资重分类 为可供出售金融资产损益</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现金流量套期损益的有</w:t>
            </w:r>
          </w:p>
          <w:p>
            <w:pPr>
              <w:pStyle w:val="TableParagraph"/>
              <w:spacing w:line="240" w:lineRule="auto" w:before="63"/>
              <w:ind w:left="11" w:right="0"/>
              <w:jc w:val="left"/>
              <w:rPr>
                <w:rFonts w:ascii="宋体" w:hAnsi="宋体" w:cs="宋体" w:eastAsia="宋体" w:hint="default"/>
                <w:sz w:val="18"/>
                <w:szCs w:val="18"/>
              </w:rPr>
            </w:pPr>
            <w:r>
              <w:rPr>
                <w:rFonts w:ascii="宋体" w:hAnsi="宋体" w:cs="宋体" w:eastAsia="宋体" w:hint="default"/>
                <w:sz w:val="18"/>
                <w:szCs w:val="18"/>
              </w:rPr>
              <w:t>效部分</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外币财务报表折算差额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其他</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六、综合收益总额</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55,763,813.81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95,093,703.83</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七、每股收益：</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（一）基本每股收益</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（二）稀释每股收益</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10"/>
        <w:rPr>
          <w:rFonts w:ascii="Times New Roman" w:hAnsi="Times New Roman" w:cs="Times New Roman" w:eastAsia="Times New Roman" w:hint="default"/>
          <w:sz w:val="21"/>
          <w:szCs w:val="21"/>
        </w:rPr>
      </w:pPr>
    </w:p>
    <w:p>
      <w:pPr>
        <w:pStyle w:val="Heading4"/>
        <w:spacing w:line="240" w:lineRule="auto" w:before="35"/>
        <w:ind w:right="1117"/>
        <w:jc w:val="left"/>
        <w:rPr>
          <w:b w:val="0"/>
          <w:bCs w:val="0"/>
        </w:rPr>
      </w:pPr>
      <w:bookmarkStart w:name="5、合并现金流量表" w:id="162"/>
      <w:bookmarkEnd w:id="162"/>
      <w:r>
        <w:rPr>
          <w:b w:val="0"/>
          <w:bCs w:val="0"/>
        </w:rPr>
      </w:r>
      <w:r>
        <w:rPr>
          <w:rFonts w:ascii="Times New Roman" w:hAnsi="Times New Roman" w:cs="Times New Roman" w:eastAsia="Times New Roman" w:hint="default"/>
        </w:rPr>
        <w:t>5</w:t>
      </w:r>
      <w:r>
        <w:rPr/>
        <w:t>、合并现金流量表</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2943"/>
        <w:gridCol w:w="3314"/>
        <w:gridCol w:w="3300"/>
      </w:tblGrid>
      <w:tr>
        <w:trPr>
          <w:trHeight w:val="403"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1"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一、经营活动产生的现金流量：</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40"/>
              <w:jc w:val="right"/>
              <w:rPr>
                <w:rFonts w:ascii="宋体" w:hAnsi="宋体" w:cs="宋体" w:eastAsia="宋体" w:hint="default"/>
                <w:sz w:val="18"/>
                <w:szCs w:val="18"/>
              </w:rPr>
            </w:pPr>
            <w:r>
              <w:rPr>
                <w:rFonts w:ascii="宋体" w:hAnsi="宋体" w:cs="宋体" w:eastAsia="宋体" w:hint="default"/>
                <w:sz w:val="18"/>
                <w:szCs w:val="18"/>
              </w:rPr>
              <w:t>销售商品、提供劳务收到的现金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870,097,822.47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758,386,364.02</w:t>
            </w: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客户存款和同业存放款项净增加</w:t>
            </w:r>
          </w:p>
          <w:p>
            <w:pPr>
              <w:pStyle w:val="TableParagraph"/>
              <w:spacing w:line="240" w:lineRule="auto" w:before="77"/>
              <w:ind w:left="11" w:right="0"/>
              <w:jc w:val="left"/>
              <w:rPr>
                <w:rFonts w:ascii="宋体" w:hAnsi="宋体" w:cs="宋体" w:eastAsia="宋体" w:hint="default"/>
                <w:sz w:val="18"/>
                <w:szCs w:val="18"/>
              </w:rPr>
            </w:pPr>
            <w:r>
              <w:rPr>
                <w:rFonts w:ascii="宋体" w:hAnsi="宋体" w:cs="宋体" w:eastAsia="宋体" w:hint="default"/>
                <w:sz w:val="18"/>
                <w:szCs w:val="18"/>
              </w:rPr>
              <w:t>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向中央银行借款净增加额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向其他金融机构拆入资金净增加</w:t>
            </w:r>
          </w:p>
          <w:p>
            <w:pPr>
              <w:pStyle w:val="TableParagraph"/>
              <w:spacing w:line="240" w:lineRule="auto" w:before="76"/>
              <w:ind w:left="11" w:right="0"/>
              <w:jc w:val="left"/>
              <w:rPr>
                <w:rFonts w:ascii="宋体" w:hAnsi="宋体" w:cs="宋体" w:eastAsia="宋体" w:hint="default"/>
                <w:sz w:val="18"/>
                <w:szCs w:val="18"/>
              </w:rPr>
            </w:pPr>
            <w:r>
              <w:rPr>
                <w:rFonts w:ascii="宋体" w:hAnsi="宋体" w:cs="宋体" w:eastAsia="宋体" w:hint="default"/>
                <w:sz w:val="18"/>
                <w:szCs w:val="18"/>
              </w:rPr>
              <w:t>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40"/>
              <w:jc w:val="right"/>
              <w:rPr>
                <w:rFonts w:ascii="宋体" w:hAnsi="宋体" w:cs="宋体" w:eastAsia="宋体" w:hint="default"/>
                <w:sz w:val="18"/>
                <w:szCs w:val="18"/>
              </w:rPr>
            </w:pPr>
            <w:r>
              <w:rPr>
                <w:rFonts w:ascii="宋体" w:hAnsi="宋体" w:cs="宋体" w:eastAsia="宋体" w:hint="default"/>
                <w:sz w:val="18"/>
                <w:szCs w:val="18"/>
              </w:rPr>
              <w:t>收到原保险合同保费取得的现金</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收到再保险业务现金净额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保户储金及投资款净增加额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1" w:right="40" w:firstLine="360"/>
              <w:jc w:val="left"/>
              <w:rPr>
                <w:rFonts w:ascii="宋体" w:hAnsi="宋体" w:cs="宋体" w:eastAsia="宋体" w:hint="default"/>
                <w:sz w:val="18"/>
                <w:szCs w:val="18"/>
              </w:rPr>
            </w:pPr>
            <w:r>
              <w:rPr>
                <w:rFonts w:ascii="宋体" w:hAnsi="宋体" w:cs="宋体" w:eastAsia="宋体" w:hint="default"/>
                <w:sz w:val="18"/>
                <w:szCs w:val="18"/>
              </w:rPr>
              <w:t>处置以公允价值计量且其变动计 入当期损益的金融资产净增加额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40"/>
              <w:jc w:val="right"/>
              <w:rPr>
                <w:rFonts w:ascii="宋体" w:hAnsi="宋体" w:cs="宋体" w:eastAsia="宋体" w:hint="default"/>
                <w:sz w:val="18"/>
                <w:szCs w:val="18"/>
              </w:rPr>
            </w:pPr>
            <w:r>
              <w:rPr>
                <w:rFonts w:ascii="宋体" w:hAnsi="宋体" w:cs="宋体" w:eastAsia="宋体" w:hint="default"/>
                <w:sz w:val="18"/>
                <w:szCs w:val="18"/>
              </w:rPr>
              <w:t>收取利息、手续费及佣金的现金</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拆入资金净增加额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回购业务资金净增加额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收到的税费返还</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30,451,389.23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50,169,978.65</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40"/>
              <w:jc w:val="right"/>
              <w:rPr>
                <w:rFonts w:ascii="宋体" w:hAnsi="宋体" w:cs="宋体" w:eastAsia="宋体" w:hint="default"/>
                <w:sz w:val="18"/>
                <w:szCs w:val="18"/>
              </w:rPr>
            </w:pPr>
            <w:r>
              <w:rPr>
                <w:rFonts w:ascii="宋体" w:hAnsi="宋体" w:cs="宋体" w:eastAsia="宋体" w:hint="default"/>
                <w:sz w:val="18"/>
                <w:szCs w:val="18"/>
              </w:rPr>
              <w:t>收到其他与经营活动有关的现金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12,032,125.71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14,732,513.97</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912,581,337.41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823,288,856.64</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40"/>
              <w:jc w:val="right"/>
              <w:rPr>
                <w:rFonts w:ascii="宋体" w:hAnsi="宋体" w:cs="宋体" w:eastAsia="宋体" w:hint="default"/>
                <w:sz w:val="18"/>
                <w:szCs w:val="18"/>
              </w:rPr>
            </w:pPr>
            <w:r>
              <w:rPr>
                <w:rFonts w:ascii="宋体" w:hAnsi="宋体" w:cs="宋体" w:eastAsia="宋体" w:hint="default"/>
                <w:sz w:val="18"/>
                <w:szCs w:val="18"/>
              </w:rPr>
              <w:t>购买商品、接受劳务支付的现金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375,621,215.06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336,061,732.11</w:t>
            </w:r>
          </w:p>
        </w:tc>
      </w:tr>
      <w:tr>
        <w:trPr>
          <w:trHeight w:val="403"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客户贷款及垫款净增加额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7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2943"/>
        <w:gridCol w:w="3314"/>
        <w:gridCol w:w="3300"/>
      </w:tblGrid>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存放中央银行和同业款项净增加</w:t>
            </w:r>
          </w:p>
          <w:p>
            <w:pPr>
              <w:pStyle w:val="TableParagraph"/>
              <w:spacing w:line="240" w:lineRule="auto" w:before="77"/>
              <w:ind w:left="11" w:right="0"/>
              <w:jc w:val="left"/>
              <w:rPr>
                <w:rFonts w:ascii="宋体" w:hAnsi="宋体" w:cs="宋体" w:eastAsia="宋体" w:hint="default"/>
                <w:sz w:val="18"/>
                <w:szCs w:val="18"/>
              </w:rPr>
            </w:pPr>
            <w:r>
              <w:rPr>
                <w:rFonts w:ascii="宋体" w:hAnsi="宋体" w:cs="宋体" w:eastAsia="宋体" w:hint="default"/>
                <w:sz w:val="18"/>
                <w:szCs w:val="18"/>
              </w:rPr>
              <w:t>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支付原保险合同赔付款项的现金</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支付利息、手续费及佣金的现金</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支付保单红利的现金</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支付给职工以及为职工支付的现</w:t>
            </w:r>
          </w:p>
          <w:p>
            <w:pPr>
              <w:pStyle w:val="TableParagraph"/>
              <w:spacing w:line="240" w:lineRule="auto" w:before="77"/>
              <w:ind w:left="11"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239,891,853.61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205,915,759.99</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支付的各项税费</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92,810,053.46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87,947,992.56</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支付其他与经营活动有关的现金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173,811,750.76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127,951,886.42</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882,134,872.89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757,877,371.08</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30,446,464.52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65,411,485.56</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二、投资活动产生的现金流量：</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收回投资收到的现金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369,000,000.00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572,800,000.00</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取得投资收益收到的现金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7,355,383.66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5,955,710.95</w:t>
            </w: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0" w:firstLine="360"/>
              <w:jc w:val="left"/>
              <w:rPr>
                <w:rFonts w:ascii="宋体" w:hAnsi="宋体" w:cs="宋体" w:eastAsia="宋体" w:hint="default"/>
                <w:sz w:val="18"/>
                <w:szCs w:val="18"/>
              </w:rPr>
            </w:pPr>
            <w:r>
              <w:rPr>
                <w:rFonts w:ascii="宋体" w:hAnsi="宋体" w:cs="宋体" w:eastAsia="宋体" w:hint="default"/>
                <w:sz w:val="18"/>
                <w:szCs w:val="18"/>
              </w:rPr>
              <w:t>处置固定资产、无形资产和其他 长期资产收回的现金净额</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206,393.56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127,842.32</w:t>
            </w: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0" w:firstLine="360"/>
              <w:jc w:val="left"/>
              <w:rPr>
                <w:rFonts w:ascii="宋体" w:hAnsi="宋体" w:cs="宋体" w:eastAsia="宋体" w:hint="default"/>
                <w:sz w:val="18"/>
                <w:szCs w:val="18"/>
              </w:rPr>
            </w:pPr>
            <w:r>
              <w:rPr>
                <w:rFonts w:ascii="宋体" w:hAnsi="宋体" w:cs="宋体" w:eastAsia="宋体" w:hint="default"/>
                <w:sz w:val="18"/>
                <w:szCs w:val="18"/>
              </w:rPr>
              <w:t>处置子公司及其他营业单位收到 的现金净额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收到其他与投资活动有关的现金</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376,561,777.22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578,883,553.27</w:t>
            </w: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0" w:firstLine="360"/>
              <w:jc w:val="left"/>
              <w:rPr>
                <w:rFonts w:ascii="宋体" w:hAnsi="宋体" w:cs="宋体" w:eastAsia="宋体" w:hint="default"/>
                <w:sz w:val="18"/>
                <w:szCs w:val="18"/>
              </w:rPr>
            </w:pPr>
            <w:r>
              <w:rPr>
                <w:rFonts w:ascii="宋体" w:hAnsi="宋体" w:cs="宋体" w:eastAsia="宋体" w:hint="default"/>
                <w:sz w:val="18"/>
                <w:szCs w:val="18"/>
              </w:rPr>
              <w:t>购建固定资产、无形资产和其他 长期资产支付的现金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19,577,211.14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32,075,123.38</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投资支付的现金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499,472,000.00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638,515,548.00</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质押贷款净增加额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0" w:firstLine="360"/>
              <w:jc w:val="left"/>
              <w:rPr>
                <w:rFonts w:ascii="宋体" w:hAnsi="宋体" w:cs="宋体" w:eastAsia="宋体" w:hint="default"/>
                <w:sz w:val="18"/>
                <w:szCs w:val="18"/>
              </w:rPr>
            </w:pPr>
            <w:r>
              <w:rPr>
                <w:rFonts w:ascii="宋体" w:hAnsi="宋体" w:cs="宋体" w:eastAsia="宋体" w:hint="default"/>
                <w:sz w:val="18"/>
                <w:szCs w:val="18"/>
              </w:rPr>
              <w:t>取得子公司及其他营业单位支付 的现金净额</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8,000,000.00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65,700,000.00</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支付其他与投资活动有关的现金</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527,049,211.14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736,290,671.38</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投资活动产生的现金流量净额</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-150,487,433.92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2"/>
                <w:sz w:val="18"/>
              </w:rPr>
              <w:t>-157,407,118.11</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三、筹资活动产生的现金流量：</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吸收投资收到的现金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400,000.00</w:t>
            </w: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0" w:firstLine="360"/>
              <w:jc w:val="left"/>
              <w:rPr>
                <w:rFonts w:ascii="宋体" w:hAnsi="宋体" w:cs="宋体" w:eastAsia="宋体" w:hint="default"/>
                <w:sz w:val="18"/>
                <w:szCs w:val="18"/>
              </w:rPr>
            </w:pPr>
            <w:r>
              <w:rPr>
                <w:rFonts w:ascii="宋体" w:hAnsi="宋体" w:cs="宋体" w:eastAsia="宋体" w:hint="default"/>
                <w:sz w:val="18"/>
                <w:szCs w:val="18"/>
              </w:rPr>
              <w:t>其中：子公司吸收少数股东投资 收到的现金</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取得借款收到的现金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209,240,000.00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162,600,000.00</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发行债券收到的现金</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收到其他与筹资活动有关的现金</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7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2967"/>
        <w:gridCol w:w="3302"/>
        <w:gridCol w:w="3300"/>
      </w:tblGrid>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209,640,000.00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162,600,000.00</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偿还债务支付的现金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222,293,400.01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34,745,033.33</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52" w:firstLine="360"/>
              <w:jc w:val="left"/>
              <w:rPr>
                <w:rFonts w:ascii="宋体" w:hAnsi="宋体" w:cs="宋体" w:eastAsia="宋体" w:hint="default"/>
                <w:sz w:val="18"/>
                <w:szCs w:val="18"/>
              </w:rPr>
            </w:pPr>
            <w:r>
              <w:rPr>
                <w:rFonts w:ascii="宋体" w:hAnsi="宋体" w:cs="宋体" w:eastAsia="宋体" w:hint="default"/>
                <w:sz w:val="18"/>
                <w:szCs w:val="18"/>
              </w:rPr>
              <w:t>分配股利、利润或偿付利息支付 的现金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33,824,049.16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25,900,830.78</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52" w:firstLine="360"/>
              <w:jc w:val="left"/>
              <w:rPr>
                <w:rFonts w:ascii="宋体" w:hAnsi="宋体" w:cs="宋体" w:eastAsia="宋体" w:hint="default"/>
                <w:sz w:val="18"/>
                <w:szCs w:val="18"/>
              </w:rPr>
            </w:pPr>
            <w:r>
              <w:rPr>
                <w:rFonts w:ascii="宋体" w:hAnsi="宋体" w:cs="宋体" w:eastAsia="宋体" w:hint="default"/>
                <w:sz w:val="18"/>
                <w:szCs w:val="18"/>
              </w:rPr>
              <w:t>其中：子公司支付给少数股东的 股利、利润</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52"/>
              <w:jc w:val="right"/>
              <w:rPr>
                <w:rFonts w:ascii="宋体" w:hAnsi="宋体" w:cs="宋体" w:eastAsia="宋体" w:hint="default"/>
                <w:sz w:val="18"/>
                <w:szCs w:val="18"/>
              </w:rPr>
            </w:pPr>
            <w:r>
              <w:rPr>
                <w:rFonts w:ascii="宋体" w:hAnsi="宋体" w:cs="宋体" w:eastAsia="宋体" w:hint="default"/>
                <w:sz w:val="18"/>
                <w:szCs w:val="18"/>
              </w:rPr>
              <w:t>支付其他与筹资活动有关的现金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69,700,882.38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2,908,033.18</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325,818,331.55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63,553,897.29</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筹资活动产生的现金流量净额</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-116,178,331.55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99,046,102.71</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52"/>
              <w:jc w:val="left"/>
              <w:rPr>
                <w:rFonts w:ascii="宋体" w:hAnsi="宋体" w:cs="宋体" w:eastAsia="宋体" w:hint="default"/>
                <w:sz w:val="18"/>
                <w:szCs w:val="18"/>
              </w:rPr>
            </w:pPr>
            <w:r>
              <w:rPr>
                <w:rFonts w:ascii="宋体" w:hAnsi="宋体" w:cs="宋体" w:eastAsia="宋体" w:hint="default"/>
                <w:sz w:val="18"/>
                <w:szCs w:val="18"/>
              </w:rPr>
              <w:t>四、汇率变动对现金及现金等价物的 影响</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五、现金及现金等价物净增加额</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-236,219,300.95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7,050,470.16</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52"/>
              <w:jc w:val="right"/>
              <w:rPr>
                <w:rFonts w:ascii="宋体" w:hAnsi="宋体" w:cs="宋体" w:eastAsia="宋体" w:hint="default"/>
                <w:sz w:val="18"/>
                <w:szCs w:val="18"/>
              </w:rPr>
            </w:pPr>
            <w:r>
              <w:rPr>
                <w:rFonts w:ascii="宋体" w:hAnsi="宋体" w:cs="宋体" w:eastAsia="宋体" w:hint="default"/>
                <w:sz w:val="18"/>
                <w:szCs w:val="18"/>
              </w:rPr>
              <w:t>加：期初现金及现金等价物余额</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593,348,607.36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586,298,137.20</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六、期末现金及现金等价物余额</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357,129,306.41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593,348,607.36</w:t>
            </w:r>
          </w:p>
        </w:tc>
      </w:tr>
    </w:tbl>
    <w:p>
      <w:pPr>
        <w:spacing w:line="240" w:lineRule="auto" w:before="10"/>
        <w:rPr>
          <w:rFonts w:ascii="Times New Roman" w:hAnsi="Times New Roman" w:cs="Times New Roman" w:eastAsia="Times New Roman" w:hint="default"/>
          <w:sz w:val="21"/>
          <w:szCs w:val="21"/>
        </w:rPr>
      </w:pPr>
    </w:p>
    <w:p>
      <w:pPr>
        <w:pStyle w:val="Heading4"/>
        <w:spacing w:line="240" w:lineRule="auto" w:before="35"/>
        <w:ind w:right="1117"/>
        <w:jc w:val="left"/>
        <w:rPr>
          <w:b w:val="0"/>
          <w:bCs w:val="0"/>
        </w:rPr>
      </w:pPr>
      <w:bookmarkStart w:name="6、母公司现金流量表" w:id="163"/>
      <w:bookmarkEnd w:id="163"/>
      <w:r>
        <w:rPr>
          <w:b w:val="0"/>
          <w:bCs w:val="0"/>
        </w:rPr>
      </w:r>
      <w:r>
        <w:rPr>
          <w:rFonts w:ascii="Times New Roman" w:hAnsi="Times New Roman" w:cs="Times New Roman" w:eastAsia="Times New Roman" w:hint="default"/>
        </w:rPr>
        <w:t>6</w:t>
      </w:r>
      <w:r>
        <w:rPr/>
        <w:t>、母公司现金流量表</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2943"/>
        <w:gridCol w:w="3314"/>
        <w:gridCol w:w="3300"/>
      </w:tblGrid>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一、经营活动产生的现金流量：</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销售商品、提供劳务收到的现金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644,455,210.05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2"/>
                <w:sz w:val="18"/>
              </w:rPr>
              <w:t>535,702,117.11</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收到的税费返还</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23,519,391.64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45,118,124.31</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收到其他与经营活动有关的现金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9,811,467.69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11,913,290.00</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677,786,069.38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592,733,531.42</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购买商品、接受劳务支付的现金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294,118,827.77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234,406,852.96</w:t>
            </w: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支付给职工以及为职工支付的现</w:t>
            </w:r>
          </w:p>
          <w:p>
            <w:pPr>
              <w:pStyle w:val="TableParagraph"/>
              <w:spacing w:line="240" w:lineRule="auto" w:before="76"/>
              <w:ind w:left="11"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163,416,997.60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133,840,221.86</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支付的各项税费</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60,882,896.31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62,577,858.75</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支付其他与经营活动有关的现金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138,737,831.19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107,965,391.46</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657,156,552.87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538,790,325.03</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20,629,516.51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53,943,206.39</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二、投资活动产生的现金流量：</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收回投资收到的现金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369,000,000.00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527,800,000.00</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取得投资收益收到的现金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7,285,525.75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15,782,059.27</w:t>
            </w: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40" w:firstLine="360"/>
              <w:jc w:val="left"/>
              <w:rPr>
                <w:rFonts w:ascii="宋体" w:hAnsi="宋体" w:cs="宋体" w:eastAsia="宋体" w:hint="default"/>
                <w:sz w:val="18"/>
                <w:szCs w:val="18"/>
              </w:rPr>
            </w:pPr>
            <w:r>
              <w:rPr>
                <w:rFonts w:ascii="宋体" w:hAnsi="宋体" w:cs="宋体" w:eastAsia="宋体" w:hint="default"/>
                <w:sz w:val="18"/>
                <w:szCs w:val="18"/>
              </w:rPr>
              <w:t>处置固定资产、无形资产和其他 长期资产收回的现金净额</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206,081.80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10,717.32</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60" w:type="dxa"/>
        <w:tblLayout w:type="fixed"/>
        <w:tblCellMar>
          <w:top w:w="0" w:type="dxa"/>
          <w:left w:w="0" w:type="dxa"/>
          <w:bottom w:w="0" w:type="dxa"/>
          <w:right w:w="0" w:type="dxa"/>
        </w:tblCellMar>
        <w:tblLook w:val="01E0"/>
      </w:tblPr>
      <w:tblGrid>
        <w:gridCol w:w="2943"/>
        <w:gridCol w:w="3314"/>
        <w:gridCol w:w="3300"/>
      </w:tblGrid>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0" w:firstLine="360"/>
              <w:jc w:val="left"/>
              <w:rPr>
                <w:rFonts w:ascii="宋体" w:hAnsi="宋体" w:cs="宋体" w:eastAsia="宋体" w:hint="default"/>
                <w:sz w:val="18"/>
                <w:szCs w:val="18"/>
              </w:rPr>
            </w:pPr>
            <w:r>
              <w:rPr>
                <w:rFonts w:ascii="宋体" w:hAnsi="宋体" w:cs="宋体" w:eastAsia="宋体" w:hint="default"/>
                <w:sz w:val="18"/>
                <w:szCs w:val="18"/>
              </w:rPr>
              <w:t>处置子公司及其他营业单位收到 的现金净额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收到其他与投资活动有关的现金</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376,491,607.55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543,592,776.59</w:t>
            </w: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0" w:firstLine="360"/>
              <w:jc w:val="left"/>
              <w:rPr>
                <w:rFonts w:ascii="宋体" w:hAnsi="宋体" w:cs="宋体" w:eastAsia="宋体" w:hint="default"/>
                <w:sz w:val="18"/>
                <w:szCs w:val="18"/>
              </w:rPr>
            </w:pPr>
            <w:r>
              <w:rPr>
                <w:rFonts w:ascii="宋体" w:hAnsi="宋体" w:cs="宋体" w:eastAsia="宋体" w:hint="default"/>
                <w:sz w:val="18"/>
                <w:szCs w:val="18"/>
              </w:rPr>
              <w:t>购建固定资产、无形资产和其他 长期资产支付的现金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9,006,715.25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24,843,126.37</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投资支付的现金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479,474,000.00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613,515,548.00</w:t>
            </w: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0" w:firstLine="360"/>
              <w:jc w:val="left"/>
              <w:rPr>
                <w:rFonts w:ascii="宋体" w:hAnsi="宋体" w:cs="宋体" w:eastAsia="宋体" w:hint="default"/>
                <w:sz w:val="18"/>
                <w:szCs w:val="18"/>
              </w:rPr>
            </w:pPr>
            <w:r>
              <w:rPr>
                <w:rFonts w:ascii="宋体" w:hAnsi="宋体" w:cs="宋体" w:eastAsia="宋体" w:hint="default"/>
                <w:sz w:val="18"/>
                <w:szCs w:val="18"/>
              </w:rPr>
              <w:t>取得子公司及其他营业单位支付 的现金净额</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8,000,000.00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65,700,000.00</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支付其他与投资活动有关的现金</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496,480,715.25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704,058,674.37</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投资活动产生的现金流量净额</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-119,989,107.70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-160,465,897.78</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三、筹资活动产生的现金流量：</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吸收投资收到的现金</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取得借款收到的现金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200,000,000.00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162,350,000.00</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发行债券收到的现金</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收到其他与筹资活动有关的现金</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200,000,000.00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162,350,000.00</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偿还债务支付的现金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221,053,400.01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34,495,033.33</w:t>
            </w: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0" w:firstLine="360"/>
              <w:jc w:val="left"/>
              <w:rPr>
                <w:rFonts w:ascii="宋体" w:hAnsi="宋体" w:cs="宋体" w:eastAsia="宋体" w:hint="default"/>
                <w:sz w:val="18"/>
                <w:szCs w:val="18"/>
              </w:rPr>
            </w:pPr>
            <w:r>
              <w:rPr>
                <w:rFonts w:ascii="宋体" w:hAnsi="宋体" w:cs="宋体" w:eastAsia="宋体" w:hint="default"/>
                <w:sz w:val="18"/>
                <w:szCs w:val="18"/>
              </w:rPr>
              <w:t>分配股利、利润或偿付利息支付 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33,565,649.82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25,888,273.64</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支付其他与筹资活动有关的现金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69,700,882.38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2,908,033.18</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324,319,932.21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63,291,340.15</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筹资活动产生的现金流量净额</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-124,319,932.21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99,058,659.85</w:t>
            </w: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0"/>
              <w:jc w:val="left"/>
              <w:rPr>
                <w:rFonts w:ascii="宋体" w:hAnsi="宋体" w:cs="宋体" w:eastAsia="宋体" w:hint="default"/>
                <w:sz w:val="18"/>
                <w:szCs w:val="18"/>
              </w:rPr>
            </w:pPr>
            <w:r>
              <w:rPr>
                <w:rFonts w:ascii="宋体" w:hAnsi="宋体" w:cs="宋体" w:eastAsia="宋体" w:hint="default"/>
                <w:sz w:val="18"/>
                <w:szCs w:val="18"/>
              </w:rPr>
              <w:t>四、汇率变动对现金及现金等价物的 影响</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五、现金及现金等价物净增加额</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-223,679,523.40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-7,464,031.54</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加：期初现金及现金等价物余额</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527,728,517.20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535,192,548.74</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六、期末现金及现金等价物余额</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304,048,993.80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527,728,517.20</w:t>
            </w:r>
          </w:p>
        </w:tc>
      </w:tr>
    </w:tbl>
    <w:p>
      <w:pPr>
        <w:spacing w:line="240" w:lineRule="auto" w:before="2"/>
        <w:rPr>
          <w:rFonts w:ascii="宋体" w:hAnsi="宋体" w:cs="宋体" w:eastAsia="宋体" w:hint="default"/>
          <w:sz w:val="19"/>
          <w:szCs w:val="19"/>
        </w:rPr>
      </w:pPr>
    </w:p>
    <w:p>
      <w:pPr>
        <w:pStyle w:val="Heading4"/>
        <w:spacing w:line="240" w:lineRule="auto" w:before="35"/>
        <w:ind w:right="1117"/>
        <w:jc w:val="left"/>
        <w:rPr>
          <w:b w:val="0"/>
          <w:bCs w:val="0"/>
        </w:rPr>
      </w:pPr>
      <w:bookmarkStart w:name="7、合并所有者权益变动表" w:id="164"/>
      <w:bookmarkEnd w:id="164"/>
      <w:r>
        <w:rPr>
          <w:b w:val="0"/>
          <w:bCs w:val="0"/>
        </w:rPr>
      </w:r>
      <w:r>
        <w:rPr>
          <w:rFonts w:ascii="Times New Roman" w:hAnsi="Times New Roman" w:cs="Times New Roman" w:eastAsia="Times New Roman" w:hint="default"/>
        </w:rPr>
        <w:t>7</w:t>
      </w:r>
      <w:r>
        <w:rPr/>
        <w:t>、合并所有者权益变动表</w:t>
      </w:r>
      <w:r>
        <w:rPr>
          <w:b w:val="0"/>
          <w:bCs w:val="0"/>
        </w:rPr>
      </w:r>
    </w:p>
    <w:p>
      <w:pPr>
        <w:spacing w:line="240" w:lineRule="auto" w:before="3"/>
        <w:rPr>
          <w:rFonts w:ascii="宋体" w:hAnsi="宋体" w:cs="宋体" w:eastAsia="宋体" w:hint="default"/>
          <w:b/>
          <w:bCs/>
          <w:sz w:val="23"/>
          <w:szCs w:val="23"/>
        </w:rPr>
      </w:pPr>
    </w:p>
    <w:p>
      <w:pPr>
        <w:spacing w:before="44"/>
        <w:ind w:left="154" w:right="1117" w:firstLine="0"/>
        <w:jc w:val="left"/>
        <w:rPr>
          <w:rFonts w:ascii="宋体" w:hAnsi="宋体" w:cs="宋体" w:eastAsia="宋体" w:hint="default"/>
          <w:sz w:val="18"/>
          <w:szCs w:val="18"/>
        </w:rPr>
      </w:pPr>
      <w:r>
        <w:rPr>
          <w:rFonts w:ascii="宋体" w:hAnsi="宋体" w:cs="宋体" w:eastAsia="宋体" w:hint="default"/>
          <w:sz w:val="18"/>
          <w:szCs w:val="18"/>
        </w:rPr>
        <w:t>本期金额</w:t>
      </w:r>
    </w:p>
    <w:p>
      <w:pPr>
        <w:spacing w:before="117"/>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438"/>
        <w:gridCol w:w="6810"/>
        <w:gridCol w:w="665"/>
        <w:gridCol w:w="647"/>
      </w:tblGrid>
      <w:tr>
        <w:trPr>
          <w:trHeight w:val="402" w:hRule="exact"/>
        </w:trPr>
        <w:tc>
          <w:tcPr>
            <w:tcW w:w="143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8122"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center"/>
              <w:rPr>
                <w:rFonts w:ascii="宋体" w:hAnsi="宋体" w:cs="宋体" w:eastAsia="宋体" w:hint="default"/>
                <w:sz w:val="18"/>
                <w:szCs w:val="18"/>
              </w:rPr>
            </w:pPr>
            <w:r>
              <w:rPr>
                <w:rFonts w:ascii="宋体" w:hAnsi="宋体" w:cs="宋体" w:eastAsia="宋体" w:hint="default"/>
                <w:sz w:val="18"/>
                <w:szCs w:val="18"/>
              </w:rPr>
              <w:t>本期</w:t>
            </w:r>
          </w:p>
        </w:tc>
      </w:tr>
      <w:tr>
        <w:trPr>
          <w:trHeight w:val="402" w:hRule="exact"/>
        </w:trPr>
        <w:tc>
          <w:tcPr>
            <w:tcW w:w="1438" w:type="dxa"/>
            <w:vMerge/>
            <w:tcBorders>
              <w:left w:val="single" w:sz="4" w:space="0" w:color="000000"/>
              <w:bottom w:val="single" w:sz="4" w:space="0" w:color="000000"/>
              <w:right w:val="single" w:sz="4" w:space="0" w:color="000000"/>
            </w:tcBorders>
            <w:shd w:val="clear" w:color="auto" w:fill="D2D2D2"/>
          </w:tcPr>
          <w:p>
            <w:pPr/>
          </w:p>
        </w:tc>
        <w:tc>
          <w:tcPr>
            <w:tcW w:w="68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归属于母公司所有者权益</w:t>
            </w:r>
          </w:p>
        </w:tc>
        <w:tc>
          <w:tcPr>
            <w:tcW w:w="6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left="56" w:right="0"/>
              <w:jc w:val="left"/>
              <w:rPr>
                <w:rFonts w:ascii="宋体" w:hAnsi="宋体" w:cs="宋体" w:eastAsia="宋体" w:hint="default"/>
                <w:sz w:val="18"/>
                <w:szCs w:val="18"/>
              </w:rPr>
            </w:pPr>
            <w:r>
              <w:rPr>
                <w:rFonts w:ascii="宋体" w:hAnsi="宋体" w:cs="宋体" w:eastAsia="宋体" w:hint="default"/>
                <w:sz w:val="18"/>
                <w:szCs w:val="18"/>
              </w:rPr>
              <w:t>少数股</w:t>
            </w:r>
          </w:p>
        </w:tc>
        <w:tc>
          <w:tcPr>
            <w:tcW w:w="64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left="53" w:right="0"/>
              <w:jc w:val="left"/>
              <w:rPr>
                <w:rFonts w:ascii="宋体" w:hAnsi="宋体" w:cs="宋体" w:eastAsia="宋体" w:hint="default"/>
                <w:sz w:val="18"/>
                <w:szCs w:val="18"/>
              </w:rPr>
            </w:pPr>
            <w:r>
              <w:rPr>
                <w:rFonts w:ascii="宋体" w:hAnsi="宋体" w:cs="宋体" w:eastAsia="宋体" w:hint="default"/>
                <w:sz w:val="18"/>
                <w:szCs w:val="18"/>
              </w:rPr>
              <w:t>所有者</w:t>
            </w:r>
          </w:p>
        </w:tc>
      </w:tr>
    </w:tbl>
    <w:p>
      <w:pPr>
        <w:spacing w:after="0" w:line="240" w:lineRule="auto"/>
        <w:jc w:val="left"/>
        <w:rPr>
          <w:rFonts w:ascii="宋体" w:hAnsi="宋体" w:cs="宋体" w:eastAsia="宋体" w:hint="default"/>
          <w:sz w:val="18"/>
          <w:szCs w:val="18"/>
        </w:rPr>
        <w:sectPr>
          <w:pgSz w:w="11910" w:h="16840"/>
          <w:pgMar w:header="87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1415"/>
        <w:gridCol w:w="574"/>
        <w:gridCol w:w="530"/>
        <w:gridCol w:w="532"/>
        <w:gridCol w:w="530"/>
        <w:gridCol w:w="665"/>
        <w:gridCol w:w="665"/>
        <w:gridCol w:w="665"/>
        <w:gridCol w:w="665"/>
        <w:gridCol w:w="664"/>
        <w:gridCol w:w="666"/>
        <w:gridCol w:w="665"/>
        <w:gridCol w:w="665"/>
        <w:gridCol w:w="659"/>
      </w:tblGrid>
      <w:tr>
        <w:trPr>
          <w:trHeight w:val="206" w:hRule="exact"/>
        </w:trPr>
        <w:tc>
          <w:tcPr>
            <w:tcW w:w="1415" w:type="dxa"/>
            <w:vMerge w:val="restart"/>
            <w:tcBorders>
              <w:top w:val="single" w:sz="4" w:space="0" w:color="000000"/>
              <w:left w:val="single" w:sz="4" w:space="0" w:color="000000"/>
              <w:right w:val="single" w:sz="4" w:space="0" w:color="000000"/>
            </w:tcBorders>
            <w:shd w:val="clear" w:color="auto" w:fill="D2D2D2"/>
          </w:tcPr>
          <w:p>
            <w:pPr/>
          </w:p>
        </w:tc>
        <w:tc>
          <w:tcPr>
            <w:tcW w:w="574" w:type="dxa"/>
            <w:vMerge w:val="restart"/>
            <w:tcBorders>
              <w:top w:val="single" w:sz="4" w:space="0" w:color="000000"/>
              <w:left w:val="single" w:sz="4" w:space="0" w:color="000000"/>
              <w:right w:val="single" w:sz="4" w:space="0" w:color="000000"/>
            </w:tcBorders>
            <w:shd w:val="clear" w:color="auto" w:fill="D2D2D2"/>
          </w:tcPr>
          <w:p>
            <w:pPr/>
          </w:p>
        </w:tc>
        <w:tc>
          <w:tcPr>
            <w:tcW w:w="1592"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left="250"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664" w:type="dxa"/>
            <w:tcBorders>
              <w:top w:val="single" w:sz="4" w:space="0" w:color="000000"/>
              <w:left w:val="single" w:sz="4" w:space="0" w:color="000000"/>
              <w:bottom w:val="nil" w:sz="6" w:space="0" w:color="auto"/>
              <w:right w:val="single" w:sz="4" w:space="0" w:color="000000"/>
            </w:tcBorders>
            <w:shd w:val="clear" w:color="auto" w:fill="D2D2D2"/>
          </w:tcPr>
          <w:p>
            <w:pPr/>
          </w:p>
        </w:tc>
        <w:tc>
          <w:tcPr>
            <w:tcW w:w="666"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vMerge w:val="restart"/>
            <w:tcBorders>
              <w:top w:val="single" w:sz="4" w:space="0" w:color="000000"/>
              <w:left w:val="single" w:sz="10" w:space="0" w:color="D2D2D2"/>
              <w:right w:val="single" w:sz="4" w:space="0" w:color="000000"/>
            </w:tcBorders>
          </w:tcPr>
          <w:p>
            <w:pPr>
              <w:pStyle w:val="TableParagraph"/>
              <w:spacing w:line="240" w:lineRule="auto" w:before="11"/>
              <w:ind w:left="49" w:right="0"/>
              <w:jc w:val="left"/>
              <w:rPr>
                <w:rFonts w:ascii="宋体" w:hAnsi="宋体" w:cs="宋体" w:eastAsia="宋体" w:hint="default"/>
                <w:sz w:val="18"/>
                <w:szCs w:val="18"/>
              </w:rPr>
            </w:pPr>
            <w:r>
              <w:rPr>
                <w:rFonts w:ascii="宋体" w:hAnsi="宋体" w:cs="宋体" w:eastAsia="宋体" w:hint="default"/>
                <w:sz w:val="18"/>
                <w:szCs w:val="18"/>
              </w:rPr>
              <w:t>东权益</w:t>
            </w:r>
          </w:p>
        </w:tc>
        <w:tc>
          <w:tcPr>
            <w:tcW w:w="659" w:type="dxa"/>
            <w:vMerge w:val="restart"/>
            <w:tcBorders>
              <w:top w:val="single" w:sz="4" w:space="0" w:color="000000"/>
              <w:left w:val="single" w:sz="4" w:space="0" w:color="000000"/>
              <w:right w:val="single" w:sz="4" w:space="0" w:color="000000"/>
            </w:tcBorders>
          </w:tcPr>
          <w:p>
            <w:pPr>
              <w:pStyle w:val="TableParagraph"/>
              <w:spacing w:line="319" w:lineRule="auto" w:before="10"/>
              <w:ind w:left="233" w:right="53" w:hanging="180"/>
              <w:jc w:val="left"/>
              <w:rPr>
                <w:rFonts w:ascii="宋体" w:hAnsi="宋体" w:cs="宋体" w:eastAsia="宋体" w:hint="default"/>
                <w:sz w:val="18"/>
                <w:szCs w:val="18"/>
              </w:rPr>
            </w:pPr>
            <w:r>
              <w:rPr>
                <w:rFonts w:ascii="宋体" w:hAnsi="宋体" w:cs="宋体" w:eastAsia="宋体" w:hint="default"/>
                <w:sz w:val="18"/>
                <w:szCs w:val="18"/>
              </w:rPr>
              <w:t>权益合 计</w:t>
            </w:r>
          </w:p>
        </w:tc>
      </w:tr>
      <w:tr>
        <w:trPr>
          <w:trHeight w:val="191" w:hRule="exact"/>
        </w:trPr>
        <w:tc>
          <w:tcPr>
            <w:tcW w:w="1415" w:type="dxa"/>
            <w:vMerge/>
            <w:tcBorders>
              <w:left w:val="single" w:sz="4" w:space="0" w:color="000000"/>
              <w:right w:val="single" w:sz="4" w:space="0" w:color="000000"/>
            </w:tcBorders>
            <w:shd w:val="clear" w:color="auto" w:fill="D2D2D2"/>
          </w:tcPr>
          <w:p>
            <w:pPr/>
          </w:p>
        </w:tc>
        <w:tc>
          <w:tcPr>
            <w:tcW w:w="574" w:type="dxa"/>
            <w:vMerge/>
            <w:tcBorders>
              <w:left w:val="single" w:sz="4" w:space="0" w:color="000000"/>
              <w:bottom w:val="nil" w:sz="6" w:space="0" w:color="auto"/>
              <w:right w:val="single" w:sz="4" w:space="0" w:color="000000"/>
            </w:tcBorders>
            <w:shd w:val="clear" w:color="auto" w:fill="D2D2D2"/>
          </w:tcPr>
          <w:p>
            <w:pPr/>
          </w:p>
        </w:tc>
        <w:tc>
          <w:tcPr>
            <w:tcW w:w="1592" w:type="dxa"/>
            <w:gridSpan w:val="3"/>
            <w:vMerge/>
            <w:tcBorders>
              <w:left w:val="single" w:sz="4" w:space="0" w:color="000000"/>
              <w:bottom w:val="single" w:sz="4" w:space="0" w:color="000000"/>
              <w:right w:val="single" w:sz="4" w:space="0" w:color="000000"/>
            </w:tcBorders>
            <w:shd w:val="clear" w:color="auto" w:fill="D2D2D2"/>
          </w:tcPr>
          <w:p>
            <w:pP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236" w:right="57" w:hanging="181"/>
              <w:jc w:val="left"/>
              <w:rPr>
                <w:rFonts w:ascii="宋体" w:hAnsi="宋体" w:cs="宋体" w:eastAsia="宋体" w:hint="default"/>
                <w:sz w:val="18"/>
                <w:szCs w:val="18"/>
              </w:rPr>
            </w:pPr>
            <w:r>
              <w:rPr>
                <w:rFonts w:ascii="宋体" w:hAnsi="宋体" w:cs="宋体" w:eastAsia="宋体" w:hint="default"/>
                <w:sz w:val="18"/>
                <w:szCs w:val="18"/>
              </w:rPr>
              <w:t>资本公 积</w:t>
            </w: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146" w:right="56" w:hanging="90"/>
              <w:jc w:val="left"/>
              <w:rPr>
                <w:rFonts w:ascii="宋体" w:hAnsi="宋体" w:cs="宋体" w:eastAsia="宋体" w:hint="default"/>
                <w:sz w:val="18"/>
                <w:szCs w:val="18"/>
              </w:rPr>
            </w:pPr>
            <w:r>
              <w:rPr>
                <w:rFonts w:ascii="宋体" w:hAnsi="宋体" w:cs="宋体" w:eastAsia="宋体" w:hint="default"/>
                <w:sz w:val="18"/>
                <w:szCs w:val="18"/>
              </w:rPr>
              <w:t>减：库 存股</w:t>
            </w: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56" w:right="56"/>
              <w:jc w:val="left"/>
              <w:rPr>
                <w:rFonts w:ascii="宋体" w:hAnsi="宋体" w:cs="宋体" w:eastAsia="宋体" w:hint="default"/>
                <w:sz w:val="18"/>
                <w:szCs w:val="18"/>
              </w:rPr>
            </w:pPr>
            <w:r>
              <w:rPr>
                <w:rFonts w:ascii="宋体" w:hAnsi="宋体" w:cs="宋体" w:eastAsia="宋体" w:hint="default"/>
                <w:sz w:val="18"/>
                <w:szCs w:val="18"/>
              </w:rPr>
              <w:t>其他综 合收益</w:t>
            </w: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236" w:right="56" w:hanging="180"/>
              <w:jc w:val="left"/>
              <w:rPr>
                <w:rFonts w:ascii="宋体" w:hAnsi="宋体" w:cs="宋体" w:eastAsia="宋体" w:hint="default"/>
                <w:sz w:val="18"/>
                <w:szCs w:val="18"/>
              </w:rPr>
            </w:pPr>
            <w:r>
              <w:rPr>
                <w:rFonts w:ascii="宋体" w:hAnsi="宋体" w:cs="宋体" w:eastAsia="宋体" w:hint="default"/>
                <w:sz w:val="18"/>
                <w:szCs w:val="18"/>
              </w:rPr>
              <w:t>专项储 备</w:t>
            </w:r>
          </w:p>
        </w:tc>
        <w:tc>
          <w:tcPr>
            <w:tcW w:w="664"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236" w:right="55" w:hanging="180"/>
              <w:jc w:val="left"/>
              <w:rPr>
                <w:rFonts w:ascii="宋体" w:hAnsi="宋体" w:cs="宋体" w:eastAsia="宋体" w:hint="default"/>
                <w:sz w:val="18"/>
                <w:szCs w:val="18"/>
              </w:rPr>
            </w:pPr>
            <w:r>
              <w:rPr>
                <w:rFonts w:ascii="宋体" w:hAnsi="宋体" w:cs="宋体" w:eastAsia="宋体" w:hint="default"/>
                <w:sz w:val="18"/>
                <w:szCs w:val="18"/>
              </w:rPr>
              <w:t>盈余公 积</w:t>
            </w:r>
          </w:p>
        </w:tc>
        <w:tc>
          <w:tcPr>
            <w:tcW w:w="666"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57" w:right="57"/>
              <w:jc w:val="left"/>
              <w:rPr>
                <w:rFonts w:ascii="宋体" w:hAnsi="宋体" w:cs="宋体" w:eastAsia="宋体" w:hint="default"/>
                <w:sz w:val="18"/>
                <w:szCs w:val="18"/>
              </w:rPr>
            </w:pPr>
            <w:r>
              <w:rPr>
                <w:rFonts w:ascii="宋体" w:hAnsi="宋体" w:cs="宋体" w:eastAsia="宋体" w:hint="default"/>
                <w:sz w:val="18"/>
                <w:szCs w:val="18"/>
              </w:rPr>
              <w:t>一般风 险准备</w:t>
            </w: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146" w:right="56" w:hanging="90"/>
              <w:jc w:val="left"/>
              <w:rPr>
                <w:rFonts w:ascii="宋体" w:hAnsi="宋体" w:cs="宋体" w:eastAsia="宋体" w:hint="default"/>
                <w:sz w:val="18"/>
                <w:szCs w:val="18"/>
              </w:rPr>
            </w:pPr>
            <w:r>
              <w:rPr>
                <w:rFonts w:ascii="宋体" w:hAnsi="宋体" w:cs="宋体" w:eastAsia="宋体" w:hint="default"/>
                <w:sz w:val="18"/>
                <w:szCs w:val="18"/>
              </w:rPr>
              <w:t>未分配 利润</w:t>
            </w:r>
          </w:p>
        </w:tc>
        <w:tc>
          <w:tcPr>
            <w:tcW w:w="665" w:type="dxa"/>
            <w:vMerge/>
            <w:tcBorders>
              <w:left w:val="single" w:sz="10" w:space="0" w:color="D2D2D2"/>
              <w:right w:val="single" w:sz="4" w:space="0" w:color="000000"/>
            </w:tcBorders>
          </w:tcPr>
          <w:p>
            <w:pPr/>
          </w:p>
        </w:tc>
        <w:tc>
          <w:tcPr>
            <w:tcW w:w="659" w:type="dxa"/>
            <w:vMerge/>
            <w:tcBorders>
              <w:left w:val="single" w:sz="4" w:space="0" w:color="000000"/>
              <w:right w:val="single" w:sz="4" w:space="0" w:color="000000"/>
            </w:tcBorders>
          </w:tcPr>
          <w:p>
            <w:pPr/>
          </w:p>
        </w:tc>
      </w:tr>
      <w:tr>
        <w:trPr>
          <w:trHeight w:val="166" w:hRule="exact"/>
        </w:trPr>
        <w:tc>
          <w:tcPr>
            <w:tcW w:w="1415" w:type="dxa"/>
            <w:vMerge/>
            <w:tcBorders>
              <w:left w:val="single" w:sz="4" w:space="0" w:color="000000"/>
              <w:right w:val="single" w:sz="4" w:space="0" w:color="000000"/>
            </w:tcBorders>
            <w:shd w:val="clear" w:color="auto" w:fill="D2D2D2"/>
          </w:tcPr>
          <w:p>
            <w:pPr/>
          </w:p>
        </w:tc>
        <w:tc>
          <w:tcPr>
            <w:tcW w:w="57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6"/>
              <w:ind w:left="108"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530"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56"/>
              <w:ind w:left="170" w:right="78" w:hanging="90"/>
              <w:jc w:val="left"/>
              <w:rPr>
                <w:rFonts w:ascii="宋体" w:hAnsi="宋体" w:cs="宋体" w:eastAsia="宋体" w:hint="default"/>
                <w:sz w:val="18"/>
                <w:szCs w:val="18"/>
              </w:rPr>
            </w:pPr>
            <w:r>
              <w:rPr>
                <w:rFonts w:ascii="宋体" w:hAnsi="宋体" w:cs="宋体" w:eastAsia="宋体" w:hint="default"/>
                <w:sz w:val="18"/>
                <w:szCs w:val="18"/>
              </w:rPr>
              <w:t>优先 股</w:t>
            </w:r>
          </w:p>
        </w:tc>
        <w:tc>
          <w:tcPr>
            <w:tcW w:w="532"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56"/>
              <w:ind w:left="170" w:right="79" w:hanging="90"/>
              <w:jc w:val="left"/>
              <w:rPr>
                <w:rFonts w:ascii="宋体" w:hAnsi="宋体" w:cs="宋体" w:eastAsia="宋体" w:hint="default"/>
                <w:sz w:val="18"/>
                <w:szCs w:val="18"/>
              </w:rPr>
            </w:pPr>
            <w:r>
              <w:rPr>
                <w:rFonts w:ascii="宋体" w:hAnsi="宋体" w:cs="宋体" w:eastAsia="宋体" w:hint="default"/>
                <w:sz w:val="18"/>
                <w:szCs w:val="18"/>
              </w:rPr>
              <w:t>永续 债</w:t>
            </w:r>
          </w:p>
        </w:tc>
        <w:tc>
          <w:tcPr>
            <w:tcW w:w="530"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4" w:type="dxa"/>
            <w:vMerge/>
            <w:tcBorders>
              <w:left w:val="single" w:sz="4" w:space="0" w:color="000000"/>
              <w:right w:val="single" w:sz="4" w:space="0" w:color="000000"/>
            </w:tcBorders>
            <w:shd w:val="clear" w:color="auto" w:fill="D2D2D2"/>
          </w:tcPr>
          <w:p>
            <w:pPr/>
          </w:p>
        </w:tc>
        <w:tc>
          <w:tcPr>
            <w:tcW w:w="666"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10" w:space="0" w:color="D2D2D2"/>
              <w:right w:val="single" w:sz="4" w:space="0" w:color="000000"/>
            </w:tcBorders>
          </w:tcPr>
          <w:p>
            <w:pPr/>
          </w:p>
        </w:tc>
        <w:tc>
          <w:tcPr>
            <w:tcW w:w="659" w:type="dxa"/>
            <w:vMerge/>
            <w:tcBorders>
              <w:left w:val="single" w:sz="4" w:space="0" w:color="000000"/>
              <w:right w:val="single" w:sz="4" w:space="0" w:color="000000"/>
            </w:tcBorders>
          </w:tcPr>
          <w:p>
            <w:pPr/>
          </w:p>
        </w:tc>
      </w:tr>
      <w:tr>
        <w:trPr>
          <w:trHeight w:val="191" w:hRule="exact"/>
        </w:trPr>
        <w:tc>
          <w:tcPr>
            <w:tcW w:w="1415" w:type="dxa"/>
            <w:vMerge/>
            <w:tcBorders>
              <w:left w:val="single" w:sz="4" w:space="0" w:color="000000"/>
              <w:right w:val="single" w:sz="4" w:space="0" w:color="000000"/>
            </w:tcBorders>
            <w:shd w:val="clear" w:color="auto" w:fill="D2D2D2"/>
          </w:tcPr>
          <w:p>
            <w:pPr/>
          </w:p>
        </w:tc>
        <w:tc>
          <w:tcPr>
            <w:tcW w:w="574" w:type="dxa"/>
            <w:vMerge/>
            <w:tcBorders>
              <w:left w:val="single" w:sz="4" w:space="0" w:color="000000"/>
              <w:bottom w:val="nil" w:sz="6" w:space="0" w:color="auto"/>
              <w:right w:val="single" w:sz="4" w:space="0" w:color="000000"/>
            </w:tcBorders>
            <w:shd w:val="clear" w:color="auto" w:fill="D2D2D2"/>
          </w:tcPr>
          <w:p>
            <w:pPr/>
          </w:p>
        </w:tc>
        <w:tc>
          <w:tcPr>
            <w:tcW w:w="530" w:type="dxa"/>
            <w:vMerge/>
            <w:tcBorders>
              <w:left w:val="single" w:sz="4" w:space="0" w:color="000000"/>
              <w:right w:val="single" w:sz="4" w:space="0" w:color="000000"/>
            </w:tcBorders>
            <w:shd w:val="clear" w:color="auto" w:fill="D2D2D2"/>
          </w:tcPr>
          <w:p>
            <w:pPr/>
          </w:p>
        </w:tc>
        <w:tc>
          <w:tcPr>
            <w:tcW w:w="532" w:type="dxa"/>
            <w:vMerge/>
            <w:tcBorders>
              <w:left w:val="single" w:sz="4" w:space="0" w:color="000000"/>
              <w:right w:val="single" w:sz="4" w:space="0" w:color="000000"/>
            </w:tcBorders>
            <w:shd w:val="clear" w:color="auto" w:fill="D2D2D2"/>
          </w:tcPr>
          <w:p>
            <w:pPr/>
          </w:p>
        </w:tc>
        <w:tc>
          <w:tcPr>
            <w:tcW w:w="53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80"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4" w:type="dxa"/>
            <w:vMerge/>
            <w:tcBorders>
              <w:left w:val="single" w:sz="4" w:space="0" w:color="000000"/>
              <w:right w:val="single" w:sz="4" w:space="0" w:color="000000"/>
            </w:tcBorders>
            <w:shd w:val="clear" w:color="auto" w:fill="D2D2D2"/>
          </w:tcPr>
          <w:p>
            <w:pPr/>
          </w:p>
        </w:tc>
        <w:tc>
          <w:tcPr>
            <w:tcW w:w="666"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10" w:space="0" w:color="D2D2D2"/>
              <w:right w:val="single" w:sz="4" w:space="0" w:color="000000"/>
            </w:tcBorders>
          </w:tcPr>
          <w:p>
            <w:pPr/>
          </w:p>
        </w:tc>
        <w:tc>
          <w:tcPr>
            <w:tcW w:w="659" w:type="dxa"/>
            <w:vMerge/>
            <w:tcBorders>
              <w:left w:val="single" w:sz="4" w:space="0" w:color="000000"/>
              <w:right w:val="single" w:sz="4" w:space="0" w:color="000000"/>
            </w:tcBorders>
          </w:tcPr>
          <w:p>
            <w:pPr/>
          </w:p>
        </w:tc>
      </w:tr>
      <w:tr>
        <w:trPr>
          <w:trHeight w:val="156" w:hRule="exact"/>
        </w:trPr>
        <w:tc>
          <w:tcPr>
            <w:tcW w:w="1415" w:type="dxa"/>
            <w:vMerge/>
            <w:tcBorders>
              <w:left w:val="single" w:sz="4" w:space="0" w:color="000000"/>
              <w:right w:val="single" w:sz="4" w:space="0" w:color="000000"/>
            </w:tcBorders>
            <w:shd w:val="clear" w:color="auto" w:fill="D2D2D2"/>
          </w:tcPr>
          <w:p>
            <w:pPr/>
          </w:p>
        </w:tc>
        <w:tc>
          <w:tcPr>
            <w:tcW w:w="574" w:type="dxa"/>
            <w:vMerge w:val="restart"/>
            <w:tcBorders>
              <w:top w:val="nil" w:sz="6" w:space="0" w:color="auto"/>
              <w:left w:val="single" w:sz="4" w:space="0" w:color="000000"/>
              <w:right w:val="single" w:sz="4" w:space="0" w:color="000000"/>
            </w:tcBorders>
            <w:shd w:val="clear" w:color="auto" w:fill="D2D2D2"/>
          </w:tcPr>
          <w:p>
            <w:pPr/>
          </w:p>
        </w:tc>
        <w:tc>
          <w:tcPr>
            <w:tcW w:w="530" w:type="dxa"/>
            <w:vMerge/>
            <w:tcBorders>
              <w:left w:val="single" w:sz="4" w:space="0" w:color="000000"/>
              <w:right w:val="single" w:sz="4" w:space="0" w:color="000000"/>
            </w:tcBorders>
            <w:shd w:val="clear" w:color="auto" w:fill="D2D2D2"/>
          </w:tcPr>
          <w:p>
            <w:pPr/>
          </w:p>
        </w:tc>
        <w:tc>
          <w:tcPr>
            <w:tcW w:w="532" w:type="dxa"/>
            <w:vMerge/>
            <w:tcBorders>
              <w:left w:val="single" w:sz="4" w:space="0" w:color="000000"/>
              <w:right w:val="single" w:sz="4" w:space="0" w:color="000000"/>
            </w:tcBorders>
            <w:shd w:val="clear" w:color="auto" w:fill="D2D2D2"/>
          </w:tcPr>
          <w:p>
            <w:pPr/>
          </w:p>
        </w:tc>
        <w:tc>
          <w:tcPr>
            <w:tcW w:w="530"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64" w:type="dxa"/>
            <w:vMerge/>
            <w:tcBorders>
              <w:left w:val="single" w:sz="4" w:space="0" w:color="000000"/>
              <w:bottom w:val="nil" w:sz="6" w:space="0" w:color="auto"/>
              <w:right w:val="single" w:sz="4" w:space="0" w:color="000000"/>
            </w:tcBorders>
            <w:shd w:val="clear" w:color="auto" w:fill="D2D2D2"/>
          </w:tcPr>
          <w:p>
            <w:pPr/>
          </w:p>
        </w:tc>
        <w:tc>
          <w:tcPr>
            <w:tcW w:w="666"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10" w:space="0" w:color="D2D2D2"/>
              <w:right w:val="single" w:sz="4" w:space="0" w:color="000000"/>
            </w:tcBorders>
          </w:tcPr>
          <w:p>
            <w:pPr/>
          </w:p>
        </w:tc>
        <w:tc>
          <w:tcPr>
            <w:tcW w:w="659" w:type="dxa"/>
            <w:vMerge/>
            <w:tcBorders>
              <w:left w:val="single" w:sz="4" w:space="0" w:color="000000"/>
              <w:right w:val="single" w:sz="4" w:space="0" w:color="000000"/>
            </w:tcBorders>
          </w:tcPr>
          <w:p>
            <w:pPr/>
          </w:p>
        </w:tc>
      </w:tr>
      <w:tr>
        <w:trPr>
          <w:trHeight w:val="206" w:hRule="exact"/>
        </w:trPr>
        <w:tc>
          <w:tcPr>
            <w:tcW w:w="1415" w:type="dxa"/>
            <w:vMerge/>
            <w:tcBorders>
              <w:left w:val="single" w:sz="4" w:space="0" w:color="000000"/>
              <w:bottom w:val="single" w:sz="4" w:space="0" w:color="000000"/>
              <w:right w:val="single" w:sz="4" w:space="0" w:color="000000"/>
            </w:tcBorders>
            <w:shd w:val="clear" w:color="auto" w:fill="D2D2D2"/>
          </w:tcPr>
          <w:p>
            <w:pPr/>
          </w:p>
        </w:tc>
        <w:tc>
          <w:tcPr>
            <w:tcW w:w="574" w:type="dxa"/>
            <w:vMerge/>
            <w:tcBorders>
              <w:left w:val="single" w:sz="4" w:space="0" w:color="000000"/>
              <w:bottom w:val="single" w:sz="4" w:space="0" w:color="000000"/>
              <w:right w:val="single" w:sz="4" w:space="0" w:color="000000"/>
            </w:tcBorders>
            <w:shd w:val="clear" w:color="auto" w:fill="D2D2D2"/>
          </w:tcPr>
          <w:p>
            <w:pPr/>
          </w:p>
        </w:tc>
        <w:tc>
          <w:tcPr>
            <w:tcW w:w="530" w:type="dxa"/>
            <w:vMerge/>
            <w:tcBorders>
              <w:left w:val="single" w:sz="4" w:space="0" w:color="000000"/>
              <w:bottom w:val="single" w:sz="4" w:space="0" w:color="000000"/>
              <w:right w:val="single" w:sz="4" w:space="0" w:color="000000"/>
            </w:tcBorders>
            <w:shd w:val="clear" w:color="auto" w:fill="D2D2D2"/>
          </w:tcPr>
          <w:p>
            <w:pPr/>
          </w:p>
        </w:tc>
        <w:tc>
          <w:tcPr>
            <w:tcW w:w="532" w:type="dxa"/>
            <w:vMerge/>
            <w:tcBorders>
              <w:left w:val="single" w:sz="4" w:space="0" w:color="000000"/>
              <w:bottom w:val="single" w:sz="4" w:space="0" w:color="000000"/>
              <w:right w:val="single" w:sz="4" w:space="0" w:color="000000"/>
            </w:tcBorders>
            <w:shd w:val="clear" w:color="auto" w:fill="D2D2D2"/>
          </w:tcPr>
          <w:p>
            <w:pPr/>
          </w:p>
        </w:tc>
        <w:tc>
          <w:tcPr>
            <w:tcW w:w="530"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tcBorders>
              <w:top w:val="nil" w:sz="6" w:space="0" w:color="auto"/>
              <w:left w:val="single" w:sz="4" w:space="0" w:color="000000"/>
              <w:bottom w:val="single" w:sz="4" w:space="0" w:color="000000"/>
              <w:right w:val="single" w:sz="4" w:space="0" w:color="000000"/>
            </w:tcBorders>
            <w:shd w:val="clear" w:color="auto" w:fill="D2D2D2"/>
          </w:tcPr>
          <w:p>
            <w:pPr/>
          </w:p>
        </w:tc>
        <w:tc>
          <w:tcPr>
            <w:tcW w:w="664" w:type="dxa"/>
            <w:tcBorders>
              <w:top w:val="nil" w:sz="6" w:space="0" w:color="auto"/>
              <w:left w:val="single" w:sz="4" w:space="0" w:color="000000"/>
              <w:bottom w:val="single" w:sz="4" w:space="0" w:color="000000"/>
              <w:right w:val="single" w:sz="4" w:space="0" w:color="000000"/>
            </w:tcBorders>
            <w:shd w:val="clear" w:color="auto" w:fill="D2D2D2"/>
          </w:tcPr>
          <w:p>
            <w:pPr/>
          </w:p>
        </w:tc>
        <w:tc>
          <w:tcPr>
            <w:tcW w:w="666"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vMerge/>
            <w:tcBorders>
              <w:left w:val="single" w:sz="10" w:space="0" w:color="D2D2D2"/>
              <w:bottom w:val="single" w:sz="4" w:space="0" w:color="000000"/>
              <w:right w:val="single" w:sz="4" w:space="0" w:color="000000"/>
            </w:tcBorders>
          </w:tcPr>
          <w:p>
            <w:pPr/>
          </w:p>
        </w:tc>
        <w:tc>
          <w:tcPr>
            <w:tcW w:w="659" w:type="dxa"/>
            <w:vMerge/>
            <w:tcBorders>
              <w:left w:val="single" w:sz="4" w:space="0" w:color="000000"/>
              <w:bottom w:val="single" w:sz="4" w:space="0" w:color="000000"/>
              <w:right w:val="single" w:sz="4" w:space="0" w:color="000000"/>
            </w:tcBorders>
          </w:tcPr>
          <w:p>
            <w:pPr/>
          </w:p>
        </w:tc>
      </w:tr>
      <w:tr>
        <w:trPr>
          <w:trHeight w:val="317" w:hRule="exact"/>
        </w:trPr>
        <w:tc>
          <w:tcPr>
            <w:tcW w:w="1415" w:type="dxa"/>
            <w:tcBorders>
              <w:top w:val="single" w:sz="4" w:space="0" w:color="000000"/>
              <w:left w:val="single" w:sz="4" w:space="0" w:color="000000"/>
              <w:bottom w:val="nil" w:sz="6" w:space="0" w:color="auto"/>
              <w:right w:val="single" w:sz="4" w:space="0" w:color="000000"/>
            </w:tcBorders>
            <w:shd w:val="clear" w:color="auto" w:fill="D2D2D2"/>
          </w:tcPr>
          <w:p>
            <w:pPr/>
          </w:p>
        </w:tc>
        <w:tc>
          <w:tcPr>
            <w:tcW w:w="574" w:type="dxa"/>
            <w:vMerge w:val="restart"/>
            <w:tcBorders>
              <w:top w:val="single" w:sz="4" w:space="0" w:color="000000"/>
              <w:left w:val="single" w:sz="9" w:space="0" w:color="D2D2D2"/>
              <w:right w:val="single" w:sz="4" w:space="0" w:color="000000"/>
            </w:tcBorders>
          </w:tcPr>
          <w:p>
            <w:pPr>
              <w:pStyle w:val="TableParagraph"/>
              <w:spacing w:line="240" w:lineRule="auto" w:before="91"/>
              <w:ind w:left="40" w:right="0"/>
              <w:jc w:val="left"/>
              <w:rPr>
                <w:rFonts w:ascii="Times New Roman" w:hAnsi="Times New Roman" w:cs="Times New Roman" w:eastAsia="Times New Roman" w:hint="default"/>
                <w:sz w:val="18"/>
                <w:szCs w:val="18"/>
              </w:rPr>
            </w:pPr>
            <w:r>
              <w:rPr>
                <w:rFonts w:ascii="Times New Roman"/>
                <w:sz w:val="18"/>
              </w:rPr>
              <w:t>324,47</w:t>
            </w:r>
          </w:p>
          <w:p>
            <w:pPr>
              <w:pStyle w:val="TableParagraph"/>
              <w:spacing w:line="240" w:lineRule="auto" w:before="105"/>
              <w:ind w:left="85" w:right="0"/>
              <w:jc w:val="left"/>
              <w:rPr>
                <w:rFonts w:ascii="Times New Roman" w:hAnsi="Times New Roman" w:cs="Times New Roman" w:eastAsia="Times New Roman" w:hint="default"/>
                <w:sz w:val="18"/>
                <w:szCs w:val="18"/>
              </w:rPr>
            </w:pPr>
            <w:r>
              <w:rPr>
                <w:rFonts w:ascii="Times New Roman"/>
                <w:sz w:val="18"/>
              </w:rPr>
              <w:t>5,501.</w:t>
            </w:r>
          </w:p>
          <w:p>
            <w:pPr>
              <w:pStyle w:val="TableParagraph"/>
              <w:spacing w:line="240" w:lineRule="auto" w:before="106"/>
              <w:ind w:left="355" w:right="0"/>
              <w:jc w:val="left"/>
              <w:rPr>
                <w:rFonts w:ascii="Times New Roman" w:hAnsi="Times New Roman" w:cs="Times New Roman" w:eastAsia="Times New Roman" w:hint="default"/>
                <w:sz w:val="18"/>
                <w:szCs w:val="18"/>
              </w:rPr>
            </w:pPr>
            <w:r>
              <w:rPr>
                <w:rFonts w:ascii="Times New Roman"/>
                <w:sz w:val="18"/>
              </w:rPr>
              <w:t>00</w:t>
            </w:r>
          </w:p>
        </w:tc>
        <w:tc>
          <w:tcPr>
            <w:tcW w:w="530" w:type="dxa"/>
            <w:vMerge w:val="restart"/>
            <w:tcBorders>
              <w:top w:val="single" w:sz="4" w:space="0" w:color="000000"/>
              <w:left w:val="single" w:sz="4" w:space="0" w:color="000000"/>
              <w:right w:val="single" w:sz="4" w:space="0" w:color="000000"/>
            </w:tcBorders>
          </w:tcPr>
          <w:p>
            <w:pPr/>
          </w:p>
        </w:tc>
        <w:tc>
          <w:tcPr>
            <w:tcW w:w="532" w:type="dxa"/>
            <w:vMerge w:val="restart"/>
            <w:tcBorders>
              <w:top w:val="single" w:sz="4" w:space="0" w:color="000000"/>
              <w:left w:val="single" w:sz="4" w:space="0" w:color="000000"/>
              <w:right w:val="single" w:sz="4" w:space="0" w:color="000000"/>
            </w:tcBorders>
          </w:tcPr>
          <w:p>
            <w:pPr/>
          </w:p>
        </w:tc>
        <w:tc>
          <w:tcPr>
            <w:tcW w:w="530"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6" w:right="0"/>
              <w:jc w:val="left"/>
              <w:rPr>
                <w:rFonts w:ascii="Times New Roman" w:hAnsi="Times New Roman" w:cs="Times New Roman" w:eastAsia="Times New Roman" w:hint="default"/>
                <w:sz w:val="18"/>
                <w:szCs w:val="18"/>
              </w:rPr>
            </w:pPr>
            <w:r>
              <w:rPr>
                <w:rFonts w:ascii="Times New Roman"/>
                <w:sz w:val="18"/>
              </w:rPr>
              <w:t>702,083</w:t>
            </w:r>
          </w:p>
          <w:p>
            <w:pPr>
              <w:pStyle w:val="TableParagraph"/>
              <w:spacing w:line="240" w:lineRule="auto" w:before="106"/>
              <w:ind w:left="91" w:right="0"/>
              <w:jc w:val="left"/>
              <w:rPr>
                <w:rFonts w:ascii="Times New Roman" w:hAnsi="Times New Roman" w:cs="Times New Roman" w:eastAsia="Times New Roman" w:hint="default"/>
                <w:sz w:val="18"/>
                <w:szCs w:val="18"/>
              </w:rPr>
            </w:pPr>
            <w:r>
              <w:rPr>
                <w:rFonts w:ascii="Times New Roman"/>
                <w:sz w:val="18"/>
              </w:rPr>
              <w:t>,069.98</w:t>
            </w: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69,528,</w:t>
            </w:r>
          </w:p>
          <w:p>
            <w:pPr>
              <w:pStyle w:val="TableParagraph"/>
              <w:spacing w:line="240" w:lineRule="auto" w:before="106"/>
              <w:ind w:left="136" w:right="0"/>
              <w:jc w:val="left"/>
              <w:rPr>
                <w:rFonts w:ascii="Times New Roman" w:hAnsi="Times New Roman" w:cs="Times New Roman" w:eastAsia="Times New Roman" w:hint="default"/>
                <w:sz w:val="18"/>
                <w:szCs w:val="18"/>
              </w:rPr>
            </w:pPr>
            <w:r>
              <w:rPr>
                <w:rFonts w:ascii="Times New Roman"/>
                <w:sz w:val="18"/>
              </w:rPr>
              <w:t>553.80</w:t>
            </w: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4"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39,527,</w:t>
            </w:r>
          </w:p>
          <w:p>
            <w:pPr>
              <w:pStyle w:val="TableParagraph"/>
              <w:spacing w:line="240" w:lineRule="auto" w:before="106"/>
              <w:ind w:left="136" w:right="0"/>
              <w:jc w:val="left"/>
              <w:rPr>
                <w:rFonts w:ascii="Times New Roman" w:hAnsi="Times New Roman" w:cs="Times New Roman" w:eastAsia="Times New Roman" w:hint="default"/>
                <w:sz w:val="18"/>
                <w:szCs w:val="18"/>
              </w:rPr>
            </w:pPr>
            <w:r>
              <w:rPr>
                <w:rFonts w:ascii="Times New Roman"/>
                <w:sz w:val="18"/>
              </w:rPr>
              <w:t>567.18</w:t>
            </w:r>
          </w:p>
        </w:tc>
        <w:tc>
          <w:tcPr>
            <w:tcW w:w="666"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6" w:right="0"/>
              <w:jc w:val="left"/>
              <w:rPr>
                <w:rFonts w:ascii="Times New Roman" w:hAnsi="Times New Roman" w:cs="Times New Roman" w:eastAsia="Times New Roman" w:hint="default"/>
                <w:sz w:val="18"/>
                <w:szCs w:val="18"/>
              </w:rPr>
            </w:pPr>
            <w:r>
              <w:rPr>
                <w:rFonts w:ascii="Times New Roman"/>
                <w:sz w:val="18"/>
              </w:rPr>
              <w:t>365,046</w:t>
            </w:r>
          </w:p>
          <w:p>
            <w:pPr>
              <w:pStyle w:val="TableParagraph"/>
              <w:spacing w:line="240" w:lineRule="auto" w:before="106"/>
              <w:ind w:left="91" w:right="0"/>
              <w:jc w:val="left"/>
              <w:rPr>
                <w:rFonts w:ascii="Times New Roman" w:hAnsi="Times New Roman" w:cs="Times New Roman" w:eastAsia="Times New Roman" w:hint="default"/>
                <w:sz w:val="18"/>
                <w:szCs w:val="18"/>
              </w:rPr>
            </w:pPr>
            <w:r>
              <w:rPr>
                <w:rFonts w:ascii="Times New Roman"/>
                <w:sz w:val="18"/>
              </w:rPr>
              <w:t>,574.10</w:t>
            </w: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18,871,</w:t>
            </w:r>
          </w:p>
          <w:p>
            <w:pPr>
              <w:pStyle w:val="TableParagraph"/>
              <w:spacing w:line="240" w:lineRule="auto" w:before="106"/>
              <w:ind w:left="136" w:right="0"/>
              <w:jc w:val="left"/>
              <w:rPr>
                <w:rFonts w:ascii="Times New Roman" w:hAnsi="Times New Roman" w:cs="Times New Roman" w:eastAsia="Times New Roman" w:hint="default"/>
                <w:sz w:val="18"/>
                <w:szCs w:val="18"/>
              </w:rPr>
            </w:pPr>
            <w:r>
              <w:rPr>
                <w:rFonts w:ascii="Times New Roman"/>
                <w:sz w:val="18"/>
              </w:rPr>
              <w:t>443.54</w:t>
            </w:r>
          </w:p>
        </w:tc>
        <w:tc>
          <w:tcPr>
            <w:tcW w:w="659" w:type="dxa"/>
            <w:vMerge w:val="restart"/>
            <w:tcBorders>
              <w:top w:val="single" w:sz="4" w:space="0" w:color="000000"/>
              <w:left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1,380,4</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75,602.</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00</w:t>
            </w:r>
          </w:p>
        </w:tc>
      </w:tr>
      <w:tr>
        <w:trPr>
          <w:trHeight w:val="392" w:hRule="exact"/>
        </w:trPr>
        <w:tc>
          <w:tcPr>
            <w:tcW w:w="141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pacing w:val="-8"/>
                <w:sz w:val="18"/>
                <w:szCs w:val="18"/>
              </w:rPr>
              <w:t>一、上年期末余额</w:t>
            </w:r>
          </w:p>
        </w:tc>
        <w:tc>
          <w:tcPr>
            <w:tcW w:w="574" w:type="dxa"/>
            <w:vMerge/>
            <w:tcBorders>
              <w:left w:val="single" w:sz="9" w:space="0" w:color="D2D2D2"/>
              <w:right w:val="single" w:sz="4" w:space="0" w:color="000000"/>
            </w:tcBorders>
          </w:tcPr>
          <w:p>
            <w:pPr/>
          </w:p>
        </w:tc>
        <w:tc>
          <w:tcPr>
            <w:tcW w:w="530" w:type="dxa"/>
            <w:vMerge/>
            <w:tcBorders>
              <w:left w:val="single" w:sz="4" w:space="0" w:color="000000"/>
              <w:right w:val="single" w:sz="4" w:space="0" w:color="000000"/>
            </w:tcBorders>
          </w:tcPr>
          <w:p>
            <w:pPr/>
          </w:p>
        </w:tc>
        <w:tc>
          <w:tcPr>
            <w:tcW w:w="532" w:type="dxa"/>
            <w:vMerge/>
            <w:tcBorders>
              <w:left w:val="single" w:sz="4" w:space="0" w:color="000000"/>
              <w:right w:val="single" w:sz="4" w:space="0" w:color="000000"/>
            </w:tcBorders>
          </w:tcPr>
          <w:p>
            <w:pPr/>
          </w:p>
        </w:tc>
        <w:tc>
          <w:tcPr>
            <w:tcW w:w="530"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4" w:type="dxa"/>
            <w:vMerge/>
            <w:tcBorders>
              <w:left w:val="single" w:sz="4" w:space="0" w:color="000000"/>
              <w:right w:val="single" w:sz="4" w:space="0" w:color="000000"/>
            </w:tcBorders>
          </w:tcPr>
          <w:p>
            <w:pPr/>
          </w:p>
        </w:tc>
        <w:tc>
          <w:tcPr>
            <w:tcW w:w="666"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59" w:type="dxa"/>
            <w:vMerge/>
            <w:tcBorders>
              <w:left w:val="single" w:sz="4" w:space="0" w:color="000000"/>
              <w:right w:val="single" w:sz="4" w:space="0" w:color="000000"/>
            </w:tcBorders>
          </w:tcPr>
          <w:p>
            <w:pPr/>
          </w:p>
        </w:tc>
      </w:tr>
      <w:tr>
        <w:trPr>
          <w:trHeight w:val="317" w:hRule="exact"/>
        </w:trPr>
        <w:tc>
          <w:tcPr>
            <w:tcW w:w="1415" w:type="dxa"/>
            <w:tcBorders>
              <w:top w:val="nil" w:sz="6" w:space="0" w:color="auto"/>
              <w:left w:val="single" w:sz="4" w:space="0" w:color="000000"/>
              <w:bottom w:val="single" w:sz="4" w:space="0" w:color="000000"/>
              <w:right w:val="single" w:sz="4" w:space="0" w:color="000000"/>
            </w:tcBorders>
            <w:shd w:val="clear" w:color="auto" w:fill="D2D2D2"/>
          </w:tcPr>
          <w:p>
            <w:pPr/>
          </w:p>
        </w:tc>
        <w:tc>
          <w:tcPr>
            <w:tcW w:w="574" w:type="dxa"/>
            <w:vMerge/>
            <w:tcBorders>
              <w:left w:val="single" w:sz="9" w:space="0" w:color="D2D2D2"/>
              <w:bottom w:val="single" w:sz="4" w:space="0" w:color="000000"/>
              <w:right w:val="single" w:sz="4" w:space="0" w:color="000000"/>
            </w:tcBorders>
          </w:tcPr>
          <w:p>
            <w:pPr/>
          </w:p>
        </w:tc>
        <w:tc>
          <w:tcPr>
            <w:tcW w:w="530" w:type="dxa"/>
            <w:vMerge/>
            <w:tcBorders>
              <w:left w:val="single" w:sz="4" w:space="0" w:color="000000"/>
              <w:bottom w:val="single" w:sz="4" w:space="0" w:color="000000"/>
              <w:right w:val="single" w:sz="4" w:space="0" w:color="000000"/>
            </w:tcBorders>
          </w:tcPr>
          <w:p>
            <w:pPr/>
          </w:p>
        </w:tc>
        <w:tc>
          <w:tcPr>
            <w:tcW w:w="532" w:type="dxa"/>
            <w:vMerge/>
            <w:tcBorders>
              <w:left w:val="single" w:sz="4" w:space="0" w:color="000000"/>
              <w:bottom w:val="single" w:sz="4" w:space="0" w:color="000000"/>
              <w:right w:val="single" w:sz="4" w:space="0" w:color="000000"/>
            </w:tcBorders>
          </w:tcPr>
          <w:p>
            <w:pPr/>
          </w:p>
        </w:tc>
        <w:tc>
          <w:tcPr>
            <w:tcW w:w="530"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4" w:type="dxa"/>
            <w:vMerge/>
            <w:tcBorders>
              <w:left w:val="single" w:sz="4" w:space="0" w:color="000000"/>
              <w:bottom w:val="single" w:sz="4" w:space="0" w:color="000000"/>
              <w:right w:val="single" w:sz="4" w:space="0" w:color="000000"/>
            </w:tcBorders>
          </w:tcPr>
          <w:p>
            <w:pPr/>
          </w:p>
        </w:tc>
        <w:tc>
          <w:tcPr>
            <w:tcW w:w="666"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59" w:type="dxa"/>
            <w:vMerge/>
            <w:tcBorders>
              <w:left w:val="single" w:sz="4" w:space="0" w:color="000000"/>
              <w:bottom w:val="single" w:sz="4" w:space="0" w:color="000000"/>
              <w:right w:val="single" w:sz="4" w:space="0" w:color="000000"/>
            </w:tcBorders>
          </w:tcPr>
          <w:p>
            <w:pPr/>
          </w:p>
        </w:tc>
      </w:tr>
      <w:tr>
        <w:trPr>
          <w:trHeight w:val="714" w:hRule="exact"/>
        </w:trPr>
        <w:tc>
          <w:tcPr>
            <w:tcW w:w="14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9" w:firstLine="360"/>
              <w:jc w:val="left"/>
              <w:rPr>
                <w:rFonts w:ascii="宋体" w:hAnsi="宋体" w:cs="宋体" w:eastAsia="宋体" w:hint="default"/>
                <w:sz w:val="18"/>
                <w:szCs w:val="18"/>
              </w:rPr>
            </w:pPr>
            <w:r>
              <w:rPr>
                <w:rFonts w:ascii="宋体" w:hAnsi="宋体" w:cs="宋体" w:eastAsia="宋体" w:hint="default"/>
                <w:spacing w:val="-10"/>
                <w:sz w:val="18"/>
                <w:szCs w:val="18"/>
              </w:rPr>
              <w:t>加：会计政策</w:t>
            </w:r>
            <w:r>
              <w:rPr>
                <w:rFonts w:ascii="宋体" w:hAnsi="宋体" w:cs="宋体" w:eastAsia="宋体" w:hint="default"/>
                <w:sz w:val="18"/>
                <w:szCs w:val="18"/>
              </w:rPr>
              <w:t> 变更</w:t>
            </w:r>
          </w:p>
        </w:tc>
        <w:tc>
          <w:tcPr>
            <w:tcW w:w="574" w:type="dxa"/>
            <w:tcBorders>
              <w:top w:val="single" w:sz="4" w:space="0" w:color="000000"/>
              <w:left w:val="single" w:sz="13" w:space="0" w:color="D2D2D2"/>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31" w:right="0"/>
              <w:jc w:val="left"/>
              <w:rPr>
                <w:rFonts w:ascii="宋体" w:hAnsi="宋体" w:cs="宋体" w:eastAsia="宋体" w:hint="default"/>
                <w:sz w:val="18"/>
                <w:szCs w:val="18"/>
              </w:rPr>
            </w:pPr>
            <w:r>
              <w:rPr>
                <w:rFonts w:ascii="宋体" w:hAnsi="宋体" w:cs="宋体" w:eastAsia="宋体" w:hint="default"/>
                <w:sz w:val="18"/>
                <w:szCs w:val="18"/>
              </w:rPr>
              <w:t>前期差</w:t>
            </w:r>
          </w:p>
          <w:p>
            <w:pPr>
              <w:pStyle w:val="TableParagraph"/>
              <w:spacing w:line="240" w:lineRule="auto" w:before="77"/>
              <w:ind w:left="11" w:right="0"/>
              <w:jc w:val="left"/>
              <w:rPr>
                <w:rFonts w:ascii="宋体" w:hAnsi="宋体" w:cs="宋体" w:eastAsia="宋体" w:hint="default"/>
                <w:sz w:val="18"/>
                <w:szCs w:val="18"/>
              </w:rPr>
            </w:pPr>
            <w:r>
              <w:rPr>
                <w:rFonts w:ascii="宋体" w:hAnsi="宋体" w:cs="宋体" w:eastAsia="宋体" w:hint="default"/>
                <w:sz w:val="18"/>
                <w:szCs w:val="18"/>
              </w:rPr>
              <w:t>错更正</w:t>
            </w:r>
          </w:p>
        </w:tc>
        <w:tc>
          <w:tcPr>
            <w:tcW w:w="574" w:type="dxa"/>
            <w:tcBorders>
              <w:top w:val="single" w:sz="4" w:space="0" w:color="000000"/>
              <w:left w:val="single" w:sz="13" w:space="0" w:color="D2D2D2"/>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131" w:firstLine="720"/>
              <w:jc w:val="left"/>
              <w:rPr>
                <w:rFonts w:ascii="宋体" w:hAnsi="宋体" w:cs="宋体" w:eastAsia="宋体" w:hint="default"/>
                <w:sz w:val="18"/>
                <w:szCs w:val="18"/>
              </w:rPr>
            </w:pPr>
            <w:r>
              <w:rPr>
                <w:rFonts w:ascii="宋体" w:hAnsi="宋体" w:cs="宋体" w:eastAsia="宋体" w:hint="default"/>
                <w:sz w:val="18"/>
                <w:szCs w:val="18"/>
              </w:rPr>
              <w:t>同一控 制下企业合并</w:t>
            </w:r>
          </w:p>
        </w:tc>
        <w:tc>
          <w:tcPr>
            <w:tcW w:w="574" w:type="dxa"/>
            <w:tcBorders>
              <w:top w:val="single" w:sz="4" w:space="0" w:color="000000"/>
              <w:left w:val="single" w:sz="13" w:space="0" w:color="D2D2D2"/>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3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574" w:type="dxa"/>
            <w:tcBorders>
              <w:top w:val="single" w:sz="4" w:space="0" w:color="000000"/>
              <w:left w:val="single" w:sz="13" w:space="0" w:color="D2D2D2"/>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317" w:hRule="exact"/>
        </w:trPr>
        <w:tc>
          <w:tcPr>
            <w:tcW w:w="1415" w:type="dxa"/>
            <w:tcBorders>
              <w:top w:val="single" w:sz="4" w:space="0" w:color="000000"/>
              <w:left w:val="single" w:sz="4" w:space="0" w:color="000000"/>
              <w:bottom w:val="nil" w:sz="6" w:space="0" w:color="auto"/>
              <w:right w:val="single" w:sz="4" w:space="0" w:color="000000"/>
            </w:tcBorders>
            <w:shd w:val="clear" w:color="auto" w:fill="D2D2D2"/>
          </w:tcPr>
          <w:p>
            <w:pPr/>
          </w:p>
        </w:tc>
        <w:tc>
          <w:tcPr>
            <w:tcW w:w="574" w:type="dxa"/>
            <w:vMerge w:val="restart"/>
            <w:tcBorders>
              <w:top w:val="single" w:sz="4" w:space="0" w:color="000000"/>
              <w:left w:val="single" w:sz="9" w:space="0" w:color="D2D2D2"/>
              <w:right w:val="single" w:sz="4" w:space="0" w:color="000000"/>
            </w:tcBorders>
          </w:tcPr>
          <w:p>
            <w:pPr>
              <w:pStyle w:val="TableParagraph"/>
              <w:spacing w:line="240" w:lineRule="auto" w:before="91"/>
              <w:ind w:left="40" w:right="0"/>
              <w:jc w:val="left"/>
              <w:rPr>
                <w:rFonts w:ascii="Times New Roman" w:hAnsi="Times New Roman" w:cs="Times New Roman" w:eastAsia="Times New Roman" w:hint="default"/>
                <w:sz w:val="18"/>
                <w:szCs w:val="18"/>
              </w:rPr>
            </w:pPr>
            <w:r>
              <w:rPr>
                <w:rFonts w:ascii="Times New Roman"/>
                <w:sz w:val="18"/>
              </w:rPr>
              <w:t>324,47</w:t>
            </w:r>
          </w:p>
          <w:p>
            <w:pPr>
              <w:pStyle w:val="TableParagraph"/>
              <w:spacing w:line="240" w:lineRule="auto" w:before="105"/>
              <w:ind w:left="85" w:right="0"/>
              <w:jc w:val="left"/>
              <w:rPr>
                <w:rFonts w:ascii="Times New Roman" w:hAnsi="Times New Roman" w:cs="Times New Roman" w:eastAsia="Times New Roman" w:hint="default"/>
                <w:sz w:val="18"/>
                <w:szCs w:val="18"/>
              </w:rPr>
            </w:pPr>
            <w:r>
              <w:rPr>
                <w:rFonts w:ascii="Times New Roman"/>
                <w:sz w:val="18"/>
              </w:rPr>
              <w:t>5,501.</w:t>
            </w:r>
          </w:p>
          <w:p>
            <w:pPr>
              <w:pStyle w:val="TableParagraph"/>
              <w:spacing w:line="240" w:lineRule="auto" w:before="106"/>
              <w:ind w:left="355" w:right="0"/>
              <w:jc w:val="left"/>
              <w:rPr>
                <w:rFonts w:ascii="Times New Roman" w:hAnsi="Times New Roman" w:cs="Times New Roman" w:eastAsia="Times New Roman" w:hint="default"/>
                <w:sz w:val="18"/>
                <w:szCs w:val="18"/>
              </w:rPr>
            </w:pPr>
            <w:r>
              <w:rPr>
                <w:rFonts w:ascii="Times New Roman"/>
                <w:sz w:val="18"/>
              </w:rPr>
              <w:t>00</w:t>
            </w:r>
          </w:p>
        </w:tc>
        <w:tc>
          <w:tcPr>
            <w:tcW w:w="530" w:type="dxa"/>
            <w:vMerge w:val="restart"/>
            <w:tcBorders>
              <w:top w:val="single" w:sz="4" w:space="0" w:color="000000"/>
              <w:left w:val="single" w:sz="4" w:space="0" w:color="000000"/>
              <w:right w:val="single" w:sz="4" w:space="0" w:color="000000"/>
            </w:tcBorders>
          </w:tcPr>
          <w:p>
            <w:pPr/>
          </w:p>
        </w:tc>
        <w:tc>
          <w:tcPr>
            <w:tcW w:w="532" w:type="dxa"/>
            <w:vMerge w:val="restart"/>
            <w:tcBorders>
              <w:top w:val="single" w:sz="4" w:space="0" w:color="000000"/>
              <w:left w:val="single" w:sz="4" w:space="0" w:color="000000"/>
              <w:right w:val="single" w:sz="4" w:space="0" w:color="000000"/>
            </w:tcBorders>
          </w:tcPr>
          <w:p>
            <w:pPr/>
          </w:p>
        </w:tc>
        <w:tc>
          <w:tcPr>
            <w:tcW w:w="530"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6" w:right="0"/>
              <w:jc w:val="left"/>
              <w:rPr>
                <w:rFonts w:ascii="Times New Roman" w:hAnsi="Times New Roman" w:cs="Times New Roman" w:eastAsia="Times New Roman" w:hint="default"/>
                <w:sz w:val="18"/>
                <w:szCs w:val="18"/>
              </w:rPr>
            </w:pPr>
            <w:r>
              <w:rPr>
                <w:rFonts w:ascii="Times New Roman"/>
                <w:sz w:val="18"/>
              </w:rPr>
              <w:t>702,083</w:t>
            </w:r>
          </w:p>
          <w:p>
            <w:pPr>
              <w:pStyle w:val="TableParagraph"/>
              <w:spacing w:line="240" w:lineRule="auto" w:before="106"/>
              <w:ind w:left="91" w:right="0"/>
              <w:jc w:val="left"/>
              <w:rPr>
                <w:rFonts w:ascii="Times New Roman" w:hAnsi="Times New Roman" w:cs="Times New Roman" w:eastAsia="Times New Roman" w:hint="default"/>
                <w:sz w:val="18"/>
                <w:szCs w:val="18"/>
              </w:rPr>
            </w:pPr>
            <w:r>
              <w:rPr>
                <w:rFonts w:ascii="Times New Roman"/>
                <w:sz w:val="18"/>
              </w:rPr>
              <w:t>,069.98</w:t>
            </w: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69,528,</w:t>
            </w:r>
          </w:p>
          <w:p>
            <w:pPr>
              <w:pStyle w:val="TableParagraph"/>
              <w:spacing w:line="240" w:lineRule="auto" w:before="106"/>
              <w:ind w:left="136" w:right="0"/>
              <w:jc w:val="left"/>
              <w:rPr>
                <w:rFonts w:ascii="Times New Roman" w:hAnsi="Times New Roman" w:cs="Times New Roman" w:eastAsia="Times New Roman" w:hint="default"/>
                <w:sz w:val="18"/>
                <w:szCs w:val="18"/>
              </w:rPr>
            </w:pPr>
            <w:r>
              <w:rPr>
                <w:rFonts w:ascii="Times New Roman"/>
                <w:sz w:val="18"/>
              </w:rPr>
              <w:t>553.80</w:t>
            </w: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4"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39,527,</w:t>
            </w:r>
          </w:p>
          <w:p>
            <w:pPr>
              <w:pStyle w:val="TableParagraph"/>
              <w:spacing w:line="240" w:lineRule="auto" w:before="106"/>
              <w:ind w:left="136" w:right="0"/>
              <w:jc w:val="left"/>
              <w:rPr>
                <w:rFonts w:ascii="Times New Roman" w:hAnsi="Times New Roman" w:cs="Times New Roman" w:eastAsia="Times New Roman" w:hint="default"/>
                <w:sz w:val="18"/>
                <w:szCs w:val="18"/>
              </w:rPr>
            </w:pPr>
            <w:r>
              <w:rPr>
                <w:rFonts w:ascii="Times New Roman"/>
                <w:sz w:val="18"/>
              </w:rPr>
              <w:t>567.18</w:t>
            </w:r>
          </w:p>
        </w:tc>
        <w:tc>
          <w:tcPr>
            <w:tcW w:w="666"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6" w:right="0"/>
              <w:jc w:val="left"/>
              <w:rPr>
                <w:rFonts w:ascii="Times New Roman" w:hAnsi="Times New Roman" w:cs="Times New Roman" w:eastAsia="Times New Roman" w:hint="default"/>
                <w:sz w:val="18"/>
                <w:szCs w:val="18"/>
              </w:rPr>
            </w:pPr>
            <w:r>
              <w:rPr>
                <w:rFonts w:ascii="Times New Roman"/>
                <w:sz w:val="18"/>
              </w:rPr>
              <w:t>365,046</w:t>
            </w:r>
          </w:p>
          <w:p>
            <w:pPr>
              <w:pStyle w:val="TableParagraph"/>
              <w:spacing w:line="240" w:lineRule="auto" w:before="106"/>
              <w:ind w:left="91" w:right="0"/>
              <w:jc w:val="left"/>
              <w:rPr>
                <w:rFonts w:ascii="Times New Roman" w:hAnsi="Times New Roman" w:cs="Times New Roman" w:eastAsia="Times New Roman" w:hint="default"/>
                <w:sz w:val="18"/>
                <w:szCs w:val="18"/>
              </w:rPr>
            </w:pPr>
            <w:r>
              <w:rPr>
                <w:rFonts w:ascii="Times New Roman"/>
                <w:sz w:val="18"/>
              </w:rPr>
              <w:t>,574.10</w:t>
            </w: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18,871,</w:t>
            </w:r>
          </w:p>
          <w:p>
            <w:pPr>
              <w:pStyle w:val="TableParagraph"/>
              <w:spacing w:line="240" w:lineRule="auto" w:before="106"/>
              <w:ind w:left="136" w:right="0"/>
              <w:jc w:val="left"/>
              <w:rPr>
                <w:rFonts w:ascii="Times New Roman" w:hAnsi="Times New Roman" w:cs="Times New Roman" w:eastAsia="Times New Roman" w:hint="default"/>
                <w:sz w:val="18"/>
                <w:szCs w:val="18"/>
              </w:rPr>
            </w:pPr>
            <w:r>
              <w:rPr>
                <w:rFonts w:ascii="Times New Roman"/>
                <w:sz w:val="18"/>
              </w:rPr>
              <w:t>443.54</w:t>
            </w:r>
          </w:p>
        </w:tc>
        <w:tc>
          <w:tcPr>
            <w:tcW w:w="659" w:type="dxa"/>
            <w:vMerge w:val="restart"/>
            <w:tcBorders>
              <w:top w:val="single" w:sz="4" w:space="0" w:color="000000"/>
              <w:left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1,380,4</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75,602.</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00</w:t>
            </w:r>
          </w:p>
        </w:tc>
      </w:tr>
      <w:tr>
        <w:trPr>
          <w:trHeight w:val="392" w:hRule="exact"/>
        </w:trPr>
        <w:tc>
          <w:tcPr>
            <w:tcW w:w="141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pacing w:val="-8"/>
                <w:sz w:val="18"/>
                <w:szCs w:val="18"/>
              </w:rPr>
              <w:t>二、本年期初余额</w:t>
            </w:r>
          </w:p>
        </w:tc>
        <w:tc>
          <w:tcPr>
            <w:tcW w:w="574" w:type="dxa"/>
            <w:vMerge/>
            <w:tcBorders>
              <w:left w:val="single" w:sz="9" w:space="0" w:color="D2D2D2"/>
              <w:right w:val="single" w:sz="4" w:space="0" w:color="000000"/>
            </w:tcBorders>
          </w:tcPr>
          <w:p>
            <w:pPr/>
          </w:p>
        </w:tc>
        <w:tc>
          <w:tcPr>
            <w:tcW w:w="530" w:type="dxa"/>
            <w:vMerge/>
            <w:tcBorders>
              <w:left w:val="single" w:sz="4" w:space="0" w:color="000000"/>
              <w:right w:val="single" w:sz="4" w:space="0" w:color="000000"/>
            </w:tcBorders>
          </w:tcPr>
          <w:p>
            <w:pPr/>
          </w:p>
        </w:tc>
        <w:tc>
          <w:tcPr>
            <w:tcW w:w="532" w:type="dxa"/>
            <w:vMerge/>
            <w:tcBorders>
              <w:left w:val="single" w:sz="4" w:space="0" w:color="000000"/>
              <w:right w:val="single" w:sz="4" w:space="0" w:color="000000"/>
            </w:tcBorders>
          </w:tcPr>
          <w:p>
            <w:pPr/>
          </w:p>
        </w:tc>
        <w:tc>
          <w:tcPr>
            <w:tcW w:w="530"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4" w:type="dxa"/>
            <w:vMerge/>
            <w:tcBorders>
              <w:left w:val="single" w:sz="4" w:space="0" w:color="000000"/>
              <w:right w:val="single" w:sz="4" w:space="0" w:color="000000"/>
            </w:tcBorders>
          </w:tcPr>
          <w:p>
            <w:pPr/>
          </w:p>
        </w:tc>
        <w:tc>
          <w:tcPr>
            <w:tcW w:w="666"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59" w:type="dxa"/>
            <w:vMerge/>
            <w:tcBorders>
              <w:left w:val="single" w:sz="4" w:space="0" w:color="000000"/>
              <w:right w:val="single" w:sz="4" w:space="0" w:color="000000"/>
            </w:tcBorders>
          </w:tcPr>
          <w:p>
            <w:pPr/>
          </w:p>
        </w:tc>
      </w:tr>
      <w:tr>
        <w:trPr>
          <w:trHeight w:val="317" w:hRule="exact"/>
        </w:trPr>
        <w:tc>
          <w:tcPr>
            <w:tcW w:w="1415" w:type="dxa"/>
            <w:tcBorders>
              <w:top w:val="nil" w:sz="6" w:space="0" w:color="auto"/>
              <w:left w:val="single" w:sz="4" w:space="0" w:color="000000"/>
              <w:bottom w:val="single" w:sz="4" w:space="0" w:color="000000"/>
              <w:right w:val="single" w:sz="4" w:space="0" w:color="000000"/>
            </w:tcBorders>
            <w:shd w:val="clear" w:color="auto" w:fill="D2D2D2"/>
          </w:tcPr>
          <w:p>
            <w:pPr/>
          </w:p>
        </w:tc>
        <w:tc>
          <w:tcPr>
            <w:tcW w:w="574" w:type="dxa"/>
            <w:vMerge/>
            <w:tcBorders>
              <w:left w:val="single" w:sz="9" w:space="0" w:color="D2D2D2"/>
              <w:bottom w:val="single" w:sz="4" w:space="0" w:color="000000"/>
              <w:right w:val="single" w:sz="4" w:space="0" w:color="000000"/>
            </w:tcBorders>
          </w:tcPr>
          <w:p>
            <w:pPr/>
          </w:p>
        </w:tc>
        <w:tc>
          <w:tcPr>
            <w:tcW w:w="530" w:type="dxa"/>
            <w:vMerge/>
            <w:tcBorders>
              <w:left w:val="single" w:sz="4" w:space="0" w:color="000000"/>
              <w:bottom w:val="single" w:sz="4" w:space="0" w:color="000000"/>
              <w:right w:val="single" w:sz="4" w:space="0" w:color="000000"/>
            </w:tcBorders>
          </w:tcPr>
          <w:p>
            <w:pPr/>
          </w:p>
        </w:tc>
        <w:tc>
          <w:tcPr>
            <w:tcW w:w="532" w:type="dxa"/>
            <w:vMerge/>
            <w:tcBorders>
              <w:left w:val="single" w:sz="4" w:space="0" w:color="000000"/>
              <w:bottom w:val="single" w:sz="4" w:space="0" w:color="000000"/>
              <w:right w:val="single" w:sz="4" w:space="0" w:color="000000"/>
            </w:tcBorders>
          </w:tcPr>
          <w:p>
            <w:pPr/>
          </w:p>
        </w:tc>
        <w:tc>
          <w:tcPr>
            <w:tcW w:w="530"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4" w:type="dxa"/>
            <w:vMerge/>
            <w:tcBorders>
              <w:left w:val="single" w:sz="4" w:space="0" w:color="000000"/>
              <w:bottom w:val="single" w:sz="4" w:space="0" w:color="000000"/>
              <w:right w:val="single" w:sz="4" w:space="0" w:color="000000"/>
            </w:tcBorders>
          </w:tcPr>
          <w:p>
            <w:pPr/>
          </w:p>
        </w:tc>
        <w:tc>
          <w:tcPr>
            <w:tcW w:w="666"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59" w:type="dxa"/>
            <w:vMerge/>
            <w:tcBorders>
              <w:left w:val="single" w:sz="4" w:space="0" w:color="000000"/>
              <w:bottom w:val="single" w:sz="4" w:space="0" w:color="000000"/>
              <w:right w:val="single" w:sz="4" w:space="0" w:color="000000"/>
            </w:tcBorders>
          </w:tcPr>
          <w:p>
            <w:pPr/>
          </w:p>
        </w:tc>
      </w:tr>
      <w:tr>
        <w:trPr>
          <w:trHeight w:val="1026" w:hRule="exact"/>
        </w:trPr>
        <w:tc>
          <w:tcPr>
            <w:tcW w:w="14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11" w:right="9"/>
              <w:jc w:val="both"/>
              <w:rPr>
                <w:rFonts w:ascii="宋体" w:hAnsi="宋体" w:cs="宋体" w:eastAsia="宋体" w:hint="default"/>
                <w:sz w:val="18"/>
                <w:szCs w:val="18"/>
              </w:rPr>
            </w:pPr>
            <w:r>
              <w:rPr>
                <w:rFonts w:ascii="宋体" w:hAnsi="宋体" w:cs="宋体" w:eastAsia="宋体" w:hint="default"/>
                <w:spacing w:val="-8"/>
                <w:sz w:val="18"/>
                <w:szCs w:val="18"/>
              </w:rPr>
              <w:t>三、本期增减变动</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5"/>
                <w:sz w:val="18"/>
                <w:szCs w:val="18"/>
              </w:rPr>
              <w:t>金额（减少以</w:t>
            </w:r>
            <w:r>
              <w:rPr>
                <w:rFonts w:ascii="Times New Roman" w:hAnsi="Times New Roman" w:cs="Times New Roman" w:eastAsia="Times New Roman" w:hint="default"/>
                <w:spacing w:val="-5"/>
                <w:sz w:val="18"/>
                <w:szCs w:val="18"/>
              </w:rPr>
              <w:t>“</w:t>
            </w:r>
            <w:r>
              <w:rPr>
                <w:rFonts w:ascii="宋体" w:hAnsi="宋体" w:cs="宋体" w:eastAsia="宋体" w:hint="default"/>
                <w:spacing w:val="-5"/>
                <w:sz w:val="18"/>
                <w:szCs w:val="18"/>
              </w:rPr>
              <w:t>－</w:t>
            </w:r>
            <w:r>
              <w:rPr>
                <w:rFonts w:ascii="Times New Roman" w:hAnsi="Times New Roman" w:cs="Times New Roman" w:eastAsia="Times New Roman" w:hint="default"/>
                <w:spacing w:val="-5"/>
                <w:sz w:val="18"/>
                <w:szCs w:val="18"/>
              </w:rPr>
              <w:t>”</w:t>
            </w:r>
            <w:r>
              <w:rPr>
                <w:rFonts w:ascii="Times New Roman" w:hAnsi="Times New Roman" w:cs="Times New Roman" w:eastAsia="Times New Roman" w:hint="default"/>
                <w:spacing w:val="-39"/>
                <w:sz w:val="18"/>
                <w:szCs w:val="18"/>
              </w:rPr>
              <w:t> </w:t>
            </w:r>
            <w:r>
              <w:rPr>
                <w:rFonts w:ascii="宋体" w:hAnsi="宋体" w:cs="宋体" w:eastAsia="宋体" w:hint="default"/>
                <w:sz w:val="18"/>
                <w:szCs w:val="18"/>
              </w:rPr>
              <w:t>号填列）</w:t>
            </w:r>
          </w:p>
        </w:tc>
        <w:tc>
          <w:tcPr>
            <w:tcW w:w="57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left="35" w:right="0"/>
              <w:jc w:val="left"/>
              <w:rPr>
                <w:rFonts w:ascii="Times New Roman" w:hAnsi="Times New Roman" w:cs="Times New Roman" w:eastAsia="Times New Roman" w:hint="default"/>
                <w:sz w:val="18"/>
                <w:szCs w:val="18"/>
              </w:rPr>
            </w:pPr>
            <w:r>
              <w:rPr>
                <w:rFonts w:ascii="Times New Roman"/>
                <w:sz w:val="18"/>
              </w:rPr>
              <w:t>156,61</w:t>
            </w:r>
          </w:p>
          <w:p>
            <w:pPr>
              <w:pStyle w:val="TableParagraph"/>
              <w:spacing w:line="240" w:lineRule="auto" w:before="105"/>
              <w:ind w:left="80" w:right="0"/>
              <w:jc w:val="left"/>
              <w:rPr>
                <w:rFonts w:ascii="Times New Roman" w:hAnsi="Times New Roman" w:cs="Times New Roman" w:eastAsia="Times New Roman" w:hint="default"/>
                <w:sz w:val="18"/>
                <w:szCs w:val="18"/>
              </w:rPr>
            </w:pPr>
            <w:r>
              <w:rPr>
                <w:rFonts w:ascii="Times New Roman"/>
                <w:sz w:val="18"/>
              </w:rPr>
              <w:t>6,994.</w:t>
            </w:r>
          </w:p>
          <w:p>
            <w:pPr>
              <w:pStyle w:val="TableParagraph"/>
              <w:spacing w:line="240" w:lineRule="auto" w:before="106"/>
              <w:ind w:left="350" w:right="0"/>
              <w:jc w:val="left"/>
              <w:rPr>
                <w:rFonts w:ascii="Times New Roman" w:hAnsi="Times New Roman" w:cs="Times New Roman" w:eastAsia="Times New Roman" w:hint="default"/>
                <w:sz w:val="18"/>
                <w:szCs w:val="18"/>
              </w:rPr>
            </w:pPr>
            <w:r>
              <w:rPr>
                <w:rFonts w:ascii="Times New Roman"/>
                <w:sz w:val="18"/>
              </w:rPr>
              <w:t>00</w:t>
            </w: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-222,13</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2,091.0</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7" w:right="0"/>
              <w:jc w:val="center"/>
              <w:rPr>
                <w:rFonts w:ascii="Times New Roman" w:hAnsi="Times New Roman" w:cs="Times New Roman" w:eastAsia="Times New Roman" w:hint="default"/>
                <w:sz w:val="18"/>
                <w:szCs w:val="18"/>
              </w:rPr>
            </w:pPr>
            <w:r>
              <w:rPr>
                <w:rFonts w:ascii="Times New Roman"/>
                <w:sz w:val="18"/>
              </w:rPr>
              <w:t>-69,528,</w:t>
            </w:r>
          </w:p>
          <w:p>
            <w:pPr>
              <w:pStyle w:val="TableParagraph"/>
              <w:spacing w:line="240" w:lineRule="auto" w:before="106"/>
              <w:ind w:left="113" w:right="0"/>
              <w:jc w:val="center"/>
              <w:rPr>
                <w:rFonts w:ascii="Times New Roman" w:hAnsi="Times New Roman" w:cs="Times New Roman" w:eastAsia="Times New Roman" w:hint="default"/>
                <w:sz w:val="18"/>
                <w:szCs w:val="18"/>
              </w:rPr>
            </w:pPr>
            <w:r>
              <w:rPr>
                <w:rFonts w:ascii="Times New Roman"/>
                <w:sz w:val="18"/>
              </w:rPr>
              <w:t>553.80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69" w:right="0"/>
              <w:jc w:val="center"/>
              <w:rPr>
                <w:rFonts w:ascii="Times New Roman" w:hAnsi="Times New Roman" w:cs="Times New Roman" w:eastAsia="Times New Roman" w:hint="default"/>
                <w:sz w:val="18"/>
                <w:szCs w:val="18"/>
              </w:rPr>
            </w:pPr>
            <w:r>
              <w:rPr>
                <w:rFonts w:ascii="Times New Roman"/>
                <w:sz w:val="18"/>
              </w:rPr>
              <w:t>5,576,3</w:t>
            </w:r>
          </w:p>
          <w:p>
            <w:pPr>
              <w:pStyle w:val="TableParagraph"/>
              <w:spacing w:line="240" w:lineRule="auto" w:before="106"/>
              <w:ind w:left="204" w:right="0"/>
              <w:jc w:val="center"/>
              <w:rPr>
                <w:rFonts w:ascii="Times New Roman" w:hAnsi="Times New Roman" w:cs="Times New Roman" w:eastAsia="Times New Roman" w:hint="default"/>
                <w:sz w:val="18"/>
                <w:szCs w:val="18"/>
              </w:rPr>
            </w:pPr>
            <w:r>
              <w:rPr>
                <w:rFonts w:ascii="Times New Roman"/>
                <w:sz w:val="18"/>
              </w:rPr>
              <w:t>81.38</w:t>
            </w: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71,385,</w:t>
            </w:r>
          </w:p>
          <w:p>
            <w:pPr>
              <w:pStyle w:val="TableParagraph"/>
              <w:spacing w:line="240" w:lineRule="auto" w:before="106"/>
              <w:ind w:left="136" w:right="0"/>
              <w:jc w:val="left"/>
              <w:rPr>
                <w:rFonts w:ascii="Times New Roman" w:hAnsi="Times New Roman" w:cs="Times New Roman" w:eastAsia="Times New Roman" w:hint="default"/>
                <w:sz w:val="18"/>
                <w:szCs w:val="18"/>
              </w:rPr>
            </w:pPr>
            <w:r>
              <w:rPr>
                <w:rFonts w:ascii="Times New Roman"/>
                <w:sz w:val="18"/>
              </w:rPr>
              <w:t>186.84</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67" w:right="0"/>
              <w:jc w:val="center"/>
              <w:rPr>
                <w:rFonts w:ascii="Times New Roman" w:hAnsi="Times New Roman" w:cs="Times New Roman" w:eastAsia="Times New Roman" w:hint="default"/>
                <w:sz w:val="18"/>
                <w:szCs w:val="18"/>
              </w:rPr>
            </w:pPr>
            <w:r>
              <w:rPr>
                <w:rFonts w:ascii="Times New Roman"/>
                <w:sz w:val="18"/>
              </w:rPr>
              <w:t>1,614,5</w:t>
            </w:r>
          </w:p>
          <w:p>
            <w:pPr>
              <w:pStyle w:val="TableParagraph"/>
              <w:spacing w:line="240" w:lineRule="auto" w:before="106"/>
              <w:ind w:left="203" w:right="0"/>
              <w:jc w:val="center"/>
              <w:rPr>
                <w:rFonts w:ascii="Times New Roman" w:hAnsi="Times New Roman" w:cs="Times New Roman" w:eastAsia="Times New Roman" w:hint="default"/>
                <w:sz w:val="18"/>
                <w:szCs w:val="18"/>
              </w:rPr>
            </w:pPr>
            <w:r>
              <w:rPr>
                <w:rFonts w:ascii="Times New Roman"/>
                <w:sz w:val="18"/>
              </w:rPr>
              <w:t>80.82</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85" w:right="0"/>
              <w:jc w:val="left"/>
              <w:rPr>
                <w:rFonts w:ascii="Times New Roman" w:hAnsi="Times New Roman" w:cs="Times New Roman" w:eastAsia="Times New Roman" w:hint="default"/>
                <w:sz w:val="18"/>
                <w:szCs w:val="18"/>
              </w:rPr>
            </w:pPr>
            <w:r>
              <w:rPr>
                <w:rFonts w:ascii="Times New Roman"/>
                <w:sz w:val="18"/>
              </w:rPr>
              <w:t>82,589,</w:t>
            </w:r>
          </w:p>
          <w:p>
            <w:pPr>
              <w:pStyle w:val="TableParagraph"/>
              <w:spacing w:line="240" w:lineRule="auto" w:before="106"/>
              <w:ind w:left="130" w:right="0"/>
              <w:jc w:val="left"/>
              <w:rPr>
                <w:rFonts w:ascii="Times New Roman" w:hAnsi="Times New Roman" w:cs="Times New Roman" w:eastAsia="Times New Roman" w:hint="default"/>
                <w:sz w:val="18"/>
                <w:szCs w:val="18"/>
              </w:rPr>
            </w:pPr>
            <w:r>
              <w:rPr>
                <w:rFonts w:ascii="Times New Roman"/>
                <w:sz w:val="18"/>
              </w:rPr>
              <w:t>605.84</w:t>
            </w:r>
          </w:p>
        </w:tc>
      </w:tr>
      <w:tr>
        <w:trPr>
          <w:trHeight w:val="714" w:hRule="exact"/>
        </w:trPr>
        <w:tc>
          <w:tcPr>
            <w:tcW w:w="14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9"/>
              <w:jc w:val="left"/>
              <w:rPr>
                <w:rFonts w:ascii="宋体" w:hAnsi="宋体" w:cs="宋体" w:eastAsia="宋体" w:hint="default"/>
                <w:sz w:val="18"/>
                <w:szCs w:val="18"/>
              </w:rPr>
            </w:pPr>
            <w:r>
              <w:rPr>
                <w:rFonts w:ascii="宋体" w:hAnsi="宋体" w:cs="宋体" w:eastAsia="宋体" w:hint="default"/>
                <w:spacing w:val="-8"/>
                <w:sz w:val="18"/>
                <w:szCs w:val="18"/>
              </w:rPr>
              <w:t>（一）综合收益总</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额</w:t>
            </w:r>
          </w:p>
        </w:tc>
        <w:tc>
          <w:tcPr>
            <w:tcW w:w="574" w:type="dxa"/>
            <w:tcBorders>
              <w:top w:val="single" w:sz="4" w:space="0" w:color="000000"/>
              <w:left w:val="single" w:sz="13" w:space="0" w:color="D2D2D2"/>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8" w:right="0"/>
              <w:jc w:val="left"/>
              <w:rPr>
                <w:rFonts w:ascii="Times New Roman" w:hAnsi="Times New Roman" w:cs="Times New Roman" w:eastAsia="Times New Roman" w:hint="default"/>
                <w:sz w:val="18"/>
                <w:szCs w:val="18"/>
              </w:rPr>
            </w:pPr>
            <w:r>
              <w:rPr>
                <w:rFonts w:ascii="Times New Roman"/>
                <w:sz w:val="18"/>
              </w:rPr>
              <w:t>96,112,</w:t>
            </w:r>
          </w:p>
          <w:p>
            <w:pPr>
              <w:pStyle w:val="TableParagraph"/>
              <w:spacing w:line="240" w:lineRule="auto" w:before="106"/>
              <w:ind w:left="136" w:right="0"/>
              <w:jc w:val="left"/>
              <w:rPr>
                <w:rFonts w:ascii="Times New Roman" w:hAnsi="Times New Roman" w:cs="Times New Roman" w:eastAsia="Times New Roman" w:hint="default"/>
                <w:sz w:val="18"/>
                <w:szCs w:val="18"/>
              </w:rPr>
            </w:pPr>
            <w:r>
              <w:rPr>
                <w:rFonts w:ascii="Times New Roman"/>
                <w:sz w:val="18"/>
              </w:rPr>
              <w:t>608.43</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7" w:right="0"/>
              <w:jc w:val="center"/>
              <w:rPr>
                <w:rFonts w:ascii="Times New Roman" w:hAnsi="Times New Roman" w:cs="Times New Roman" w:eastAsia="Times New Roman" w:hint="default"/>
                <w:sz w:val="18"/>
                <w:szCs w:val="18"/>
              </w:rPr>
            </w:pPr>
            <w:r>
              <w:rPr>
                <w:rFonts w:ascii="Times New Roman"/>
                <w:sz w:val="18"/>
              </w:rPr>
              <w:t>1,214,5</w:t>
            </w:r>
          </w:p>
          <w:p>
            <w:pPr>
              <w:pStyle w:val="TableParagraph"/>
              <w:spacing w:line="240" w:lineRule="auto" w:before="106"/>
              <w:ind w:left="203" w:right="0"/>
              <w:jc w:val="center"/>
              <w:rPr>
                <w:rFonts w:ascii="Times New Roman" w:hAnsi="Times New Roman" w:cs="Times New Roman" w:eastAsia="Times New Roman" w:hint="default"/>
                <w:sz w:val="18"/>
                <w:szCs w:val="18"/>
              </w:rPr>
            </w:pPr>
            <w:r>
              <w:rPr>
                <w:rFonts w:ascii="Times New Roman"/>
                <w:sz w:val="18"/>
              </w:rPr>
              <w:t>80.82</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5" w:right="0"/>
              <w:jc w:val="left"/>
              <w:rPr>
                <w:rFonts w:ascii="Times New Roman" w:hAnsi="Times New Roman" w:cs="Times New Roman" w:eastAsia="Times New Roman" w:hint="default"/>
                <w:sz w:val="18"/>
                <w:szCs w:val="18"/>
              </w:rPr>
            </w:pPr>
            <w:r>
              <w:rPr>
                <w:rFonts w:ascii="Times New Roman"/>
                <w:sz w:val="18"/>
              </w:rPr>
              <w:t>97,327,</w:t>
            </w:r>
          </w:p>
          <w:p>
            <w:pPr>
              <w:pStyle w:val="TableParagraph"/>
              <w:spacing w:line="240" w:lineRule="auto" w:before="106"/>
              <w:ind w:left="130" w:right="0"/>
              <w:jc w:val="left"/>
              <w:rPr>
                <w:rFonts w:ascii="Times New Roman" w:hAnsi="Times New Roman" w:cs="Times New Roman" w:eastAsia="Times New Roman" w:hint="default"/>
                <w:sz w:val="18"/>
                <w:szCs w:val="18"/>
              </w:rPr>
            </w:pPr>
            <w:r>
              <w:rPr>
                <w:rFonts w:ascii="Times New Roman"/>
                <w:sz w:val="18"/>
              </w:rPr>
              <w:t>189.25</w:t>
            </w:r>
          </w:p>
        </w:tc>
      </w:tr>
      <w:tr>
        <w:trPr>
          <w:trHeight w:val="161" w:hRule="exact"/>
        </w:trPr>
        <w:tc>
          <w:tcPr>
            <w:tcW w:w="1415" w:type="dxa"/>
            <w:tcBorders>
              <w:top w:val="single" w:sz="4" w:space="0" w:color="000000"/>
              <w:left w:val="single" w:sz="4" w:space="0" w:color="000000"/>
              <w:bottom w:val="nil" w:sz="6" w:space="0" w:color="auto"/>
              <w:right w:val="single" w:sz="4" w:space="0" w:color="000000"/>
            </w:tcBorders>
            <w:shd w:val="clear" w:color="auto" w:fill="D2D2D2"/>
          </w:tcPr>
          <w:p>
            <w:pPr/>
          </w:p>
        </w:tc>
        <w:tc>
          <w:tcPr>
            <w:tcW w:w="574" w:type="dxa"/>
            <w:vMerge w:val="restart"/>
            <w:tcBorders>
              <w:top w:val="single" w:sz="4" w:space="0" w:color="000000"/>
              <w:left w:val="single" w:sz="9" w:space="0" w:color="D2D2D2"/>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-5,620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,740.0</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0</w:t>
            </w:r>
          </w:p>
        </w:tc>
        <w:tc>
          <w:tcPr>
            <w:tcW w:w="530" w:type="dxa"/>
            <w:vMerge w:val="restart"/>
            <w:tcBorders>
              <w:top w:val="single" w:sz="4" w:space="0" w:color="000000"/>
              <w:left w:val="single" w:sz="4" w:space="0" w:color="000000"/>
              <w:right w:val="single" w:sz="4" w:space="0" w:color="000000"/>
            </w:tcBorders>
          </w:tcPr>
          <w:p>
            <w:pPr/>
          </w:p>
        </w:tc>
        <w:tc>
          <w:tcPr>
            <w:tcW w:w="532" w:type="dxa"/>
            <w:vMerge w:val="restart"/>
            <w:tcBorders>
              <w:top w:val="single" w:sz="4" w:space="0" w:color="000000"/>
              <w:left w:val="single" w:sz="4" w:space="0" w:color="000000"/>
              <w:right w:val="single" w:sz="4" w:space="0" w:color="000000"/>
            </w:tcBorders>
          </w:tcPr>
          <w:p>
            <w:pPr/>
          </w:p>
        </w:tc>
        <w:tc>
          <w:tcPr>
            <w:tcW w:w="530"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7" w:right="0"/>
              <w:jc w:val="center"/>
              <w:rPr>
                <w:rFonts w:ascii="Times New Roman" w:hAnsi="Times New Roman" w:cs="Times New Roman" w:eastAsia="Times New Roman" w:hint="default"/>
                <w:sz w:val="18"/>
                <w:szCs w:val="18"/>
              </w:rPr>
            </w:pPr>
            <w:r>
              <w:rPr>
                <w:rFonts w:ascii="Times New Roman"/>
                <w:sz w:val="18"/>
              </w:rPr>
              <w:t>-59,894,</w:t>
            </w:r>
          </w:p>
          <w:p>
            <w:pPr>
              <w:pStyle w:val="TableParagraph"/>
              <w:spacing w:line="240" w:lineRule="auto" w:before="106"/>
              <w:ind w:left="113" w:right="0"/>
              <w:jc w:val="center"/>
              <w:rPr>
                <w:rFonts w:ascii="Times New Roman" w:hAnsi="Times New Roman" w:cs="Times New Roman" w:eastAsia="Times New Roman" w:hint="default"/>
                <w:sz w:val="18"/>
                <w:szCs w:val="18"/>
              </w:rPr>
            </w:pPr>
            <w:r>
              <w:rPr>
                <w:rFonts w:ascii="Times New Roman"/>
                <w:sz w:val="18"/>
              </w:rPr>
              <w:t>357.00</w:t>
            </w: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7" w:right="0"/>
              <w:jc w:val="center"/>
              <w:rPr>
                <w:rFonts w:ascii="Times New Roman" w:hAnsi="Times New Roman" w:cs="Times New Roman" w:eastAsia="Times New Roman" w:hint="default"/>
                <w:sz w:val="18"/>
                <w:szCs w:val="18"/>
              </w:rPr>
            </w:pPr>
            <w:r>
              <w:rPr>
                <w:rFonts w:ascii="Times New Roman"/>
                <w:sz w:val="18"/>
              </w:rPr>
              <w:t>-69,528,</w:t>
            </w:r>
          </w:p>
          <w:p>
            <w:pPr>
              <w:pStyle w:val="TableParagraph"/>
              <w:spacing w:line="240" w:lineRule="auto" w:before="106"/>
              <w:ind w:left="113" w:right="0"/>
              <w:jc w:val="center"/>
              <w:rPr>
                <w:rFonts w:ascii="Times New Roman" w:hAnsi="Times New Roman" w:cs="Times New Roman" w:eastAsia="Times New Roman" w:hint="default"/>
                <w:sz w:val="18"/>
                <w:szCs w:val="18"/>
              </w:rPr>
            </w:pPr>
            <w:r>
              <w:rPr>
                <w:rFonts w:ascii="Times New Roman"/>
                <w:sz w:val="18"/>
              </w:rPr>
              <w:t>553.80</w:t>
            </w: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4" w:type="dxa"/>
            <w:vMerge w:val="restart"/>
            <w:tcBorders>
              <w:top w:val="single" w:sz="4" w:space="0" w:color="000000"/>
              <w:left w:val="single" w:sz="4" w:space="0" w:color="000000"/>
              <w:right w:val="single" w:sz="4" w:space="0" w:color="000000"/>
            </w:tcBorders>
          </w:tcPr>
          <w:p>
            <w:pPr/>
          </w:p>
        </w:tc>
        <w:tc>
          <w:tcPr>
            <w:tcW w:w="666"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6" w:right="0"/>
              <w:jc w:val="left"/>
              <w:rPr>
                <w:rFonts w:ascii="Times New Roman" w:hAnsi="Times New Roman" w:cs="Times New Roman" w:eastAsia="Times New Roman" w:hint="default"/>
                <w:sz w:val="18"/>
                <w:szCs w:val="18"/>
              </w:rPr>
            </w:pPr>
            <w:r>
              <w:rPr>
                <w:rFonts w:ascii="Times New Roman"/>
                <w:sz w:val="18"/>
              </w:rPr>
              <w:t>400,000</w:t>
            </w:r>
          </w:p>
          <w:p>
            <w:pPr>
              <w:pStyle w:val="TableParagraph"/>
              <w:spacing w:line="240" w:lineRule="auto" w:before="106"/>
              <w:ind w:left="406" w:right="0"/>
              <w:jc w:val="left"/>
              <w:rPr>
                <w:rFonts w:ascii="Times New Roman" w:hAnsi="Times New Roman" w:cs="Times New Roman" w:eastAsia="Times New Roman" w:hint="default"/>
                <w:sz w:val="18"/>
                <w:szCs w:val="18"/>
              </w:rPr>
            </w:pPr>
            <w:r>
              <w:rPr>
                <w:rFonts w:ascii="Times New Roman"/>
                <w:sz w:val="18"/>
              </w:rPr>
              <w:t>.00</w:t>
            </w:r>
          </w:p>
        </w:tc>
        <w:tc>
          <w:tcPr>
            <w:tcW w:w="659"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61" w:right="0"/>
              <w:jc w:val="center"/>
              <w:rPr>
                <w:rFonts w:ascii="Times New Roman" w:hAnsi="Times New Roman" w:cs="Times New Roman" w:eastAsia="Times New Roman" w:hint="default"/>
                <w:sz w:val="18"/>
                <w:szCs w:val="18"/>
              </w:rPr>
            </w:pPr>
            <w:r>
              <w:rPr>
                <w:rFonts w:ascii="Times New Roman"/>
                <w:sz w:val="18"/>
              </w:rPr>
              <w:t>4,413,4</w:t>
            </w:r>
          </w:p>
          <w:p>
            <w:pPr>
              <w:pStyle w:val="TableParagraph"/>
              <w:spacing w:line="240" w:lineRule="auto" w:before="106"/>
              <w:ind w:left="197" w:right="0"/>
              <w:jc w:val="center"/>
              <w:rPr>
                <w:rFonts w:ascii="Times New Roman" w:hAnsi="Times New Roman" w:cs="Times New Roman" w:eastAsia="Times New Roman" w:hint="default"/>
                <w:sz w:val="18"/>
                <w:szCs w:val="18"/>
              </w:rPr>
            </w:pPr>
            <w:r>
              <w:rPr>
                <w:rFonts w:ascii="Times New Roman"/>
                <w:sz w:val="18"/>
              </w:rPr>
              <w:t>56.80</w:t>
            </w:r>
          </w:p>
        </w:tc>
      </w:tr>
      <w:tr>
        <w:trPr>
          <w:trHeight w:val="704" w:hRule="exact"/>
        </w:trPr>
        <w:tc>
          <w:tcPr>
            <w:tcW w:w="141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9" w:lineRule="auto" w:before="51"/>
              <w:ind w:left="11" w:right="9"/>
              <w:jc w:val="left"/>
              <w:rPr>
                <w:rFonts w:ascii="宋体" w:hAnsi="宋体" w:cs="宋体" w:eastAsia="宋体" w:hint="default"/>
                <w:sz w:val="18"/>
                <w:szCs w:val="18"/>
              </w:rPr>
            </w:pPr>
            <w:r>
              <w:rPr>
                <w:rFonts w:ascii="宋体" w:hAnsi="宋体" w:cs="宋体" w:eastAsia="宋体" w:hint="default"/>
                <w:spacing w:val="-8"/>
                <w:sz w:val="18"/>
                <w:szCs w:val="18"/>
              </w:rPr>
              <w:t>（二）所有者投入</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和减少资本</w:t>
            </w:r>
          </w:p>
        </w:tc>
        <w:tc>
          <w:tcPr>
            <w:tcW w:w="574" w:type="dxa"/>
            <w:vMerge/>
            <w:tcBorders>
              <w:left w:val="single" w:sz="9" w:space="0" w:color="D2D2D2"/>
              <w:right w:val="single" w:sz="4" w:space="0" w:color="000000"/>
            </w:tcBorders>
          </w:tcPr>
          <w:p>
            <w:pPr/>
          </w:p>
        </w:tc>
        <w:tc>
          <w:tcPr>
            <w:tcW w:w="530" w:type="dxa"/>
            <w:vMerge/>
            <w:tcBorders>
              <w:left w:val="single" w:sz="4" w:space="0" w:color="000000"/>
              <w:right w:val="single" w:sz="4" w:space="0" w:color="000000"/>
            </w:tcBorders>
          </w:tcPr>
          <w:p>
            <w:pPr/>
          </w:p>
        </w:tc>
        <w:tc>
          <w:tcPr>
            <w:tcW w:w="532" w:type="dxa"/>
            <w:vMerge/>
            <w:tcBorders>
              <w:left w:val="single" w:sz="4" w:space="0" w:color="000000"/>
              <w:right w:val="single" w:sz="4" w:space="0" w:color="000000"/>
            </w:tcBorders>
          </w:tcPr>
          <w:p>
            <w:pPr/>
          </w:p>
        </w:tc>
        <w:tc>
          <w:tcPr>
            <w:tcW w:w="530"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4" w:type="dxa"/>
            <w:vMerge/>
            <w:tcBorders>
              <w:left w:val="single" w:sz="4" w:space="0" w:color="000000"/>
              <w:right w:val="single" w:sz="4" w:space="0" w:color="000000"/>
            </w:tcBorders>
          </w:tcPr>
          <w:p>
            <w:pPr/>
          </w:p>
        </w:tc>
        <w:tc>
          <w:tcPr>
            <w:tcW w:w="666"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59" w:type="dxa"/>
            <w:vMerge/>
            <w:tcBorders>
              <w:left w:val="single" w:sz="4" w:space="0" w:color="000000"/>
              <w:right w:val="single" w:sz="4" w:space="0" w:color="000000"/>
            </w:tcBorders>
          </w:tcPr>
          <w:p>
            <w:pPr/>
          </w:p>
        </w:tc>
      </w:tr>
      <w:tr>
        <w:trPr>
          <w:trHeight w:val="161" w:hRule="exact"/>
        </w:trPr>
        <w:tc>
          <w:tcPr>
            <w:tcW w:w="1415" w:type="dxa"/>
            <w:tcBorders>
              <w:top w:val="nil" w:sz="6" w:space="0" w:color="auto"/>
              <w:left w:val="single" w:sz="4" w:space="0" w:color="000000"/>
              <w:bottom w:val="single" w:sz="4" w:space="0" w:color="000000"/>
              <w:right w:val="single" w:sz="4" w:space="0" w:color="000000"/>
            </w:tcBorders>
            <w:shd w:val="clear" w:color="auto" w:fill="D2D2D2"/>
          </w:tcPr>
          <w:p>
            <w:pPr/>
          </w:p>
        </w:tc>
        <w:tc>
          <w:tcPr>
            <w:tcW w:w="574" w:type="dxa"/>
            <w:vMerge/>
            <w:tcBorders>
              <w:left w:val="single" w:sz="9" w:space="0" w:color="D2D2D2"/>
              <w:bottom w:val="single" w:sz="4" w:space="0" w:color="000000"/>
              <w:right w:val="single" w:sz="4" w:space="0" w:color="000000"/>
            </w:tcBorders>
          </w:tcPr>
          <w:p>
            <w:pPr/>
          </w:p>
        </w:tc>
        <w:tc>
          <w:tcPr>
            <w:tcW w:w="530" w:type="dxa"/>
            <w:vMerge/>
            <w:tcBorders>
              <w:left w:val="single" w:sz="4" w:space="0" w:color="000000"/>
              <w:bottom w:val="single" w:sz="4" w:space="0" w:color="000000"/>
              <w:right w:val="single" w:sz="4" w:space="0" w:color="000000"/>
            </w:tcBorders>
          </w:tcPr>
          <w:p>
            <w:pPr/>
          </w:p>
        </w:tc>
        <w:tc>
          <w:tcPr>
            <w:tcW w:w="532" w:type="dxa"/>
            <w:vMerge/>
            <w:tcBorders>
              <w:left w:val="single" w:sz="4" w:space="0" w:color="000000"/>
              <w:bottom w:val="single" w:sz="4" w:space="0" w:color="000000"/>
              <w:right w:val="single" w:sz="4" w:space="0" w:color="000000"/>
            </w:tcBorders>
          </w:tcPr>
          <w:p>
            <w:pPr/>
          </w:p>
        </w:tc>
        <w:tc>
          <w:tcPr>
            <w:tcW w:w="530"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4" w:type="dxa"/>
            <w:vMerge/>
            <w:tcBorders>
              <w:left w:val="single" w:sz="4" w:space="0" w:color="000000"/>
              <w:bottom w:val="single" w:sz="4" w:space="0" w:color="000000"/>
              <w:right w:val="single" w:sz="4" w:space="0" w:color="000000"/>
            </w:tcBorders>
          </w:tcPr>
          <w:p>
            <w:pPr/>
          </w:p>
        </w:tc>
        <w:tc>
          <w:tcPr>
            <w:tcW w:w="666"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59" w:type="dxa"/>
            <w:vMerge/>
            <w:tcBorders>
              <w:left w:val="single" w:sz="4" w:space="0" w:color="000000"/>
              <w:bottom w:val="single" w:sz="4" w:space="0" w:color="000000"/>
              <w:right w:val="single" w:sz="4" w:space="0" w:color="000000"/>
            </w:tcBorders>
          </w:tcPr>
          <w:p>
            <w:pPr/>
          </w:p>
        </w:tc>
      </w:tr>
      <w:tr>
        <w:trPr>
          <w:trHeight w:val="161" w:hRule="exact"/>
        </w:trPr>
        <w:tc>
          <w:tcPr>
            <w:tcW w:w="1415" w:type="dxa"/>
            <w:tcBorders>
              <w:top w:val="single" w:sz="4" w:space="0" w:color="000000"/>
              <w:left w:val="single" w:sz="4" w:space="0" w:color="000000"/>
              <w:bottom w:val="nil" w:sz="6" w:space="0" w:color="auto"/>
              <w:right w:val="single" w:sz="4" w:space="0" w:color="000000"/>
            </w:tcBorders>
            <w:shd w:val="clear" w:color="auto" w:fill="D2D2D2"/>
          </w:tcPr>
          <w:p>
            <w:pPr/>
          </w:p>
        </w:tc>
        <w:tc>
          <w:tcPr>
            <w:tcW w:w="574" w:type="dxa"/>
            <w:vMerge w:val="restart"/>
            <w:tcBorders>
              <w:top w:val="single" w:sz="4" w:space="0" w:color="000000"/>
              <w:left w:val="single" w:sz="9" w:space="0" w:color="D2D2D2"/>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-5,620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,740.0</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0</w:t>
            </w:r>
          </w:p>
        </w:tc>
        <w:tc>
          <w:tcPr>
            <w:tcW w:w="530" w:type="dxa"/>
            <w:vMerge w:val="restart"/>
            <w:tcBorders>
              <w:top w:val="single" w:sz="4" w:space="0" w:color="000000"/>
              <w:left w:val="single" w:sz="4" w:space="0" w:color="000000"/>
              <w:right w:val="single" w:sz="4" w:space="0" w:color="000000"/>
            </w:tcBorders>
          </w:tcPr>
          <w:p>
            <w:pPr/>
          </w:p>
        </w:tc>
        <w:tc>
          <w:tcPr>
            <w:tcW w:w="532" w:type="dxa"/>
            <w:vMerge w:val="restart"/>
            <w:tcBorders>
              <w:top w:val="single" w:sz="4" w:space="0" w:color="000000"/>
              <w:left w:val="single" w:sz="4" w:space="0" w:color="000000"/>
              <w:right w:val="single" w:sz="4" w:space="0" w:color="000000"/>
            </w:tcBorders>
          </w:tcPr>
          <w:p>
            <w:pPr/>
          </w:p>
        </w:tc>
        <w:tc>
          <w:tcPr>
            <w:tcW w:w="530"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7" w:right="0"/>
              <w:jc w:val="center"/>
              <w:rPr>
                <w:rFonts w:ascii="Times New Roman" w:hAnsi="Times New Roman" w:cs="Times New Roman" w:eastAsia="Times New Roman" w:hint="default"/>
                <w:sz w:val="18"/>
                <w:szCs w:val="18"/>
              </w:rPr>
            </w:pPr>
            <w:r>
              <w:rPr>
                <w:rFonts w:ascii="Times New Roman"/>
                <w:sz w:val="18"/>
              </w:rPr>
              <w:t>-63,907,</w:t>
            </w:r>
          </w:p>
          <w:p>
            <w:pPr>
              <w:pStyle w:val="TableParagraph"/>
              <w:spacing w:line="240" w:lineRule="auto" w:before="106"/>
              <w:ind w:left="113" w:right="0"/>
              <w:jc w:val="center"/>
              <w:rPr>
                <w:rFonts w:ascii="Times New Roman" w:hAnsi="Times New Roman" w:cs="Times New Roman" w:eastAsia="Times New Roman" w:hint="default"/>
                <w:sz w:val="18"/>
                <w:szCs w:val="18"/>
              </w:rPr>
            </w:pPr>
            <w:r>
              <w:rPr>
                <w:rFonts w:ascii="Times New Roman"/>
                <w:sz w:val="18"/>
              </w:rPr>
              <w:t>813.80</w:t>
            </w: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4" w:type="dxa"/>
            <w:vMerge w:val="restart"/>
            <w:tcBorders>
              <w:top w:val="single" w:sz="4" w:space="0" w:color="000000"/>
              <w:left w:val="single" w:sz="4" w:space="0" w:color="000000"/>
              <w:right w:val="single" w:sz="4" w:space="0" w:color="000000"/>
            </w:tcBorders>
          </w:tcPr>
          <w:p>
            <w:pPr/>
          </w:p>
        </w:tc>
        <w:tc>
          <w:tcPr>
            <w:tcW w:w="666"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6" w:right="0"/>
              <w:jc w:val="left"/>
              <w:rPr>
                <w:rFonts w:ascii="Times New Roman" w:hAnsi="Times New Roman" w:cs="Times New Roman" w:eastAsia="Times New Roman" w:hint="default"/>
                <w:sz w:val="18"/>
                <w:szCs w:val="18"/>
              </w:rPr>
            </w:pPr>
            <w:r>
              <w:rPr>
                <w:rFonts w:ascii="Times New Roman"/>
                <w:sz w:val="18"/>
              </w:rPr>
              <w:t>400,000</w:t>
            </w:r>
          </w:p>
          <w:p>
            <w:pPr>
              <w:pStyle w:val="TableParagraph"/>
              <w:spacing w:line="240" w:lineRule="auto" w:before="106"/>
              <w:ind w:left="406" w:right="0"/>
              <w:jc w:val="left"/>
              <w:rPr>
                <w:rFonts w:ascii="Times New Roman" w:hAnsi="Times New Roman" w:cs="Times New Roman" w:eastAsia="Times New Roman" w:hint="default"/>
                <w:sz w:val="18"/>
                <w:szCs w:val="18"/>
              </w:rPr>
            </w:pPr>
            <w:r>
              <w:rPr>
                <w:rFonts w:ascii="Times New Roman"/>
                <w:sz w:val="18"/>
              </w:rPr>
              <w:t>.00</w:t>
            </w:r>
          </w:p>
        </w:tc>
        <w:tc>
          <w:tcPr>
            <w:tcW w:w="659"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-69,128,</w:t>
            </w:r>
          </w:p>
          <w:p>
            <w:pPr>
              <w:pStyle w:val="TableParagraph"/>
              <w:spacing w:line="240" w:lineRule="auto" w:before="106"/>
              <w:ind w:left="107" w:right="0"/>
              <w:jc w:val="center"/>
              <w:rPr>
                <w:rFonts w:ascii="Times New Roman" w:hAnsi="Times New Roman" w:cs="Times New Roman" w:eastAsia="Times New Roman" w:hint="default"/>
                <w:sz w:val="18"/>
                <w:szCs w:val="18"/>
              </w:rPr>
            </w:pPr>
            <w:r>
              <w:rPr>
                <w:rFonts w:ascii="Times New Roman"/>
                <w:sz w:val="18"/>
              </w:rPr>
              <w:t>553.80</w:t>
            </w:r>
          </w:p>
        </w:tc>
      </w:tr>
      <w:tr>
        <w:trPr>
          <w:trHeight w:val="704" w:hRule="exact"/>
        </w:trPr>
        <w:tc>
          <w:tcPr>
            <w:tcW w:w="141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02" w:lineRule="auto" w:before="51"/>
              <w:ind w:left="11" w:right="42"/>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．所有者投入的 普通股</w:t>
            </w:r>
          </w:p>
        </w:tc>
        <w:tc>
          <w:tcPr>
            <w:tcW w:w="574" w:type="dxa"/>
            <w:vMerge/>
            <w:tcBorders>
              <w:left w:val="single" w:sz="9" w:space="0" w:color="D2D2D2"/>
              <w:right w:val="single" w:sz="4" w:space="0" w:color="000000"/>
            </w:tcBorders>
          </w:tcPr>
          <w:p>
            <w:pPr/>
          </w:p>
        </w:tc>
        <w:tc>
          <w:tcPr>
            <w:tcW w:w="530" w:type="dxa"/>
            <w:vMerge/>
            <w:tcBorders>
              <w:left w:val="single" w:sz="4" w:space="0" w:color="000000"/>
              <w:right w:val="single" w:sz="4" w:space="0" w:color="000000"/>
            </w:tcBorders>
          </w:tcPr>
          <w:p>
            <w:pPr/>
          </w:p>
        </w:tc>
        <w:tc>
          <w:tcPr>
            <w:tcW w:w="532" w:type="dxa"/>
            <w:vMerge/>
            <w:tcBorders>
              <w:left w:val="single" w:sz="4" w:space="0" w:color="000000"/>
              <w:right w:val="single" w:sz="4" w:space="0" w:color="000000"/>
            </w:tcBorders>
          </w:tcPr>
          <w:p>
            <w:pPr/>
          </w:p>
        </w:tc>
        <w:tc>
          <w:tcPr>
            <w:tcW w:w="530"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4" w:type="dxa"/>
            <w:vMerge/>
            <w:tcBorders>
              <w:left w:val="single" w:sz="4" w:space="0" w:color="000000"/>
              <w:right w:val="single" w:sz="4" w:space="0" w:color="000000"/>
            </w:tcBorders>
          </w:tcPr>
          <w:p>
            <w:pPr/>
          </w:p>
        </w:tc>
        <w:tc>
          <w:tcPr>
            <w:tcW w:w="666"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59" w:type="dxa"/>
            <w:vMerge/>
            <w:tcBorders>
              <w:left w:val="single" w:sz="4" w:space="0" w:color="000000"/>
              <w:right w:val="single" w:sz="4" w:space="0" w:color="000000"/>
            </w:tcBorders>
          </w:tcPr>
          <w:p>
            <w:pPr/>
          </w:p>
        </w:tc>
      </w:tr>
      <w:tr>
        <w:trPr>
          <w:trHeight w:val="161" w:hRule="exact"/>
        </w:trPr>
        <w:tc>
          <w:tcPr>
            <w:tcW w:w="1415" w:type="dxa"/>
            <w:tcBorders>
              <w:top w:val="nil" w:sz="6" w:space="0" w:color="auto"/>
              <w:left w:val="single" w:sz="4" w:space="0" w:color="000000"/>
              <w:bottom w:val="single" w:sz="4" w:space="0" w:color="000000"/>
              <w:right w:val="single" w:sz="4" w:space="0" w:color="000000"/>
            </w:tcBorders>
            <w:shd w:val="clear" w:color="auto" w:fill="D2D2D2"/>
          </w:tcPr>
          <w:p>
            <w:pPr/>
          </w:p>
        </w:tc>
        <w:tc>
          <w:tcPr>
            <w:tcW w:w="574" w:type="dxa"/>
            <w:vMerge/>
            <w:tcBorders>
              <w:left w:val="single" w:sz="9" w:space="0" w:color="D2D2D2"/>
              <w:bottom w:val="single" w:sz="4" w:space="0" w:color="000000"/>
              <w:right w:val="single" w:sz="4" w:space="0" w:color="000000"/>
            </w:tcBorders>
          </w:tcPr>
          <w:p>
            <w:pPr/>
          </w:p>
        </w:tc>
        <w:tc>
          <w:tcPr>
            <w:tcW w:w="530" w:type="dxa"/>
            <w:vMerge/>
            <w:tcBorders>
              <w:left w:val="single" w:sz="4" w:space="0" w:color="000000"/>
              <w:bottom w:val="single" w:sz="4" w:space="0" w:color="000000"/>
              <w:right w:val="single" w:sz="4" w:space="0" w:color="000000"/>
            </w:tcBorders>
          </w:tcPr>
          <w:p>
            <w:pPr/>
          </w:p>
        </w:tc>
        <w:tc>
          <w:tcPr>
            <w:tcW w:w="532" w:type="dxa"/>
            <w:vMerge/>
            <w:tcBorders>
              <w:left w:val="single" w:sz="4" w:space="0" w:color="000000"/>
              <w:bottom w:val="single" w:sz="4" w:space="0" w:color="000000"/>
              <w:right w:val="single" w:sz="4" w:space="0" w:color="000000"/>
            </w:tcBorders>
          </w:tcPr>
          <w:p>
            <w:pPr/>
          </w:p>
        </w:tc>
        <w:tc>
          <w:tcPr>
            <w:tcW w:w="530"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4" w:type="dxa"/>
            <w:vMerge/>
            <w:tcBorders>
              <w:left w:val="single" w:sz="4" w:space="0" w:color="000000"/>
              <w:bottom w:val="single" w:sz="4" w:space="0" w:color="000000"/>
              <w:right w:val="single" w:sz="4" w:space="0" w:color="000000"/>
            </w:tcBorders>
          </w:tcPr>
          <w:p>
            <w:pPr/>
          </w:p>
        </w:tc>
        <w:tc>
          <w:tcPr>
            <w:tcW w:w="666"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59" w:type="dxa"/>
            <w:vMerge/>
            <w:tcBorders>
              <w:left w:val="single" w:sz="4" w:space="0" w:color="000000"/>
              <w:bottom w:val="single" w:sz="4" w:space="0" w:color="000000"/>
              <w:right w:val="single" w:sz="4" w:space="0" w:color="000000"/>
            </w:tcBorders>
          </w:tcPr>
          <w:p>
            <w:pPr/>
          </w:p>
        </w:tc>
      </w:tr>
      <w:tr>
        <w:trPr>
          <w:trHeight w:val="714" w:hRule="exact"/>
        </w:trPr>
        <w:tc>
          <w:tcPr>
            <w:tcW w:w="14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11" w:right="42"/>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．其他权益工具 持有者投入资本</w:t>
            </w:r>
          </w:p>
        </w:tc>
        <w:tc>
          <w:tcPr>
            <w:tcW w:w="574" w:type="dxa"/>
            <w:tcBorders>
              <w:top w:val="single" w:sz="4" w:space="0" w:color="000000"/>
              <w:left w:val="single" w:sz="13" w:space="0" w:color="D2D2D2"/>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11" w:right="42"/>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．股份支付计入 所有者权益的金 额</w:t>
            </w:r>
          </w:p>
        </w:tc>
        <w:tc>
          <w:tcPr>
            <w:tcW w:w="574" w:type="dxa"/>
            <w:tcBorders>
              <w:top w:val="single" w:sz="4" w:space="0" w:color="000000"/>
              <w:left w:val="single" w:sz="13" w:space="0" w:color="D2D2D2"/>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67" w:right="0"/>
              <w:jc w:val="center"/>
              <w:rPr>
                <w:rFonts w:ascii="Times New Roman" w:hAnsi="Times New Roman" w:cs="Times New Roman" w:eastAsia="Times New Roman" w:hint="default"/>
                <w:sz w:val="18"/>
                <w:szCs w:val="18"/>
              </w:rPr>
            </w:pPr>
            <w:r>
              <w:rPr>
                <w:rFonts w:ascii="Times New Roman"/>
                <w:sz w:val="18"/>
              </w:rPr>
              <w:t>4,013,4</w:t>
            </w:r>
          </w:p>
          <w:p>
            <w:pPr>
              <w:pStyle w:val="TableParagraph"/>
              <w:spacing w:line="240" w:lineRule="auto" w:before="106"/>
              <w:ind w:left="204" w:right="0"/>
              <w:jc w:val="center"/>
              <w:rPr>
                <w:rFonts w:ascii="Times New Roman" w:hAnsi="Times New Roman" w:cs="Times New Roman" w:eastAsia="Times New Roman" w:hint="default"/>
                <w:sz w:val="18"/>
                <w:szCs w:val="18"/>
              </w:rPr>
            </w:pPr>
            <w:r>
              <w:rPr>
                <w:rFonts w:ascii="Times New Roman"/>
                <w:sz w:val="18"/>
              </w:rPr>
              <w:t>56.80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61" w:right="0"/>
              <w:jc w:val="center"/>
              <w:rPr>
                <w:rFonts w:ascii="Times New Roman" w:hAnsi="Times New Roman" w:cs="Times New Roman" w:eastAsia="Times New Roman" w:hint="default"/>
                <w:sz w:val="18"/>
                <w:szCs w:val="18"/>
              </w:rPr>
            </w:pPr>
            <w:r>
              <w:rPr>
                <w:rFonts w:ascii="Times New Roman"/>
                <w:sz w:val="18"/>
              </w:rPr>
              <w:t>4,013,4</w:t>
            </w:r>
          </w:p>
          <w:p>
            <w:pPr>
              <w:pStyle w:val="TableParagraph"/>
              <w:spacing w:line="240" w:lineRule="auto" w:before="106"/>
              <w:ind w:left="197" w:right="0"/>
              <w:jc w:val="center"/>
              <w:rPr>
                <w:rFonts w:ascii="Times New Roman" w:hAnsi="Times New Roman" w:cs="Times New Roman" w:eastAsia="Times New Roman" w:hint="default"/>
                <w:sz w:val="18"/>
                <w:szCs w:val="18"/>
              </w:rPr>
            </w:pPr>
            <w:r>
              <w:rPr>
                <w:rFonts w:ascii="Times New Roman"/>
                <w:sz w:val="18"/>
              </w:rPr>
              <w:t>56.80</w:t>
            </w:r>
          </w:p>
        </w:tc>
      </w:tr>
      <w:tr>
        <w:trPr>
          <w:trHeight w:val="161" w:hRule="exact"/>
        </w:trPr>
        <w:tc>
          <w:tcPr>
            <w:tcW w:w="1415" w:type="dxa"/>
            <w:tcBorders>
              <w:top w:val="single" w:sz="4" w:space="0" w:color="000000"/>
              <w:left w:val="single" w:sz="4" w:space="0" w:color="000000"/>
              <w:bottom w:val="nil" w:sz="6" w:space="0" w:color="auto"/>
              <w:right w:val="single" w:sz="4" w:space="0" w:color="000000"/>
            </w:tcBorders>
            <w:shd w:val="clear" w:color="auto" w:fill="D2D2D2"/>
          </w:tcPr>
          <w:p>
            <w:pPr/>
          </w:p>
        </w:tc>
        <w:tc>
          <w:tcPr>
            <w:tcW w:w="574" w:type="dxa"/>
            <w:vMerge w:val="restart"/>
            <w:tcBorders>
              <w:top w:val="single" w:sz="4" w:space="0" w:color="000000"/>
              <w:left w:val="single" w:sz="9" w:space="0" w:color="D2D2D2"/>
              <w:right w:val="single" w:sz="4" w:space="0" w:color="000000"/>
            </w:tcBorders>
          </w:tcPr>
          <w:p>
            <w:pPr/>
          </w:p>
        </w:tc>
        <w:tc>
          <w:tcPr>
            <w:tcW w:w="530" w:type="dxa"/>
            <w:vMerge w:val="restart"/>
            <w:tcBorders>
              <w:top w:val="single" w:sz="4" w:space="0" w:color="000000"/>
              <w:left w:val="single" w:sz="4" w:space="0" w:color="000000"/>
              <w:right w:val="single" w:sz="4" w:space="0" w:color="000000"/>
            </w:tcBorders>
          </w:tcPr>
          <w:p>
            <w:pPr/>
          </w:p>
        </w:tc>
        <w:tc>
          <w:tcPr>
            <w:tcW w:w="532" w:type="dxa"/>
            <w:vMerge w:val="restart"/>
            <w:tcBorders>
              <w:top w:val="single" w:sz="4" w:space="0" w:color="000000"/>
              <w:left w:val="single" w:sz="4" w:space="0" w:color="000000"/>
              <w:right w:val="single" w:sz="4" w:space="0" w:color="000000"/>
            </w:tcBorders>
          </w:tcPr>
          <w:p>
            <w:pPr/>
          </w:p>
        </w:tc>
        <w:tc>
          <w:tcPr>
            <w:tcW w:w="530"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91"/>
              <w:ind w:left="7" w:right="0"/>
              <w:jc w:val="center"/>
              <w:rPr>
                <w:rFonts w:ascii="Times New Roman" w:hAnsi="Times New Roman" w:cs="Times New Roman" w:eastAsia="Times New Roman" w:hint="default"/>
                <w:sz w:val="18"/>
                <w:szCs w:val="18"/>
              </w:rPr>
            </w:pPr>
            <w:r>
              <w:rPr>
                <w:rFonts w:ascii="Times New Roman"/>
                <w:sz w:val="18"/>
              </w:rPr>
              <w:t>-69,528,</w:t>
            </w:r>
          </w:p>
          <w:p>
            <w:pPr>
              <w:pStyle w:val="TableParagraph"/>
              <w:spacing w:line="240" w:lineRule="auto" w:before="106"/>
              <w:ind w:left="113" w:right="0"/>
              <w:jc w:val="center"/>
              <w:rPr>
                <w:rFonts w:ascii="Times New Roman" w:hAnsi="Times New Roman" w:cs="Times New Roman" w:eastAsia="Times New Roman" w:hint="default"/>
                <w:sz w:val="18"/>
                <w:szCs w:val="18"/>
              </w:rPr>
            </w:pPr>
            <w:r>
              <w:rPr>
                <w:rFonts w:ascii="Times New Roman"/>
                <w:sz w:val="18"/>
              </w:rPr>
              <w:t>553.80</w:t>
            </w: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4" w:type="dxa"/>
            <w:vMerge w:val="restart"/>
            <w:tcBorders>
              <w:top w:val="single" w:sz="4" w:space="0" w:color="000000"/>
              <w:left w:val="single" w:sz="4" w:space="0" w:color="000000"/>
              <w:right w:val="single" w:sz="4" w:space="0" w:color="000000"/>
            </w:tcBorders>
          </w:tcPr>
          <w:p>
            <w:pPr/>
          </w:p>
        </w:tc>
        <w:tc>
          <w:tcPr>
            <w:tcW w:w="666"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59" w:type="dxa"/>
            <w:vMerge w:val="restart"/>
            <w:tcBorders>
              <w:top w:val="single" w:sz="4" w:space="0" w:color="000000"/>
              <w:left w:val="single" w:sz="4" w:space="0" w:color="000000"/>
              <w:right w:val="single" w:sz="4" w:space="0" w:color="000000"/>
            </w:tcBorders>
          </w:tcPr>
          <w:p>
            <w:pPr>
              <w:pStyle w:val="TableParagraph"/>
              <w:spacing w:line="240" w:lineRule="auto" w:before="91"/>
              <w:ind w:left="85" w:right="0"/>
              <w:jc w:val="left"/>
              <w:rPr>
                <w:rFonts w:ascii="Times New Roman" w:hAnsi="Times New Roman" w:cs="Times New Roman" w:eastAsia="Times New Roman" w:hint="default"/>
                <w:sz w:val="18"/>
                <w:szCs w:val="18"/>
              </w:rPr>
            </w:pPr>
            <w:r>
              <w:rPr>
                <w:rFonts w:ascii="Times New Roman"/>
                <w:sz w:val="18"/>
              </w:rPr>
              <w:t>69,528,</w:t>
            </w:r>
          </w:p>
          <w:p>
            <w:pPr>
              <w:pStyle w:val="TableParagraph"/>
              <w:spacing w:line="240" w:lineRule="auto" w:before="106"/>
              <w:ind w:left="130" w:right="0"/>
              <w:jc w:val="left"/>
              <w:rPr>
                <w:rFonts w:ascii="Times New Roman" w:hAnsi="Times New Roman" w:cs="Times New Roman" w:eastAsia="Times New Roman" w:hint="default"/>
                <w:sz w:val="18"/>
                <w:szCs w:val="18"/>
              </w:rPr>
            </w:pPr>
            <w:r>
              <w:rPr>
                <w:rFonts w:ascii="Times New Roman"/>
                <w:sz w:val="18"/>
              </w:rPr>
              <w:t>553.80</w:t>
            </w:r>
          </w:p>
        </w:tc>
      </w:tr>
      <w:tr>
        <w:trPr>
          <w:trHeight w:val="392" w:hRule="exact"/>
        </w:trPr>
        <w:tc>
          <w:tcPr>
            <w:tcW w:w="141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574" w:type="dxa"/>
            <w:vMerge/>
            <w:tcBorders>
              <w:left w:val="single" w:sz="9" w:space="0" w:color="D2D2D2"/>
              <w:right w:val="single" w:sz="4" w:space="0" w:color="000000"/>
            </w:tcBorders>
          </w:tcPr>
          <w:p>
            <w:pPr/>
          </w:p>
        </w:tc>
        <w:tc>
          <w:tcPr>
            <w:tcW w:w="530" w:type="dxa"/>
            <w:vMerge/>
            <w:tcBorders>
              <w:left w:val="single" w:sz="4" w:space="0" w:color="000000"/>
              <w:right w:val="single" w:sz="4" w:space="0" w:color="000000"/>
            </w:tcBorders>
          </w:tcPr>
          <w:p>
            <w:pPr/>
          </w:p>
        </w:tc>
        <w:tc>
          <w:tcPr>
            <w:tcW w:w="532" w:type="dxa"/>
            <w:vMerge/>
            <w:tcBorders>
              <w:left w:val="single" w:sz="4" w:space="0" w:color="000000"/>
              <w:right w:val="single" w:sz="4" w:space="0" w:color="000000"/>
            </w:tcBorders>
          </w:tcPr>
          <w:p>
            <w:pPr/>
          </w:p>
        </w:tc>
        <w:tc>
          <w:tcPr>
            <w:tcW w:w="530"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4" w:type="dxa"/>
            <w:vMerge/>
            <w:tcBorders>
              <w:left w:val="single" w:sz="4" w:space="0" w:color="000000"/>
              <w:right w:val="single" w:sz="4" w:space="0" w:color="000000"/>
            </w:tcBorders>
          </w:tcPr>
          <w:p>
            <w:pPr/>
          </w:p>
        </w:tc>
        <w:tc>
          <w:tcPr>
            <w:tcW w:w="666"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59" w:type="dxa"/>
            <w:vMerge/>
            <w:tcBorders>
              <w:left w:val="single" w:sz="4" w:space="0" w:color="000000"/>
              <w:right w:val="single" w:sz="4" w:space="0" w:color="000000"/>
            </w:tcBorders>
          </w:tcPr>
          <w:p>
            <w:pPr/>
          </w:p>
        </w:tc>
      </w:tr>
      <w:tr>
        <w:trPr>
          <w:trHeight w:val="161" w:hRule="exact"/>
        </w:trPr>
        <w:tc>
          <w:tcPr>
            <w:tcW w:w="1415" w:type="dxa"/>
            <w:tcBorders>
              <w:top w:val="nil" w:sz="6" w:space="0" w:color="auto"/>
              <w:left w:val="single" w:sz="4" w:space="0" w:color="000000"/>
              <w:bottom w:val="single" w:sz="4" w:space="0" w:color="000000"/>
              <w:right w:val="single" w:sz="4" w:space="0" w:color="000000"/>
            </w:tcBorders>
            <w:shd w:val="clear" w:color="auto" w:fill="D2D2D2"/>
          </w:tcPr>
          <w:p>
            <w:pPr/>
          </w:p>
        </w:tc>
        <w:tc>
          <w:tcPr>
            <w:tcW w:w="574" w:type="dxa"/>
            <w:vMerge/>
            <w:tcBorders>
              <w:left w:val="single" w:sz="9" w:space="0" w:color="D2D2D2"/>
              <w:bottom w:val="single" w:sz="4" w:space="0" w:color="000000"/>
              <w:right w:val="single" w:sz="4" w:space="0" w:color="000000"/>
            </w:tcBorders>
          </w:tcPr>
          <w:p>
            <w:pPr/>
          </w:p>
        </w:tc>
        <w:tc>
          <w:tcPr>
            <w:tcW w:w="530" w:type="dxa"/>
            <w:vMerge/>
            <w:tcBorders>
              <w:left w:val="single" w:sz="4" w:space="0" w:color="000000"/>
              <w:bottom w:val="single" w:sz="4" w:space="0" w:color="000000"/>
              <w:right w:val="single" w:sz="4" w:space="0" w:color="000000"/>
            </w:tcBorders>
          </w:tcPr>
          <w:p>
            <w:pPr/>
          </w:p>
        </w:tc>
        <w:tc>
          <w:tcPr>
            <w:tcW w:w="532" w:type="dxa"/>
            <w:vMerge/>
            <w:tcBorders>
              <w:left w:val="single" w:sz="4" w:space="0" w:color="000000"/>
              <w:bottom w:val="single" w:sz="4" w:space="0" w:color="000000"/>
              <w:right w:val="single" w:sz="4" w:space="0" w:color="000000"/>
            </w:tcBorders>
          </w:tcPr>
          <w:p>
            <w:pPr/>
          </w:p>
        </w:tc>
        <w:tc>
          <w:tcPr>
            <w:tcW w:w="530"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4" w:type="dxa"/>
            <w:vMerge/>
            <w:tcBorders>
              <w:left w:val="single" w:sz="4" w:space="0" w:color="000000"/>
              <w:bottom w:val="single" w:sz="4" w:space="0" w:color="000000"/>
              <w:right w:val="single" w:sz="4" w:space="0" w:color="000000"/>
            </w:tcBorders>
          </w:tcPr>
          <w:p>
            <w:pPr/>
          </w:p>
        </w:tc>
        <w:tc>
          <w:tcPr>
            <w:tcW w:w="666"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59" w:type="dxa"/>
            <w:vMerge/>
            <w:tcBorders>
              <w:left w:val="single" w:sz="4" w:space="0" w:color="000000"/>
              <w:bottom w:val="single" w:sz="4" w:space="0" w:color="000000"/>
              <w:right w:val="single" w:sz="4" w:space="0" w:color="000000"/>
            </w:tcBorders>
          </w:tcPr>
          <w:p>
            <w:pPr/>
          </w:p>
        </w:tc>
      </w:tr>
      <w:tr>
        <w:trPr>
          <w:trHeight w:val="161" w:hRule="exact"/>
        </w:trPr>
        <w:tc>
          <w:tcPr>
            <w:tcW w:w="1415" w:type="dxa"/>
            <w:tcBorders>
              <w:top w:val="single" w:sz="4" w:space="0" w:color="000000"/>
              <w:left w:val="single" w:sz="4" w:space="0" w:color="000000"/>
              <w:bottom w:val="nil" w:sz="6" w:space="0" w:color="auto"/>
              <w:right w:val="single" w:sz="4" w:space="0" w:color="000000"/>
            </w:tcBorders>
            <w:shd w:val="clear" w:color="auto" w:fill="D2D2D2"/>
          </w:tcPr>
          <w:p>
            <w:pPr/>
          </w:p>
        </w:tc>
        <w:tc>
          <w:tcPr>
            <w:tcW w:w="574" w:type="dxa"/>
            <w:vMerge w:val="restart"/>
            <w:tcBorders>
              <w:top w:val="single" w:sz="4" w:space="0" w:color="000000"/>
              <w:left w:val="single" w:sz="9" w:space="0" w:color="D2D2D2"/>
              <w:right w:val="single" w:sz="4" w:space="0" w:color="000000"/>
            </w:tcBorders>
          </w:tcPr>
          <w:p>
            <w:pPr/>
          </w:p>
        </w:tc>
        <w:tc>
          <w:tcPr>
            <w:tcW w:w="530" w:type="dxa"/>
            <w:vMerge w:val="restart"/>
            <w:tcBorders>
              <w:top w:val="single" w:sz="4" w:space="0" w:color="000000"/>
              <w:left w:val="single" w:sz="4" w:space="0" w:color="000000"/>
              <w:right w:val="single" w:sz="4" w:space="0" w:color="000000"/>
            </w:tcBorders>
          </w:tcPr>
          <w:p>
            <w:pPr/>
          </w:p>
        </w:tc>
        <w:tc>
          <w:tcPr>
            <w:tcW w:w="532" w:type="dxa"/>
            <w:vMerge w:val="restart"/>
            <w:tcBorders>
              <w:top w:val="single" w:sz="4" w:space="0" w:color="000000"/>
              <w:left w:val="single" w:sz="4" w:space="0" w:color="000000"/>
              <w:right w:val="single" w:sz="4" w:space="0" w:color="000000"/>
            </w:tcBorders>
          </w:tcPr>
          <w:p>
            <w:pPr/>
          </w:p>
        </w:tc>
        <w:tc>
          <w:tcPr>
            <w:tcW w:w="530"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4" w:type="dxa"/>
            <w:vMerge w:val="restart"/>
            <w:tcBorders>
              <w:top w:val="single" w:sz="4" w:space="0" w:color="000000"/>
              <w:left w:val="single" w:sz="4" w:space="0" w:color="000000"/>
              <w:right w:val="single" w:sz="4" w:space="0" w:color="000000"/>
            </w:tcBorders>
          </w:tcPr>
          <w:p>
            <w:pPr>
              <w:pStyle w:val="TableParagraph"/>
              <w:spacing w:line="240" w:lineRule="auto" w:before="91"/>
              <w:ind w:left="69" w:right="0"/>
              <w:jc w:val="center"/>
              <w:rPr>
                <w:rFonts w:ascii="Times New Roman" w:hAnsi="Times New Roman" w:cs="Times New Roman" w:eastAsia="Times New Roman" w:hint="default"/>
                <w:sz w:val="18"/>
                <w:szCs w:val="18"/>
              </w:rPr>
            </w:pPr>
            <w:r>
              <w:rPr>
                <w:rFonts w:ascii="Times New Roman"/>
                <w:sz w:val="18"/>
              </w:rPr>
              <w:t>5,576,3</w:t>
            </w:r>
          </w:p>
          <w:p>
            <w:pPr>
              <w:pStyle w:val="TableParagraph"/>
              <w:spacing w:line="240" w:lineRule="auto" w:before="106"/>
              <w:ind w:left="204" w:right="0"/>
              <w:jc w:val="center"/>
              <w:rPr>
                <w:rFonts w:ascii="Times New Roman" w:hAnsi="Times New Roman" w:cs="Times New Roman" w:eastAsia="Times New Roman" w:hint="default"/>
                <w:sz w:val="18"/>
                <w:szCs w:val="18"/>
              </w:rPr>
            </w:pPr>
            <w:r>
              <w:rPr>
                <w:rFonts w:ascii="Times New Roman"/>
                <w:sz w:val="18"/>
              </w:rPr>
              <w:t>81.38</w:t>
            </w:r>
          </w:p>
        </w:tc>
        <w:tc>
          <w:tcPr>
            <w:tcW w:w="666"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91"/>
              <w:ind w:left="7" w:right="0"/>
              <w:jc w:val="center"/>
              <w:rPr>
                <w:rFonts w:ascii="Times New Roman" w:hAnsi="Times New Roman" w:cs="Times New Roman" w:eastAsia="Times New Roman" w:hint="default"/>
                <w:sz w:val="18"/>
                <w:szCs w:val="18"/>
              </w:rPr>
            </w:pPr>
            <w:r>
              <w:rPr>
                <w:rFonts w:ascii="Times New Roman"/>
                <w:sz w:val="18"/>
              </w:rPr>
              <w:t>-24,727,</w:t>
            </w:r>
          </w:p>
          <w:p>
            <w:pPr>
              <w:pStyle w:val="TableParagraph"/>
              <w:spacing w:line="240" w:lineRule="auto" w:before="106"/>
              <w:ind w:left="113" w:right="0"/>
              <w:jc w:val="center"/>
              <w:rPr>
                <w:rFonts w:ascii="Times New Roman" w:hAnsi="Times New Roman" w:cs="Times New Roman" w:eastAsia="Times New Roman" w:hint="default"/>
                <w:sz w:val="18"/>
                <w:szCs w:val="18"/>
              </w:rPr>
            </w:pPr>
            <w:r>
              <w:rPr>
                <w:rFonts w:ascii="Times New Roman"/>
                <w:sz w:val="18"/>
              </w:rPr>
              <w:t>421.59</w:t>
            </w:r>
          </w:p>
        </w:tc>
        <w:tc>
          <w:tcPr>
            <w:tcW w:w="665" w:type="dxa"/>
            <w:vMerge w:val="restart"/>
            <w:tcBorders>
              <w:top w:val="single" w:sz="4" w:space="0" w:color="000000"/>
              <w:left w:val="single" w:sz="4" w:space="0" w:color="000000"/>
              <w:right w:val="single" w:sz="4" w:space="0" w:color="000000"/>
            </w:tcBorders>
          </w:tcPr>
          <w:p>
            <w:pPr/>
          </w:p>
        </w:tc>
        <w:tc>
          <w:tcPr>
            <w:tcW w:w="659" w:type="dxa"/>
            <w:vMerge w:val="restart"/>
            <w:tcBorders>
              <w:top w:val="single" w:sz="4" w:space="0" w:color="000000"/>
              <w:left w:val="single" w:sz="4" w:space="0" w:color="000000"/>
              <w:right w:val="single" w:sz="4" w:space="0" w:color="000000"/>
            </w:tcBorders>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-19,151,</w:t>
            </w:r>
          </w:p>
          <w:p>
            <w:pPr>
              <w:pStyle w:val="TableParagraph"/>
              <w:spacing w:line="240" w:lineRule="auto" w:before="106"/>
              <w:ind w:left="107" w:right="0"/>
              <w:jc w:val="center"/>
              <w:rPr>
                <w:rFonts w:ascii="Times New Roman" w:hAnsi="Times New Roman" w:cs="Times New Roman" w:eastAsia="Times New Roman" w:hint="default"/>
                <w:sz w:val="18"/>
                <w:szCs w:val="18"/>
              </w:rPr>
            </w:pPr>
            <w:r>
              <w:rPr>
                <w:rFonts w:ascii="Times New Roman"/>
                <w:sz w:val="18"/>
              </w:rPr>
              <w:t>040.21</w:t>
            </w:r>
          </w:p>
        </w:tc>
      </w:tr>
      <w:tr>
        <w:trPr>
          <w:trHeight w:val="392" w:hRule="exact"/>
        </w:trPr>
        <w:tc>
          <w:tcPr>
            <w:tcW w:w="141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（三）利润分配</w:t>
            </w:r>
          </w:p>
        </w:tc>
        <w:tc>
          <w:tcPr>
            <w:tcW w:w="574" w:type="dxa"/>
            <w:vMerge/>
            <w:tcBorders>
              <w:left w:val="single" w:sz="9" w:space="0" w:color="D2D2D2"/>
              <w:right w:val="single" w:sz="4" w:space="0" w:color="000000"/>
            </w:tcBorders>
          </w:tcPr>
          <w:p>
            <w:pPr/>
          </w:p>
        </w:tc>
        <w:tc>
          <w:tcPr>
            <w:tcW w:w="530" w:type="dxa"/>
            <w:vMerge/>
            <w:tcBorders>
              <w:left w:val="single" w:sz="4" w:space="0" w:color="000000"/>
              <w:right w:val="single" w:sz="4" w:space="0" w:color="000000"/>
            </w:tcBorders>
          </w:tcPr>
          <w:p>
            <w:pPr/>
          </w:p>
        </w:tc>
        <w:tc>
          <w:tcPr>
            <w:tcW w:w="532" w:type="dxa"/>
            <w:vMerge/>
            <w:tcBorders>
              <w:left w:val="single" w:sz="4" w:space="0" w:color="000000"/>
              <w:right w:val="single" w:sz="4" w:space="0" w:color="000000"/>
            </w:tcBorders>
          </w:tcPr>
          <w:p>
            <w:pPr/>
          </w:p>
        </w:tc>
        <w:tc>
          <w:tcPr>
            <w:tcW w:w="530"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4" w:type="dxa"/>
            <w:vMerge/>
            <w:tcBorders>
              <w:left w:val="single" w:sz="4" w:space="0" w:color="000000"/>
              <w:right w:val="single" w:sz="4" w:space="0" w:color="000000"/>
            </w:tcBorders>
          </w:tcPr>
          <w:p>
            <w:pPr/>
          </w:p>
        </w:tc>
        <w:tc>
          <w:tcPr>
            <w:tcW w:w="666"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59" w:type="dxa"/>
            <w:vMerge/>
            <w:tcBorders>
              <w:left w:val="single" w:sz="4" w:space="0" w:color="000000"/>
              <w:right w:val="single" w:sz="4" w:space="0" w:color="000000"/>
            </w:tcBorders>
          </w:tcPr>
          <w:p>
            <w:pPr/>
          </w:p>
        </w:tc>
      </w:tr>
      <w:tr>
        <w:trPr>
          <w:trHeight w:val="161" w:hRule="exact"/>
        </w:trPr>
        <w:tc>
          <w:tcPr>
            <w:tcW w:w="1415" w:type="dxa"/>
            <w:tcBorders>
              <w:top w:val="nil" w:sz="6" w:space="0" w:color="auto"/>
              <w:left w:val="single" w:sz="4" w:space="0" w:color="000000"/>
              <w:bottom w:val="single" w:sz="4" w:space="0" w:color="000000"/>
              <w:right w:val="single" w:sz="4" w:space="0" w:color="000000"/>
            </w:tcBorders>
            <w:shd w:val="clear" w:color="auto" w:fill="D2D2D2"/>
          </w:tcPr>
          <w:p>
            <w:pPr/>
          </w:p>
        </w:tc>
        <w:tc>
          <w:tcPr>
            <w:tcW w:w="574" w:type="dxa"/>
            <w:vMerge/>
            <w:tcBorders>
              <w:left w:val="single" w:sz="9" w:space="0" w:color="D2D2D2"/>
              <w:bottom w:val="single" w:sz="4" w:space="0" w:color="000000"/>
              <w:right w:val="single" w:sz="4" w:space="0" w:color="000000"/>
            </w:tcBorders>
          </w:tcPr>
          <w:p>
            <w:pPr/>
          </w:p>
        </w:tc>
        <w:tc>
          <w:tcPr>
            <w:tcW w:w="530" w:type="dxa"/>
            <w:vMerge/>
            <w:tcBorders>
              <w:left w:val="single" w:sz="4" w:space="0" w:color="000000"/>
              <w:bottom w:val="single" w:sz="4" w:space="0" w:color="000000"/>
              <w:right w:val="single" w:sz="4" w:space="0" w:color="000000"/>
            </w:tcBorders>
          </w:tcPr>
          <w:p>
            <w:pPr/>
          </w:p>
        </w:tc>
        <w:tc>
          <w:tcPr>
            <w:tcW w:w="532" w:type="dxa"/>
            <w:vMerge/>
            <w:tcBorders>
              <w:left w:val="single" w:sz="4" w:space="0" w:color="000000"/>
              <w:bottom w:val="single" w:sz="4" w:space="0" w:color="000000"/>
              <w:right w:val="single" w:sz="4" w:space="0" w:color="000000"/>
            </w:tcBorders>
          </w:tcPr>
          <w:p>
            <w:pPr/>
          </w:p>
        </w:tc>
        <w:tc>
          <w:tcPr>
            <w:tcW w:w="530"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4" w:type="dxa"/>
            <w:vMerge/>
            <w:tcBorders>
              <w:left w:val="single" w:sz="4" w:space="0" w:color="000000"/>
              <w:bottom w:val="single" w:sz="4" w:space="0" w:color="000000"/>
              <w:right w:val="single" w:sz="4" w:space="0" w:color="000000"/>
            </w:tcBorders>
          </w:tcPr>
          <w:p>
            <w:pPr/>
          </w:p>
        </w:tc>
        <w:tc>
          <w:tcPr>
            <w:tcW w:w="666"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59" w:type="dxa"/>
            <w:vMerge/>
            <w:tcBorders>
              <w:left w:val="single" w:sz="4" w:space="0" w:color="000000"/>
              <w:bottom w:val="single" w:sz="4" w:space="0" w:color="000000"/>
              <w:right w:val="single" w:sz="4" w:space="0" w:color="000000"/>
            </w:tcBorders>
          </w:tcPr>
          <w:p>
            <w:pPr/>
          </w:p>
        </w:tc>
      </w:tr>
      <w:tr>
        <w:trPr>
          <w:trHeight w:val="161" w:hRule="exact"/>
        </w:trPr>
        <w:tc>
          <w:tcPr>
            <w:tcW w:w="1415" w:type="dxa"/>
            <w:tcBorders>
              <w:top w:val="single" w:sz="4" w:space="0" w:color="000000"/>
              <w:left w:val="single" w:sz="4" w:space="0" w:color="000000"/>
              <w:bottom w:val="nil" w:sz="6" w:space="0" w:color="auto"/>
              <w:right w:val="single" w:sz="4" w:space="0" w:color="000000"/>
            </w:tcBorders>
            <w:shd w:val="clear" w:color="auto" w:fill="D2D2D2"/>
          </w:tcPr>
          <w:p>
            <w:pPr/>
          </w:p>
        </w:tc>
        <w:tc>
          <w:tcPr>
            <w:tcW w:w="574" w:type="dxa"/>
            <w:vMerge w:val="restart"/>
            <w:tcBorders>
              <w:top w:val="single" w:sz="4" w:space="0" w:color="000000"/>
              <w:left w:val="single" w:sz="9" w:space="0" w:color="D2D2D2"/>
              <w:right w:val="single" w:sz="4" w:space="0" w:color="000000"/>
            </w:tcBorders>
          </w:tcPr>
          <w:p>
            <w:pPr/>
          </w:p>
        </w:tc>
        <w:tc>
          <w:tcPr>
            <w:tcW w:w="530" w:type="dxa"/>
            <w:vMerge w:val="restart"/>
            <w:tcBorders>
              <w:top w:val="single" w:sz="4" w:space="0" w:color="000000"/>
              <w:left w:val="single" w:sz="4" w:space="0" w:color="000000"/>
              <w:right w:val="single" w:sz="4" w:space="0" w:color="000000"/>
            </w:tcBorders>
          </w:tcPr>
          <w:p>
            <w:pPr/>
          </w:p>
        </w:tc>
        <w:tc>
          <w:tcPr>
            <w:tcW w:w="532" w:type="dxa"/>
            <w:vMerge w:val="restart"/>
            <w:tcBorders>
              <w:top w:val="single" w:sz="4" w:space="0" w:color="000000"/>
              <w:left w:val="single" w:sz="4" w:space="0" w:color="000000"/>
              <w:right w:val="single" w:sz="4" w:space="0" w:color="000000"/>
            </w:tcBorders>
          </w:tcPr>
          <w:p>
            <w:pPr/>
          </w:p>
        </w:tc>
        <w:tc>
          <w:tcPr>
            <w:tcW w:w="530"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4" w:type="dxa"/>
            <w:vMerge w:val="restart"/>
            <w:tcBorders>
              <w:top w:val="single" w:sz="4" w:space="0" w:color="000000"/>
              <w:left w:val="single" w:sz="4" w:space="0" w:color="000000"/>
              <w:right w:val="single" w:sz="4" w:space="0" w:color="000000"/>
            </w:tcBorders>
          </w:tcPr>
          <w:p>
            <w:pPr>
              <w:pStyle w:val="TableParagraph"/>
              <w:spacing w:line="240" w:lineRule="auto" w:before="91"/>
              <w:ind w:left="69" w:right="0"/>
              <w:jc w:val="center"/>
              <w:rPr>
                <w:rFonts w:ascii="Times New Roman" w:hAnsi="Times New Roman" w:cs="Times New Roman" w:eastAsia="Times New Roman" w:hint="default"/>
                <w:sz w:val="18"/>
                <w:szCs w:val="18"/>
              </w:rPr>
            </w:pPr>
            <w:r>
              <w:rPr>
                <w:rFonts w:ascii="Times New Roman"/>
                <w:sz w:val="18"/>
              </w:rPr>
              <w:t>5,576,3</w:t>
            </w:r>
          </w:p>
          <w:p>
            <w:pPr>
              <w:pStyle w:val="TableParagraph"/>
              <w:spacing w:line="240" w:lineRule="auto" w:before="106"/>
              <w:ind w:left="204" w:right="0"/>
              <w:jc w:val="center"/>
              <w:rPr>
                <w:rFonts w:ascii="Times New Roman" w:hAnsi="Times New Roman" w:cs="Times New Roman" w:eastAsia="Times New Roman" w:hint="default"/>
                <w:sz w:val="18"/>
                <w:szCs w:val="18"/>
              </w:rPr>
            </w:pPr>
            <w:r>
              <w:rPr>
                <w:rFonts w:ascii="Times New Roman"/>
                <w:sz w:val="18"/>
              </w:rPr>
              <w:t>81.38</w:t>
            </w:r>
          </w:p>
        </w:tc>
        <w:tc>
          <w:tcPr>
            <w:tcW w:w="666"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91"/>
              <w:ind w:left="7" w:right="0"/>
              <w:jc w:val="center"/>
              <w:rPr>
                <w:rFonts w:ascii="Times New Roman" w:hAnsi="Times New Roman" w:cs="Times New Roman" w:eastAsia="Times New Roman" w:hint="default"/>
                <w:sz w:val="18"/>
                <w:szCs w:val="18"/>
              </w:rPr>
            </w:pPr>
            <w:r>
              <w:rPr>
                <w:rFonts w:ascii="Times New Roman"/>
                <w:sz w:val="18"/>
              </w:rPr>
              <w:t>-5,576,3</w:t>
            </w:r>
          </w:p>
          <w:p>
            <w:pPr>
              <w:pStyle w:val="TableParagraph"/>
              <w:spacing w:line="240" w:lineRule="auto" w:before="106"/>
              <w:ind w:left="203" w:right="0"/>
              <w:jc w:val="center"/>
              <w:rPr>
                <w:rFonts w:ascii="Times New Roman" w:hAnsi="Times New Roman" w:cs="Times New Roman" w:eastAsia="Times New Roman" w:hint="default"/>
                <w:sz w:val="18"/>
                <w:szCs w:val="18"/>
              </w:rPr>
            </w:pPr>
            <w:r>
              <w:rPr>
                <w:rFonts w:ascii="Times New Roman"/>
                <w:sz w:val="18"/>
              </w:rPr>
              <w:t>81.38</w:t>
            </w:r>
          </w:p>
        </w:tc>
        <w:tc>
          <w:tcPr>
            <w:tcW w:w="665" w:type="dxa"/>
            <w:vMerge w:val="restart"/>
            <w:tcBorders>
              <w:top w:val="single" w:sz="4" w:space="0" w:color="000000"/>
              <w:left w:val="single" w:sz="4" w:space="0" w:color="000000"/>
              <w:right w:val="single" w:sz="4" w:space="0" w:color="000000"/>
            </w:tcBorders>
          </w:tcPr>
          <w:p>
            <w:pPr/>
          </w:p>
        </w:tc>
        <w:tc>
          <w:tcPr>
            <w:tcW w:w="659" w:type="dxa"/>
            <w:vMerge w:val="restart"/>
            <w:tcBorders>
              <w:top w:val="single" w:sz="4" w:space="0" w:color="000000"/>
              <w:left w:val="single" w:sz="4" w:space="0" w:color="000000"/>
              <w:right w:val="single" w:sz="4" w:space="0" w:color="000000"/>
            </w:tcBorders>
          </w:tcPr>
          <w:p>
            <w:pPr/>
          </w:p>
        </w:tc>
      </w:tr>
      <w:tr>
        <w:trPr>
          <w:trHeight w:val="392" w:hRule="exact"/>
        </w:trPr>
        <w:tc>
          <w:tcPr>
            <w:tcW w:w="141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574" w:type="dxa"/>
            <w:vMerge/>
            <w:tcBorders>
              <w:left w:val="single" w:sz="9" w:space="0" w:color="D2D2D2"/>
              <w:right w:val="single" w:sz="4" w:space="0" w:color="000000"/>
            </w:tcBorders>
          </w:tcPr>
          <w:p>
            <w:pPr/>
          </w:p>
        </w:tc>
        <w:tc>
          <w:tcPr>
            <w:tcW w:w="530" w:type="dxa"/>
            <w:vMerge/>
            <w:tcBorders>
              <w:left w:val="single" w:sz="4" w:space="0" w:color="000000"/>
              <w:right w:val="single" w:sz="4" w:space="0" w:color="000000"/>
            </w:tcBorders>
          </w:tcPr>
          <w:p>
            <w:pPr/>
          </w:p>
        </w:tc>
        <w:tc>
          <w:tcPr>
            <w:tcW w:w="532" w:type="dxa"/>
            <w:vMerge/>
            <w:tcBorders>
              <w:left w:val="single" w:sz="4" w:space="0" w:color="000000"/>
              <w:right w:val="single" w:sz="4" w:space="0" w:color="000000"/>
            </w:tcBorders>
          </w:tcPr>
          <w:p>
            <w:pPr/>
          </w:p>
        </w:tc>
        <w:tc>
          <w:tcPr>
            <w:tcW w:w="530"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4" w:type="dxa"/>
            <w:vMerge/>
            <w:tcBorders>
              <w:left w:val="single" w:sz="4" w:space="0" w:color="000000"/>
              <w:right w:val="single" w:sz="4" w:space="0" w:color="000000"/>
            </w:tcBorders>
          </w:tcPr>
          <w:p>
            <w:pPr/>
          </w:p>
        </w:tc>
        <w:tc>
          <w:tcPr>
            <w:tcW w:w="666"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59" w:type="dxa"/>
            <w:vMerge/>
            <w:tcBorders>
              <w:left w:val="single" w:sz="4" w:space="0" w:color="000000"/>
              <w:right w:val="single" w:sz="4" w:space="0" w:color="000000"/>
            </w:tcBorders>
          </w:tcPr>
          <w:p>
            <w:pPr/>
          </w:p>
        </w:tc>
      </w:tr>
      <w:tr>
        <w:trPr>
          <w:trHeight w:val="161" w:hRule="exact"/>
        </w:trPr>
        <w:tc>
          <w:tcPr>
            <w:tcW w:w="1415" w:type="dxa"/>
            <w:tcBorders>
              <w:top w:val="nil" w:sz="6" w:space="0" w:color="auto"/>
              <w:left w:val="single" w:sz="4" w:space="0" w:color="000000"/>
              <w:bottom w:val="single" w:sz="4" w:space="0" w:color="000000"/>
              <w:right w:val="single" w:sz="4" w:space="0" w:color="000000"/>
            </w:tcBorders>
            <w:shd w:val="clear" w:color="auto" w:fill="D2D2D2"/>
          </w:tcPr>
          <w:p>
            <w:pPr/>
          </w:p>
        </w:tc>
        <w:tc>
          <w:tcPr>
            <w:tcW w:w="574" w:type="dxa"/>
            <w:vMerge/>
            <w:tcBorders>
              <w:left w:val="single" w:sz="9" w:space="0" w:color="D2D2D2"/>
              <w:bottom w:val="single" w:sz="4" w:space="0" w:color="000000"/>
              <w:right w:val="single" w:sz="4" w:space="0" w:color="000000"/>
            </w:tcBorders>
          </w:tcPr>
          <w:p>
            <w:pPr/>
          </w:p>
        </w:tc>
        <w:tc>
          <w:tcPr>
            <w:tcW w:w="530" w:type="dxa"/>
            <w:vMerge/>
            <w:tcBorders>
              <w:left w:val="single" w:sz="4" w:space="0" w:color="000000"/>
              <w:bottom w:val="single" w:sz="4" w:space="0" w:color="000000"/>
              <w:right w:val="single" w:sz="4" w:space="0" w:color="000000"/>
            </w:tcBorders>
          </w:tcPr>
          <w:p>
            <w:pPr/>
          </w:p>
        </w:tc>
        <w:tc>
          <w:tcPr>
            <w:tcW w:w="532" w:type="dxa"/>
            <w:vMerge/>
            <w:tcBorders>
              <w:left w:val="single" w:sz="4" w:space="0" w:color="000000"/>
              <w:bottom w:val="single" w:sz="4" w:space="0" w:color="000000"/>
              <w:right w:val="single" w:sz="4" w:space="0" w:color="000000"/>
            </w:tcBorders>
          </w:tcPr>
          <w:p>
            <w:pPr/>
          </w:p>
        </w:tc>
        <w:tc>
          <w:tcPr>
            <w:tcW w:w="530"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4" w:type="dxa"/>
            <w:vMerge/>
            <w:tcBorders>
              <w:left w:val="single" w:sz="4" w:space="0" w:color="000000"/>
              <w:bottom w:val="single" w:sz="4" w:space="0" w:color="000000"/>
              <w:right w:val="single" w:sz="4" w:space="0" w:color="000000"/>
            </w:tcBorders>
          </w:tcPr>
          <w:p>
            <w:pPr/>
          </w:p>
        </w:tc>
        <w:tc>
          <w:tcPr>
            <w:tcW w:w="666"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59" w:type="dxa"/>
            <w:vMerge/>
            <w:tcBorders>
              <w:left w:val="single" w:sz="4" w:space="0" w:color="000000"/>
              <w:bottom w:val="single" w:sz="4" w:space="0" w:color="000000"/>
              <w:right w:val="single" w:sz="4" w:space="0" w:color="000000"/>
            </w:tcBorders>
          </w:tcPr>
          <w:p>
            <w:pPr/>
          </w:p>
        </w:tc>
      </w:tr>
      <w:tr>
        <w:trPr>
          <w:trHeight w:val="402" w:hRule="exact"/>
        </w:trPr>
        <w:tc>
          <w:tcPr>
            <w:tcW w:w="14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．提取一般风险</w:t>
            </w:r>
          </w:p>
        </w:tc>
        <w:tc>
          <w:tcPr>
            <w:tcW w:w="574" w:type="dxa"/>
            <w:tcBorders>
              <w:top w:val="single" w:sz="4" w:space="0" w:color="000000"/>
              <w:left w:val="single" w:sz="13" w:space="0" w:color="D2D2D2"/>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7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438"/>
        <w:gridCol w:w="563"/>
        <w:gridCol w:w="530"/>
        <w:gridCol w:w="532"/>
        <w:gridCol w:w="530"/>
        <w:gridCol w:w="665"/>
        <w:gridCol w:w="665"/>
        <w:gridCol w:w="665"/>
        <w:gridCol w:w="665"/>
        <w:gridCol w:w="664"/>
        <w:gridCol w:w="666"/>
        <w:gridCol w:w="665"/>
        <w:gridCol w:w="665"/>
        <w:gridCol w:w="659"/>
      </w:tblGrid>
      <w:tr>
        <w:trPr>
          <w:trHeight w:val="362"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准备</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．对所有者（或 股东）的分配</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 w:right="0"/>
              <w:jc w:val="center"/>
              <w:rPr>
                <w:rFonts w:ascii="Times New Roman" w:hAnsi="Times New Roman" w:cs="Times New Roman" w:eastAsia="Times New Roman" w:hint="default"/>
                <w:sz w:val="18"/>
                <w:szCs w:val="18"/>
              </w:rPr>
            </w:pPr>
            <w:r>
              <w:rPr>
                <w:rFonts w:ascii="Times New Roman"/>
                <w:sz w:val="18"/>
              </w:rPr>
              <w:t>-19,151,</w:t>
            </w:r>
          </w:p>
          <w:p>
            <w:pPr>
              <w:pStyle w:val="TableParagraph"/>
              <w:spacing w:line="240" w:lineRule="auto" w:before="105"/>
              <w:ind w:left="113" w:right="0"/>
              <w:jc w:val="center"/>
              <w:rPr>
                <w:rFonts w:ascii="Times New Roman" w:hAnsi="Times New Roman" w:cs="Times New Roman" w:eastAsia="Times New Roman" w:hint="default"/>
                <w:sz w:val="18"/>
                <w:szCs w:val="18"/>
              </w:rPr>
            </w:pPr>
            <w:r>
              <w:rPr>
                <w:rFonts w:ascii="Times New Roman"/>
                <w:sz w:val="18"/>
              </w:rPr>
              <w:t>040.21</w:t>
            </w: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-19,151,</w:t>
            </w:r>
          </w:p>
          <w:p>
            <w:pPr>
              <w:pStyle w:val="TableParagraph"/>
              <w:spacing w:line="240" w:lineRule="auto" w:before="105"/>
              <w:ind w:left="107" w:right="0"/>
              <w:jc w:val="center"/>
              <w:rPr>
                <w:rFonts w:ascii="Times New Roman" w:hAnsi="Times New Roman" w:cs="Times New Roman" w:eastAsia="Times New Roman" w:hint="default"/>
                <w:sz w:val="18"/>
                <w:szCs w:val="18"/>
              </w:rPr>
            </w:pPr>
            <w:r>
              <w:rPr>
                <w:rFonts w:ascii="Times New Roman"/>
                <w:sz w:val="18"/>
              </w:rPr>
              <w:t>040.21</w:t>
            </w:r>
          </w:p>
        </w:tc>
      </w:tr>
      <w:tr>
        <w:trPr>
          <w:trHeight w:val="402"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6" w:lineRule="auto"/>
              <w:ind w:left="22" w:right="21"/>
              <w:jc w:val="left"/>
              <w:rPr>
                <w:rFonts w:ascii="宋体" w:hAnsi="宋体" w:cs="宋体" w:eastAsia="宋体" w:hint="default"/>
                <w:sz w:val="18"/>
                <w:szCs w:val="18"/>
              </w:rPr>
            </w:pPr>
            <w:r>
              <w:rPr>
                <w:rFonts w:ascii="宋体" w:hAnsi="宋体" w:cs="宋体" w:eastAsia="宋体" w:hint="default"/>
                <w:spacing w:val="-8"/>
                <w:sz w:val="18"/>
                <w:szCs w:val="18"/>
              </w:rPr>
              <w:t>（四）所有者权益</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内部结转</w:t>
            </w:r>
          </w:p>
        </w:tc>
        <w:tc>
          <w:tcPr>
            <w:tcW w:w="5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 w:right="0"/>
              <w:jc w:val="left"/>
              <w:rPr>
                <w:rFonts w:ascii="Times New Roman" w:hAnsi="Times New Roman" w:cs="Times New Roman" w:eastAsia="Times New Roman" w:hint="default"/>
                <w:sz w:val="18"/>
                <w:szCs w:val="18"/>
              </w:rPr>
            </w:pPr>
            <w:r>
              <w:rPr>
                <w:rFonts w:ascii="Times New Roman"/>
                <w:sz w:val="18"/>
              </w:rPr>
              <w:t>162,23</w:t>
            </w:r>
          </w:p>
          <w:p>
            <w:pPr>
              <w:pStyle w:val="TableParagraph"/>
              <w:spacing w:line="240" w:lineRule="auto" w:before="104"/>
              <w:ind w:left="80" w:right="0"/>
              <w:jc w:val="left"/>
              <w:rPr>
                <w:rFonts w:ascii="Times New Roman" w:hAnsi="Times New Roman" w:cs="Times New Roman" w:eastAsia="Times New Roman" w:hint="default"/>
                <w:sz w:val="18"/>
                <w:szCs w:val="18"/>
              </w:rPr>
            </w:pPr>
            <w:r>
              <w:rPr>
                <w:rFonts w:ascii="Times New Roman"/>
                <w:sz w:val="18"/>
              </w:rPr>
              <w:t>7,734.</w:t>
            </w:r>
          </w:p>
          <w:p>
            <w:pPr>
              <w:pStyle w:val="TableParagraph"/>
              <w:spacing w:line="240" w:lineRule="auto" w:before="106"/>
              <w:ind w:left="350" w:right="0"/>
              <w:jc w:val="left"/>
              <w:rPr>
                <w:rFonts w:ascii="Times New Roman" w:hAnsi="Times New Roman" w:cs="Times New Roman" w:eastAsia="Times New Roman" w:hint="default"/>
                <w:sz w:val="18"/>
                <w:szCs w:val="18"/>
              </w:rPr>
            </w:pPr>
            <w:r>
              <w:rPr>
                <w:rFonts w:ascii="Times New Roman"/>
                <w:sz w:val="18"/>
              </w:rPr>
              <w:t>00</w:t>
            </w: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-162,23</w:t>
            </w:r>
          </w:p>
          <w:p>
            <w:pPr>
              <w:pStyle w:val="TableParagraph"/>
              <w:spacing w:line="240" w:lineRule="auto" w:before="104"/>
              <w:ind w:right="21"/>
              <w:jc w:val="right"/>
              <w:rPr>
                <w:rFonts w:ascii="Times New Roman" w:hAnsi="Times New Roman" w:cs="Times New Roman" w:eastAsia="Times New Roman" w:hint="default"/>
                <w:sz w:val="18"/>
                <w:szCs w:val="18"/>
              </w:rPr>
            </w:pPr>
            <w:r>
              <w:rPr>
                <w:rFonts w:ascii="Times New Roman"/>
                <w:sz w:val="18"/>
              </w:rPr>
              <w:t>7,734.0</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00" w:lineRule="auto"/>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．资本公积转增 资本（或股本）</w:t>
            </w:r>
          </w:p>
        </w:tc>
        <w:tc>
          <w:tcPr>
            <w:tcW w:w="5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 w:right="0"/>
              <w:jc w:val="left"/>
              <w:rPr>
                <w:rFonts w:ascii="Times New Roman" w:hAnsi="Times New Roman" w:cs="Times New Roman" w:eastAsia="Times New Roman" w:hint="default"/>
                <w:sz w:val="18"/>
                <w:szCs w:val="18"/>
              </w:rPr>
            </w:pPr>
            <w:r>
              <w:rPr>
                <w:rFonts w:ascii="Times New Roman"/>
                <w:sz w:val="18"/>
              </w:rPr>
              <w:t>162,23</w:t>
            </w:r>
          </w:p>
          <w:p>
            <w:pPr>
              <w:pStyle w:val="TableParagraph"/>
              <w:spacing w:line="240" w:lineRule="auto" w:before="104"/>
              <w:ind w:left="80" w:right="0"/>
              <w:jc w:val="left"/>
              <w:rPr>
                <w:rFonts w:ascii="Times New Roman" w:hAnsi="Times New Roman" w:cs="Times New Roman" w:eastAsia="Times New Roman" w:hint="default"/>
                <w:sz w:val="18"/>
                <w:szCs w:val="18"/>
              </w:rPr>
            </w:pPr>
            <w:r>
              <w:rPr>
                <w:rFonts w:ascii="Times New Roman"/>
                <w:sz w:val="18"/>
              </w:rPr>
              <w:t>7,734.</w:t>
            </w:r>
          </w:p>
          <w:p>
            <w:pPr>
              <w:pStyle w:val="TableParagraph"/>
              <w:spacing w:line="240" w:lineRule="auto" w:before="106"/>
              <w:ind w:left="350" w:right="0"/>
              <w:jc w:val="left"/>
              <w:rPr>
                <w:rFonts w:ascii="Times New Roman" w:hAnsi="Times New Roman" w:cs="Times New Roman" w:eastAsia="Times New Roman" w:hint="default"/>
                <w:sz w:val="18"/>
                <w:szCs w:val="18"/>
              </w:rPr>
            </w:pPr>
            <w:r>
              <w:rPr>
                <w:rFonts w:ascii="Times New Roman"/>
                <w:sz w:val="18"/>
              </w:rPr>
              <w:t>00</w:t>
            </w: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-162,23</w:t>
            </w:r>
          </w:p>
          <w:p>
            <w:pPr>
              <w:pStyle w:val="TableParagraph"/>
              <w:spacing w:line="240" w:lineRule="auto" w:before="104"/>
              <w:ind w:right="21"/>
              <w:jc w:val="right"/>
              <w:rPr>
                <w:rFonts w:ascii="Times New Roman" w:hAnsi="Times New Roman" w:cs="Times New Roman" w:eastAsia="Times New Roman" w:hint="default"/>
                <w:sz w:val="18"/>
                <w:szCs w:val="18"/>
              </w:rPr>
            </w:pPr>
            <w:r>
              <w:rPr>
                <w:rFonts w:ascii="Times New Roman"/>
                <w:sz w:val="18"/>
              </w:rPr>
              <w:t>7,734.0</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．盈余公积转增 资本（或股本）</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 亏损</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．设定受益计划 变动额结转留存 收益</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．其他</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（五）专项储备</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pacing w:val="-8"/>
                <w:sz w:val="18"/>
                <w:szCs w:val="18"/>
              </w:rPr>
              <w:t>四、本期期末余额</w:t>
            </w:r>
          </w:p>
        </w:tc>
        <w:tc>
          <w:tcPr>
            <w:tcW w:w="5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 w:right="0"/>
              <w:jc w:val="left"/>
              <w:rPr>
                <w:rFonts w:ascii="Times New Roman" w:hAnsi="Times New Roman" w:cs="Times New Roman" w:eastAsia="Times New Roman" w:hint="default"/>
                <w:sz w:val="18"/>
                <w:szCs w:val="18"/>
              </w:rPr>
            </w:pPr>
            <w:r>
              <w:rPr>
                <w:rFonts w:ascii="Times New Roman"/>
                <w:sz w:val="18"/>
              </w:rPr>
              <w:t>481,09</w:t>
            </w:r>
          </w:p>
          <w:p>
            <w:pPr>
              <w:pStyle w:val="TableParagraph"/>
              <w:spacing w:line="240" w:lineRule="auto" w:before="104"/>
              <w:ind w:left="80" w:right="0"/>
              <w:jc w:val="left"/>
              <w:rPr>
                <w:rFonts w:ascii="Times New Roman" w:hAnsi="Times New Roman" w:cs="Times New Roman" w:eastAsia="Times New Roman" w:hint="default"/>
                <w:sz w:val="18"/>
                <w:szCs w:val="18"/>
              </w:rPr>
            </w:pPr>
            <w:r>
              <w:rPr>
                <w:rFonts w:ascii="Times New Roman"/>
                <w:sz w:val="18"/>
              </w:rPr>
              <w:t>2,495.</w:t>
            </w:r>
          </w:p>
          <w:p>
            <w:pPr>
              <w:pStyle w:val="TableParagraph"/>
              <w:spacing w:line="240" w:lineRule="auto" w:before="106"/>
              <w:ind w:left="350" w:right="0"/>
              <w:jc w:val="left"/>
              <w:rPr>
                <w:rFonts w:ascii="Times New Roman" w:hAnsi="Times New Roman" w:cs="Times New Roman" w:eastAsia="Times New Roman" w:hint="default"/>
                <w:sz w:val="18"/>
                <w:szCs w:val="18"/>
              </w:rPr>
            </w:pPr>
            <w:r>
              <w:rPr>
                <w:rFonts w:ascii="Times New Roman"/>
                <w:sz w:val="18"/>
              </w:rPr>
              <w:t>00</w:t>
            </w: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6" w:right="0"/>
              <w:jc w:val="left"/>
              <w:rPr>
                <w:rFonts w:ascii="Times New Roman" w:hAnsi="Times New Roman" w:cs="Times New Roman" w:eastAsia="Times New Roman" w:hint="default"/>
                <w:sz w:val="18"/>
                <w:szCs w:val="18"/>
              </w:rPr>
            </w:pPr>
            <w:r>
              <w:rPr>
                <w:rFonts w:ascii="Times New Roman"/>
                <w:sz w:val="18"/>
              </w:rPr>
              <w:t>479,950</w:t>
            </w:r>
          </w:p>
          <w:p>
            <w:pPr>
              <w:pStyle w:val="TableParagraph"/>
              <w:spacing w:line="240" w:lineRule="auto" w:before="105"/>
              <w:ind w:left="91" w:right="0"/>
              <w:jc w:val="left"/>
              <w:rPr>
                <w:rFonts w:ascii="Times New Roman" w:hAnsi="Times New Roman" w:cs="Times New Roman" w:eastAsia="Times New Roman" w:hint="default"/>
                <w:sz w:val="18"/>
                <w:szCs w:val="18"/>
              </w:rPr>
            </w:pPr>
            <w:r>
              <w:rPr>
                <w:rFonts w:ascii="Times New Roman"/>
                <w:sz w:val="18"/>
              </w:rPr>
              <w:t>,978.98</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45,103,</w:t>
            </w:r>
          </w:p>
          <w:p>
            <w:pPr>
              <w:pStyle w:val="TableParagraph"/>
              <w:spacing w:line="240" w:lineRule="auto" w:before="105"/>
              <w:ind w:left="136" w:right="0"/>
              <w:jc w:val="left"/>
              <w:rPr>
                <w:rFonts w:ascii="Times New Roman" w:hAnsi="Times New Roman" w:cs="Times New Roman" w:eastAsia="Times New Roman" w:hint="default"/>
                <w:sz w:val="18"/>
                <w:szCs w:val="18"/>
              </w:rPr>
            </w:pPr>
            <w:r>
              <w:rPr>
                <w:rFonts w:ascii="Times New Roman"/>
                <w:sz w:val="18"/>
              </w:rPr>
              <w:t>948.56</w:t>
            </w: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6" w:right="0"/>
              <w:jc w:val="left"/>
              <w:rPr>
                <w:rFonts w:ascii="Times New Roman" w:hAnsi="Times New Roman" w:cs="Times New Roman" w:eastAsia="Times New Roman" w:hint="default"/>
                <w:sz w:val="18"/>
                <w:szCs w:val="18"/>
              </w:rPr>
            </w:pPr>
            <w:r>
              <w:rPr>
                <w:rFonts w:ascii="Times New Roman"/>
                <w:sz w:val="18"/>
              </w:rPr>
              <w:t>436,431</w:t>
            </w:r>
          </w:p>
          <w:p>
            <w:pPr>
              <w:pStyle w:val="TableParagraph"/>
              <w:spacing w:line="240" w:lineRule="auto" w:before="105"/>
              <w:ind w:left="91" w:right="0"/>
              <w:jc w:val="left"/>
              <w:rPr>
                <w:rFonts w:ascii="Times New Roman" w:hAnsi="Times New Roman" w:cs="Times New Roman" w:eastAsia="Times New Roman" w:hint="default"/>
                <w:sz w:val="18"/>
                <w:szCs w:val="18"/>
              </w:rPr>
            </w:pPr>
            <w:r>
              <w:rPr>
                <w:rFonts w:ascii="Times New Roman"/>
                <w:sz w:val="18"/>
              </w:rPr>
              <w:t>,760.94</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20,486,</w:t>
            </w:r>
          </w:p>
          <w:p>
            <w:pPr>
              <w:pStyle w:val="TableParagraph"/>
              <w:spacing w:line="240" w:lineRule="auto" w:before="105"/>
              <w:ind w:left="136" w:right="0"/>
              <w:jc w:val="left"/>
              <w:rPr>
                <w:rFonts w:ascii="Times New Roman" w:hAnsi="Times New Roman" w:cs="Times New Roman" w:eastAsia="Times New Roman" w:hint="default"/>
                <w:sz w:val="18"/>
                <w:szCs w:val="18"/>
              </w:rPr>
            </w:pPr>
            <w:r>
              <w:rPr>
                <w:rFonts w:ascii="Times New Roman"/>
                <w:sz w:val="18"/>
              </w:rPr>
              <w:t>024.36</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1,463,0</w:t>
            </w:r>
          </w:p>
          <w:p>
            <w:pPr>
              <w:pStyle w:val="TableParagraph"/>
              <w:spacing w:line="240" w:lineRule="auto" w:before="104"/>
              <w:ind w:right="21"/>
              <w:jc w:val="right"/>
              <w:rPr>
                <w:rFonts w:ascii="Times New Roman" w:hAnsi="Times New Roman" w:cs="Times New Roman" w:eastAsia="Times New Roman" w:hint="default"/>
                <w:sz w:val="18"/>
                <w:szCs w:val="18"/>
              </w:rPr>
            </w:pPr>
            <w:r>
              <w:rPr>
                <w:rFonts w:ascii="Times New Roman"/>
                <w:sz w:val="18"/>
              </w:rPr>
              <w:t>65,207.</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84</w:t>
            </w:r>
          </w:p>
        </w:tc>
      </w:tr>
    </w:tbl>
    <w:p>
      <w:pPr>
        <w:spacing w:before="51"/>
        <w:ind w:left="154" w:right="1117" w:firstLine="0"/>
        <w:jc w:val="left"/>
        <w:rPr>
          <w:rFonts w:ascii="宋体" w:hAnsi="宋体" w:cs="宋体" w:eastAsia="宋体" w:hint="default"/>
          <w:sz w:val="18"/>
          <w:szCs w:val="18"/>
        </w:rPr>
      </w:pPr>
      <w:r>
        <w:rPr>
          <w:rFonts w:ascii="宋体" w:hAnsi="宋体" w:cs="宋体" w:eastAsia="宋体" w:hint="default"/>
          <w:sz w:val="18"/>
          <w:szCs w:val="18"/>
        </w:rPr>
        <w:t>上期金额</w:t>
      </w:r>
    </w:p>
    <w:p>
      <w:pPr>
        <w:spacing w:before="117"/>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1427"/>
        <w:gridCol w:w="562"/>
        <w:gridCol w:w="530"/>
        <w:gridCol w:w="532"/>
        <w:gridCol w:w="530"/>
        <w:gridCol w:w="665"/>
        <w:gridCol w:w="665"/>
        <w:gridCol w:w="665"/>
        <w:gridCol w:w="665"/>
        <w:gridCol w:w="665"/>
        <w:gridCol w:w="665"/>
        <w:gridCol w:w="678"/>
        <w:gridCol w:w="652"/>
        <w:gridCol w:w="659"/>
      </w:tblGrid>
      <w:tr>
        <w:trPr>
          <w:trHeight w:val="402" w:hRule="exact"/>
        </w:trPr>
        <w:tc>
          <w:tcPr>
            <w:tcW w:w="1427" w:type="dxa"/>
            <w:vMerge w:val="restart"/>
            <w:tcBorders>
              <w:top w:val="single" w:sz="4" w:space="0" w:color="000000"/>
              <w:left w:val="single" w:sz="4" w:space="0" w:color="000000"/>
              <w:right w:val="single" w:sz="4" w:space="0" w:color="000000"/>
            </w:tcBorders>
            <w:shd w:val="clear" w:color="auto" w:fill="D2D2D2"/>
          </w:tcPr>
          <w:p>
            <w:pPr/>
          </w:p>
        </w:tc>
        <w:tc>
          <w:tcPr>
            <w:tcW w:w="8132" w:type="dxa"/>
            <w:gridSpan w:val="1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w:t>
            </w:r>
          </w:p>
        </w:tc>
      </w:tr>
      <w:tr>
        <w:trPr>
          <w:trHeight w:val="251" w:hRule="exact"/>
        </w:trPr>
        <w:tc>
          <w:tcPr>
            <w:tcW w:w="1427" w:type="dxa"/>
            <w:vMerge/>
            <w:tcBorders>
              <w:left w:val="single" w:sz="4" w:space="0" w:color="000000"/>
              <w:right w:val="single" w:sz="4" w:space="0" w:color="000000"/>
            </w:tcBorders>
            <w:shd w:val="clear" w:color="auto" w:fill="D2D2D2"/>
          </w:tcPr>
          <w:p>
            <w:pPr/>
          </w:p>
        </w:tc>
        <w:tc>
          <w:tcPr>
            <w:tcW w:w="6822" w:type="dxa"/>
            <w:gridSpan w:val="11"/>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归属于母公司所有者权益</w:t>
            </w:r>
          </w:p>
        </w:tc>
        <w:tc>
          <w:tcPr>
            <w:tcW w:w="652" w:type="dxa"/>
            <w:vMerge w:val="restart"/>
            <w:tcBorders>
              <w:top w:val="single" w:sz="4" w:space="0" w:color="000000"/>
              <w:left w:val="single" w:sz="4" w:space="0" w:color="000000"/>
              <w:right w:val="single" w:sz="4" w:space="0" w:color="000000"/>
            </w:tcBorders>
            <w:shd w:val="clear" w:color="auto" w:fill="D2D2D2"/>
          </w:tcPr>
          <w:p>
            <w:pPr/>
          </w:p>
        </w:tc>
        <w:tc>
          <w:tcPr>
            <w:tcW w:w="659"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51" w:hRule="exact"/>
        </w:trPr>
        <w:tc>
          <w:tcPr>
            <w:tcW w:w="1427" w:type="dxa"/>
            <w:vMerge/>
            <w:tcBorders>
              <w:left w:val="single" w:sz="4" w:space="0" w:color="000000"/>
              <w:bottom w:val="nil" w:sz="6" w:space="0" w:color="auto"/>
              <w:right w:val="single" w:sz="4" w:space="0" w:color="000000"/>
            </w:tcBorders>
            <w:shd w:val="clear" w:color="auto" w:fill="D2D2D2"/>
          </w:tcPr>
          <w:p>
            <w:pPr/>
          </w:p>
        </w:tc>
        <w:tc>
          <w:tcPr>
            <w:tcW w:w="6822" w:type="dxa"/>
            <w:gridSpan w:val="11"/>
            <w:vMerge/>
            <w:tcBorders>
              <w:left w:val="single" w:sz="4" w:space="0" w:color="000000"/>
              <w:bottom w:val="single" w:sz="4" w:space="0" w:color="000000"/>
              <w:right w:val="single" w:sz="4" w:space="0" w:color="000000"/>
            </w:tcBorders>
            <w:shd w:val="clear" w:color="auto" w:fill="D2D2D2"/>
          </w:tcPr>
          <w:p>
            <w:pPr/>
          </w:p>
        </w:tc>
        <w:tc>
          <w:tcPr>
            <w:tcW w:w="652" w:type="dxa"/>
            <w:vMerge/>
            <w:tcBorders>
              <w:left w:val="single" w:sz="4" w:space="0" w:color="000000"/>
              <w:bottom w:val="nil" w:sz="6" w:space="0" w:color="auto"/>
              <w:right w:val="single" w:sz="4" w:space="0" w:color="000000"/>
            </w:tcBorders>
            <w:shd w:val="clear" w:color="auto" w:fill="D2D2D2"/>
          </w:tcPr>
          <w:p>
            <w:pPr/>
          </w:p>
        </w:tc>
        <w:tc>
          <w:tcPr>
            <w:tcW w:w="659" w:type="dxa"/>
            <w:vMerge w:val="restart"/>
            <w:tcBorders>
              <w:top w:val="nil" w:sz="6" w:space="0" w:color="auto"/>
              <w:left w:val="single" w:sz="4" w:space="0" w:color="000000"/>
              <w:right w:val="single" w:sz="4" w:space="0" w:color="000000"/>
            </w:tcBorders>
            <w:shd w:val="clear" w:color="auto" w:fill="D2D2D2"/>
          </w:tcPr>
          <w:p>
            <w:pPr>
              <w:pStyle w:val="TableParagraph"/>
              <w:spacing w:line="319" w:lineRule="auto" w:before="51"/>
              <w:ind w:left="53" w:right="53"/>
              <w:jc w:val="center"/>
              <w:rPr>
                <w:rFonts w:ascii="宋体" w:hAnsi="宋体" w:cs="宋体" w:eastAsia="宋体" w:hint="default"/>
                <w:sz w:val="18"/>
                <w:szCs w:val="18"/>
              </w:rPr>
            </w:pPr>
            <w:r>
              <w:rPr>
                <w:rFonts w:ascii="宋体" w:hAnsi="宋体" w:cs="宋体" w:eastAsia="宋体" w:hint="default"/>
                <w:sz w:val="18"/>
                <w:szCs w:val="18"/>
              </w:rPr>
              <w:t>所有者 权益合 计</w:t>
            </w:r>
          </w:p>
        </w:tc>
      </w:tr>
      <w:tr>
        <w:trPr>
          <w:trHeight w:val="206" w:hRule="exact"/>
        </w:trPr>
        <w:tc>
          <w:tcPr>
            <w:tcW w:w="142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1"/>
              <w:ind w:right="11"/>
              <w:jc w:val="center"/>
              <w:rPr>
                <w:rFonts w:ascii="宋体" w:hAnsi="宋体" w:cs="宋体" w:eastAsia="宋体" w:hint="default"/>
                <w:sz w:val="18"/>
                <w:szCs w:val="18"/>
              </w:rPr>
            </w:pPr>
            <w:r>
              <w:rPr>
                <w:rFonts w:ascii="宋体" w:hAnsi="宋体" w:cs="宋体" w:eastAsia="宋体" w:hint="default"/>
                <w:sz w:val="18"/>
                <w:szCs w:val="18"/>
              </w:rPr>
              <w:t>项目</w:t>
            </w:r>
          </w:p>
        </w:tc>
        <w:tc>
          <w:tcPr>
            <w:tcW w:w="562" w:type="dxa"/>
            <w:vMerge w:val="restart"/>
            <w:tcBorders>
              <w:top w:val="single" w:sz="4" w:space="0" w:color="000000"/>
              <w:left w:val="single" w:sz="4" w:space="0" w:color="000000"/>
              <w:right w:val="single" w:sz="4" w:space="0" w:color="000000"/>
            </w:tcBorders>
            <w:shd w:val="clear" w:color="auto" w:fill="D2D2D2"/>
          </w:tcPr>
          <w:p>
            <w:pPr/>
          </w:p>
        </w:tc>
        <w:tc>
          <w:tcPr>
            <w:tcW w:w="1592"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left="250"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678" w:type="dxa"/>
            <w:tcBorders>
              <w:top w:val="single" w:sz="4" w:space="0" w:color="000000"/>
              <w:left w:val="single" w:sz="4" w:space="0" w:color="000000"/>
              <w:bottom w:val="nil" w:sz="6" w:space="0" w:color="auto"/>
              <w:right w:val="single" w:sz="4" w:space="0" w:color="000000"/>
            </w:tcBorders>
            <w:shd w:val="clear" w:color="auto" w:fill="D2D2D2"/>
          </w:tcPr>
          <w:p>
            <w:pPr/>
          </w:p>
        </w:tc>
        <w:tc>
          <w:tcPr>
            <w:tcW w:w="652" w:type="dxa"/>
            <w:vMerge w:val="restart"/>
            <w:tcBorders>
              <w:top w:val="nil" w:sz="6" w:space="0" w:color="auto"/>
              <w:left w:val="single" w:sz="4" w:space="0" w:color="000000"/>
              <w:right w:val="single" w:sz="4" w:space="0" w:color="000000"/>
            </w:tcBorders>
            <w:shd w:val="clear" w:color="auto" w:fill="D2D2D2"/>
          </w:tcPr>
          <w:p>
            <w:pPr>
              <w:pStyle w:val="TableParagraph"/>
              <w:spacing w:line="319" w:lineRule="auto" w:before="56"/>
              <w:ind w:left="50" w:right="49"/>
              <w:jc w:val="left"/>
              <w:rPr>
                <w:rFonts w:ascii="宋体" w:hAnsi="宋体" w:cs="宋体" w:eastAsia="宋体" w:hint="default"/>
                <w:sz w:val="18"/>
                <w:szCs w:val="18"/>
              </w:rPr>
            </w:pPr>
            <w:r>
              <w:rPr>
                <w:rFonts w:ascii="宋体" w:hAnsi="宋体" w:cs="宋体" w:eastAsia="宋体" w:hint="default"/>
                <w:sz w:val="18"/>
                <w:szCs w:val="18"/>
              </w:rPr>
              <w:t>少数股 东权益</w:t>
            </w:r>
          </w:p>
        </w:tc>
        <w:tc>
          <w:tcPr>
            <w:tcW w:w="659" w:type="dxa"/>
            <w:vMerge/>
            <w:tcBorders>
              <w:left w:val="single" w:sz="4" w:space="0" w:color="000000"/>
              <w:right w:val="single" w:sz="4" w:space="0" w:color="000000"/>
            </w:tcBorders>
            <w:shd w:val="clear" w:color="auto" w:fill="D2D2D2"/>
          </w:tcPr>
          <w:p>
            <w:pPr/>
          </w:p>
        </w:tc>
      </w:tr>
      <w:tr>
        <w:trPr>
          <w:trHeight w:val="173" w:hRule="exact"/>
        </w:trPr>
        <w:tc>
          <w:tcPr>
            <w:tcW w:w="1427" w:type="dxa"/>
            <w:vMerge/>
            <w:tcBorders>
              <w:left w:val="single" w:sz="4" w:space="0" w:color="000000"/>
              <w:bottom w:val="nil" w:sz="6" w:space="0" w:color="auto"/>
              <w:right w:val="single" w:sz="4" w:space="0" w:color="000000"/>
            </w:tcBorders>
            <w:shd w:val="clear" w:color="auto" w:fill="D2D2D2"/>
          </w:tcPr>
          <w:p>
            <w:pPr/>
          </w:p>
        </w:tc>
        <w:tc>
          <w:tcPr>
            <w:tcW w:w="562" w:type="dxa"/>
            <w:vMerge/>
            <w:tcBorders>
              <w:left w:val="single" w:sz="4" w:space="0" w:color="000000"/>
              <w:bottom w:val="nil" w:sz="6" w:space="0" w:color="auto"/>
              <w:right w:val="single" w:sz="4" w:space="0" w:color="000000"/>
            </w:tcBorders>
            <w:shd w:val="clear" w:color="auto" w:fill="D2D2D2"/>
          </w:tcPr>
          <w:p>
            <w:pPr/>
          </w:p>
        </w:tc>
        <w:tc>
          <w:tcPr>
            <w:tcW w:w="1592" w:type="dxa"/>
            <w:gridSpan w:val="3"/>
            <w:vMerge/>
            <w:tcBorders>
              <w:left w:val="single" w:sz="4" w:space="0" w:color="000000"/>
              <w:bottom w:val="single" w:sz="4" w:space="0" w:color="000000"/>
              <w:right w:val="single" w:sz="4" w:space="0" w:color="000000"/>
            </w:tcBorders>
            <w:shd w:val="clear" w:color="auto" w:fill="D2D2D2"/>
          </w:tcPr>
          <w:p>
            <w:pP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237" w:right="57" w:hanging="181"/>
              <w:jc w:val="left"/>
              <w:rPr>
                <w:rFonts w:ascii="宋体" w:hAnsi="宋体" w:cs="宋体" w:eastAsia="宋体" w:hint="default"/>
                <w:sz w:val="18"/>
                <w:szCs w:val="18"/>
              </w:rPr>
            </w:pPr>
            <w:r>
              <w:rPr>
                <w:rFonts w:ascii="宋体" w:hAnsi="宋体" w:cs="宋体" w:eastAsia="宋体" w:hint="default"/>
                <w:sz w:val="18"/>
                <w:szCs w:val="18"/>
              </w:rPr>
              <w:t>资本公 积</w:t>
            </w: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146" w:right="56" w:hanging="90"/>
              <w:jc w:val="left"/>
              <w:rPr>
                <w:rFonts w:ascii="宋体" w:hAnsi="宋体" w:cs="宋体" w:eastAsia="宋体" w:hint="default"/>
                <w:sz w:val="18"/>
                <w:szCs w:val="18"/>
              </w:rPr>
            </w:pPr>
            <w:r>
              <w:rPr>
                <w:rFonts w:ascii="宋体" w:hAnsi="宋体" w:cs="宋体" w:eastAsia="宋体" w:hint="default"/>
                <w:sz w:val="18"/>
                <w:szCs w:val="18"/>
              </w:rPr>
              <w:t>减：库 存股</w:t>
            </w: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56" w:right="56"/>
              <w:jc w:val="left"/>
              <w:rPr>
                <w:rFonts w:ascii="宋体" w:hAnsi="宋体" w:cs="宋体" w:eastAsia="宋体" w:hint="default"/>
                <w:sz w:val="18"/>
                <w:szCs w:val="18"/>
              </w:rPr>
            </w:pPr>
            <w:r>
              <w:rPr>
                <w:rFonts w:ascii="宋体" w:hAnsi="宋体" w:cs="宋体" w:eastAsia="宋体" w:hint="default"/>
                <w:sz w:val="18"/>
                <w:szCs w:val="18"/>
              </w:rPr>
              <w:t>其他综 合收益</w:t>
            </w: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236" w:right="56" w:hanging="180"/>
              <w:jc w:val="left"/>
              <w:rPr>
                <w:rFonts w:ascii="宋体" w:hAnsi="宋体" w:cs="宋体" w:eastAsia="宋体" w:hint="default"/>
                <w:sz w:val="18"/>
                <w:szCs w:val="18"/>
              </w:rPr>
            </w:pPr>
            <w:r>
              <w:rPr>
                <w:rFonts w:ascii="宋体" w:hAnsi="宋体" w:cs="宋体" w:eastAsia="宋体" w:hint="default"/>
                <w:sz w:val="18"/>
                <w:szCs w:val="18"/>
              </w:rPr>
              <w:t>专项储 备</w:t>
            </w: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236" w:right="56" w:hanging="180"/>
              <w:jc w:val="left"/>
              <w:rPr>
                <w:rFonts w:ascii="宋体" w:hAnsi="宋体" w:cs="宋体" w:eastAsia="宋体" w:hint="default"/>
                <w:sz w:val="18"/>
                <w:szCs w:val="18"/>
              </w:rPr>
            </w:pPr>
            <w:r>
              <w:rPr>
                <w:rFonts w:ascii="宋体" w:hAnsi="宋体" w:cs="宋体" w:eastAsia="宋体" w:hint="default"/>
                <w:sz w:val="18"/>
                <w:szCs w:val="18"/>
              </w:rPr>
              <w:t>盈余公 积</w:t>
            </w: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56" w:right="57"/>
              <w:jc w:val="left"/>
              <w:rPr>
                <w:rFonts w:ascii="宋体" w:hAnsi="宋体" w:cs="宋体" w:eastAsia="宋体" w:hint="default"/>
                <w:sz w:val="18"/>
                <w:szCs w:val="18"/>
              </w:rPr>
            </w:pPr>
            <w:r>
              <w:rPr>
                <w:rFonts w:ascii="宋体" w:hAnsi="宋体" w:cs="宋体" w:eastAsia="宋体" w:hint="default"/>
                <w:sz w:val="18"/>
                <w:szCs w:val="18"/>
              </w:rPr>
              <w:t>一般风 险准备</w:t>
            </w:r>
          </w:p>
        </w:tc>
        <w:tc>
          <w:tcPr>
            <w:tcW w:w="678"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153" w:right="62" w:hanging="90"/>
              <w:jc w:val="left"/>
              <w:rPr>
                <w:rFonts w:ascii="宋体" w:hAnsi="宋体" w:cs="宋体" w:eastAsia="宋体" w:hint="default"/>
                <w:sz w:val="18"/>
                <w:szCs w:val="18"/>
              </w:rPr>
            </w:pPr>
            <w:r>
              <w:rPr>
                <w:rFonts w:ascii="宋体" w:hAnsi="宋体" w:cs="宋体" w:eastAsia="宋体" w:hint="default"/>
                <w:sz w:val="18"/>
                <w:szCs w:val="18"/>
              </w:rPr>
              <w:t>未分配 利润</w:t>
            </w:r>
          </w:p>
        </w:tc>
        <w:tc>
          <w:tcPr>
            <w:tcW w:w="652" w:type="dxa"/>
            <w:vMerge/>
            <w:tcBorders>
              <w:left w:val="single" w:sz="4" w:space="0" w:color="000000"/>
              <w:right w:val="single" w:sz="4" w:space="0" w:color="000000"/>
            </w:tcBorders>
            <w:shd w:val="clear" w:color="auto" w:fill="D2D2D2"/>
          </w:tcPr>
          <w:p>
            <w:pPr/>
          </w:p>
        </w:tc>
        <w:tc>
          <w:tcPr>
            <w:tcW w:w="659" w:type="dxa"/>
            <w:vMerge/>
            <w:tcBorders>
              <w:left w:val="single" w:sz="4" w:space="0" w:color="000000"/>
              <w:right w:val="single" w:sz="4" w:space="0" w:color="000000"/>
            </w:tcBorders>
            <w:shd w:val="clear" w:color="auto" w:fill="D2D2D2"/>
          </w:tcPr>
          <w:p>
            <w:pPr/>
          </w:p>
        </w:tc>
      </w:tr>
      <w:tr>
        <w:trPr>
          <w:trHeight w:val="184" w:hRule="exact"/>
        </w:trPr>
        <w:tc>
          <w:tcPr>
            <w:tcW w:w="1427" w:type="dxa"/>
            <w:vMerge w:val="restart"/>
            <w:tcBorders>
              <w:top w:val="nil" w:sz="6" w:space="0" w:color="auto"/>
              <w:left w:val="single" w:sz="4" w:space="0" w:color="000000"/>
              <w:right w:val="single" w:sz="4" w:space="0" w:color="000000"/>
            </w:tcBorders>
            <w:shd w:val="clear" w:color="auto" w:fill="D2D2D2"/>
          </w:tcPr>
          <w:p>
            <w:pPr/>
          </w:p>
        </w:tc>
        <w:tc>
          <w:tcPr>
            <w:tcW w:w="56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34"/>
              <w:ind w:left="95"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530"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74"/>
              <w:ind w:left="170" w:right="78" w:hanging="90"/>
              <w:jc w:val="left"/>
              <w:rPr>
                <w:rFonts w:ascii="宋体" w:hAnsi="宋体" w:cs="宋体" w:eastAsia="宋体" w:hint="default"/>
                <w:sz w:val="18"/>
                <w:szCs w:val="18"/>
              </w:rPr>
            </w:pPr>
            <w:r>
              <w:rPr>
                <w:rFonts w:ascii="宋体" w:hAnsi="宋体" w:cs="宋体" w:eastAsia="宋体" w:hint="default"/>
                <w:sz w:val="18"/>
                <w:szCs w:val="18"/>
              </w:rPr>
              <w:t>优先 股</w:t>
            </w:r>
          </w:p>
        </w:tc>
        <w:tc>
          <w:tcPr>
            <w:tcW w:w="532"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74"/>
              <w:ind w:left="171" w:right="78" w:hanging="90"/>
              <w:jc w:val="left"/>
              <w:rPr>
                <w:rFonts w:ascii="宋体" w:hAnsi="宋体" w:cs="宋体" w:eastAsia="宋体" w:hint="default"/>
                <w:sz w:val="18"/>
                <w:szCs w:val="18"/>
              </w:rPr>
            </w:pPr>
            <w:r>
              <w:rPr>
                <w:rFonts w:ascii="宋体" w:hAnsi="宋体" w:cs="宋体" w:eastAsia="宋体" w:hint="default"/>
                <w:sz w:val="18"/>
                <w:szCs w:val="18"/>
              </w:rPr>
              <w:t>永续 债</w:t>
            </w:r>
          </w:p>
        </w:tc>
        <w:tc>
          <w:tcPr>
            <w:tcW w:w="530"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78" w:type="dxa"/>
            <w:vMerge/>
            <w:tcBorders>
              <w:left w:val="single" w:sz="4" w:space="0" w:color="000000"/>
              <w:right w:val="single" w:sz="4" w:space="0" w:color="000000"/>
            </w:tcBorders>
            <w:shd w:val="clear" w:color="auto" w:fill="D2D2D2"/>
          </w:tcPr>
          <w:p>
            <w:pPr/>
          </w:p>
        </w:tc>
        <w:tc>
          <w:tcPr>
            <w:tcW w:w="652" w:type="dxa"/>
            <w:vMerge/>
            <w:tcBorders>
              <w:left w:val="single" w:sz="4" w:space="0" w:color="000000"/>
              <w:right w:val="single" w:sz="4" w:space="0" w:color="000000"/>
            </w:tcBorders>
            <w:shd w:val="clear" w:color="auto" w:fill="D2D2D2"/>
          </w:tcPr>
          <w:p>
            <w:pPr/>
          </w:p>
        </w:tc>
        <w:tc>
          <w:tcPr>
            <w:tcW w:w="659" w:type="dxa"/>
            <w:vMerge/>
            <w:tcBorders>
              <w:left w:val="single" w:sz="4" w:space="0" w:color="000000"/>
              <w:right w:val="single" w:sz="4" w:space="0" w:color="000000"/>
            </w:tcBorders>
            <w:shd w:val="clear" w:color="auto" w:fill="D2D2D2"/>
          </w:tcPr>
          <w:p>
            <w:pPr/>
          </w:p>
        </w:tc>
      </w:tr>
      <w:tr>
        <w:trPr>
          <w:trHeight w:val="169" w:hRule="exact"/>
        </w:trPr>
        <w:tc>
          <w:tcPr>
            <w:tcW w:w="1427" w:type="dxa"/>
            <w:vMerge/>
            <w:tcBorders>
              <w:left w:val="single" w:sz="4" w:space="0" w:color="000000"/>
              <w:right w:val="single" w:sz="4" w:space="0" w:color="000000"/>
            </w:tcBorders>
            <w:shd w:val="clear" w:color="auto" w:fill="D2D2D2"/>
          </w:tcPr>
          <w:p>
            <w:pPr/>
          </w:p>
        </w:tc>
        <w:tc>
          <w:tcPr>
            <w:tcW w:w="562" w:type="dxa"/>
            <w:vMerge/>
            <w:tcBorders>
              <w:left w:val="single" w:sz="4" w:space="0" w:color="000000"/>
              <w:bottom w:val="nil" w:sz="6" w:space="0" w:color="auto"/>
              <w:right w:val="single" w:sz="4" w:space="0" w:color="000000"/>
            </w:tcBorders>
            <w:shd w:val="clear" w:color="auto" w:fill="D2D2D2"/>
          </w:tcPr>
          <w:p>
            <w:pPr/>
          </w:p>
        </w:tc>
        <w:tc>
          <w:tcPr>
            <w:tcW w:w="530" w:type="dxa"/>
            <w:vMerge/>
            <w:tcBorders>
              <w:left w:val="single" w:sz="4" w:space="0" w:color="000000"/>
              <w:right w:val="single" w:sz="4" w:space="0" w:color="000000"/>
            </w:tcBorders>
            <w:shd w:val="clear" w:color="auto" w:fill="D2D2D2"/>
          </w:tcPr>
          <w:p>
            <w:pPr/>
          </w:p>
        </w:tc>
        <w:tc>
          <w:tcPr>
            <w:tcW w:w="532" w:type="dxa"/>
            <w:vMerge/>
            <w:tcBorders>
              <w:left w:val="single" w:sz="4" w:space="0" w:color="000000"/>
              <w:right w:val="single" w:sz="4" w:space="0" w:color="000000"/>
            </w:tcBorders>
            <w:shd w:val="clear" w:color="auto" w:fill="D2D2D2"/>
          </w:tcPr>
          <w:p>
            <w:pPr/>
          </w:p>
        </w:tc>
        <w:tc>
          <w:tcPr>
            <w:tcW w:w="53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80"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78" w:type="dxa"/>
            <w:vMerge/>
            <w:tcBorders>
              <w:left w:val="single" w:sz="4" w:space="0" w:color="000000"/>
              <w:right w:val="single" w:sz="4" w:space="0" w:color="000000"/>
            </w:tcBorders>
            <w:shd w:val="clear" w:color="auto" w:fill="D2D2D2"/>
          </w:tcPr>
          <w:p>
            <w:pPr/>
          </w:p>
        </w:tc>
        <w:tc>
          <w:tcPr>
            <w:tcW w:w="652" w:type="dxa"/>
            <w:vMerge/>
            <w:tcBorders>
              <w:left w:val="single" w:sz="4" w:space="0" w:color="000000"/>
              <w:bottom w:val="nil" w:sz="6" w:space="0" w:color="auto"/>
              <w:right w:val="single" w:sz="4" w:space="0" w:color="000000"/>
            </w:tcBorders>
            <w:shd w:val="clear" w:color="auto" w:fill="D2D2D2"/>
          </w:tcPr>
          <w:p>
            <w:pPr/>
          </w:p>
        </w:tc>
        <w:tc>
          <w:tcPr>
            <w:tcW w:w="659" w:type="dxa"/>
            <w:vMerge/>
            <w:tcBorders>
              <w:left w:val="single" w:sz="4" w:space="0" w:color="000000"/>
              <w:right w:val="single" w:sz="4" w:space="0" w:color="000000"/>
            </w:tcBorders>
            <w:shd w:val="clear" w:color="auto" w:fill="D2D2D2"/>
          </w:tcPr>
          <w:p>
            <w:pPr/>
          </w:p>
        </w:tc>
      </w:tr>
      <w:tr>
        <w:trPr>
          <w:trHeight w:val="156" w:hRule="exact"/>
        </w:trPr>
        <w:tc>
          <w:tcPr>
            <w:tcW w:w="1427" w:type="dxa"/>
            <w:vMerge/>
            <w:tcBorders>
              <w:left w:val="single" w:sz="4" w:space="0" w:color="000000"/>
              <w:right w:val="single" w:sz="4" w:space="0" w:color="000000"/>
            </w:tcBorders>
            <w:shd w:val="clear" w:color="auto" w:fill="D2D2D2"/>
          </w:tcPr>
          <w:p>
            <w:pPr/>
          </w:p>
        </w:tc>
        <w:tc>
          <w:tcPr>
            <w:tcW w:w="562" w:type="dxa"/>
            <w:vMerge w:val="restart"/>
            <w:tcBorders>
              <w:top w:val="nil" w:sz="6" w:space="0" w:color="auto"/>
              <w:left w:val="single" w:sz="4" w:space="0" w:color="000000"/>
              <w:right w:val="single" w:sz="4" w:space="0" w:color="000000"/>
            </w:tcBorders>
            <w:shd w:val="clear" w:color="auto" w:fill="D2D2D2"/>
          </w:tcPr>
          <w:p>
            <w:pPr/>
          </w:p>
        </w:tc>
        <w:tc>
          <w:tcPr>
            <w:tcW w:w="530" w:type="dxa"/>
            <w:vMerge/>
            <w:tcBorders>
              <w:left w:val="single" w:sz="4" w:space="0" w:color="000000"/>
              <w:right w:val="single" w:sz="4" w:space="0" w:color="000000"/>
            </w:tcBorders>
            <w:shd w:val="clear" w:color="auto" w:fill="D2D2D2"/>
          </w:tcPr>
          <w:p>
            <w:pPr/>
          </w:p>
        </w:tc>
        <w:tc>
          <w:tcPr>
            <w:tcW w:w="532" w:type="dxa"/>
            <w:vMerge/>
            <w:tcBorders>
              <w:left w:val="single" w:sz="4" w:space="0" w:color="000000"/>
              <w:right w:val="single" w:sz="4" w:space="0" w:color="000000"/>
            </w:tcBorders>
            <w:shd w:val="clear" w:color="auto" w:fill="D2D2D2"/>
          </w:tcPr>
          <w:p>
            <w:pPr/>
          </w:p>
        </w:tc>
        <w:tc>
          <w:tcPr>
            <w:tcW w:w="530"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78" w:type="dxa"/>
            <w:vMerge/>
            <w:tcBorders>
              <w:left w:val="single" w:sz="4" w:space="0" w:color="000000"/>
              <w:bottom w:val="nil" w:sz="6" w:space="0" w:color="auto"/>
              <w:right w:val="single" w:sz="4" w:space="0" w:color="000000"/>
            </w:tcBorders>
            <w:shd w:val="clear" w:color="auto" w:fill="D2D2D2"/>
          </w:tcPr>
          <w:p>
            <w:pPr/>
          </w:p>
        </w:tc>
        <w:tc>
          <w:tcPr>
            <w:tcW w:w="652" w:type="dxa"/>
            <w:vMerge w:val="restart"/>
            <w:tcBorders>
              <w:top w:val="nil" w:sz="6" w:space="0" w:color="auto"/>
              <w:left w:val="single" w:sz="4" w:space="0" w:color="000000"/>
              <w:right w:val="single" w:sz="4" w:space="0" w:color="000000"/>
            </w:tcBorders>
            <w:shd w:val="clear" w:color="auto" w:fill="D2D2D2"/>
          </w:tcPr>
          <w:p>
            <w:pPr/>
          </w:p>
        </w:tc>
        <w:tc>
          <w:tcPr>
            <w:tcW w:w="659" w:type="dxa"/>
            <w:vMerge/>
            <w:tcBorders>
              <w:left w:val="single" w:sz="4" w:space="0" w:color="000000"/>
              <w:bottom w:val="nil" w:sz="6" w:space="0" w:color="auto"/>
              <w:right w:val="single" w:sz="4" w:space="0" w:color="000000"/>
            </w:tcBorders>
            <w:shd w:val="clear" w:color="auto" w:fill="D2D2D2"/>
          </w:tcPr>
          <w:p>
            <w:pPr/>
          </w:p>
        </w:tc>
      </w:tr>
      <w:tr>
        <w:trPr>
          <w:trHeight w:val="229" w:hRule="exact"/>
        </w:trPr>
        <w:tc>
          <w:tcPr>
            <w:tcW w:w="1427" w:type="dxa"/>
            <w:vMerge/>
            <w:tcBorders>
              <w:left w:val="single" w:sz="4" w:space="0" w:color="000000"/>
              <w:bottom w:val="single" w:sz="4" w:space="0" w:color="000000"/>
              <w:right w:val="single" w:sz="4" w:space="0" w:color="000000"/>
            </w:tcBorders>
            <w:shd w:val="clear" w:color="auto" w:fill="D2D2D2"/>
          </w:tcPr>
          <w:p>
            <w:pPr/>
          </w:p>
        </w:tc>
        <w:tc>
          <w:tcPr>
            <w:tcW w:w="562" w:type="dxa"/>
            <w:vMerge/>
            <w:tcBorders>
              <w:left w:val="single" w:sz="4" w:space="0" w:color="000000"/>
              <w:bottom w:val="single" w:sz="4" w:space="0" w:color="000000"/>
              <w:right w:val="single" w:sz="4" w:space="0" w:color="000000"/>
            </w:tcBorders>
            <w:shd w:val="clear" w:color="auto" w:fill="D2D2D2"/>
          </w:tcPr>
          <w:p>
            <w:pPr/>
          </w:p>
        </w:tc>
        <w:tc>
          <w:tcPr>
            <w:tcW w:w="530" w:type="dxa"/>
            <w:vMerge/>
            <w:tcBorders>
              <w:left w:val="single" w:sz="4" w:space="0" w:color="000000"/>
              <w:bottom w:val="single" w:sz="4" w:space="0" w:color="000000"/>
              <w:right w:val="single" w:sz="4" w:space="0" w:color="000000"/>
            </w:tcBorders>
            <w:shd w:val="clear" w:color="auto" w:fill="D2D2D2"/>
          </w:tcPr>
          <w:p>
            <w:pPr/>
          </w:p>
        </w:tc>
        <w:tc>
          <w:tcPr>
            <w:tcW w:w="532" w:type="dxa"/>
            <w:vMerge/>
            <w:tcBorders>
              <w:left w:val="single" w:sz="4" w:space="0" w:color="000000"/>
              <w:bottom w:val="single" w:sz="4" w:space="0" w:color="000000"/>
              <w:right w:val="single" w:sz="4" w:space="0" w:color="000000"/>
            </w:tcBorders>
            <w:shd w:val="clear" w:color="auto" w:fill="D2D2D2"/>
          </w:tcPr>
          <w:p>
            <w:pPr/>
          </w:p>
        </w:tc>
        <w:tc>
          <w:tcPr>
            <w:tcW w:w="530"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tcBorders>
              <w:top w:val="nil" w:sz="6" w:space="0" w:color="auto"/>
              <w:left w:val="single" w:sz="4" w:space="0" w:color="000000"/>
              <w:bottom w:val="single" w:sz="4" w:space="0" w:color="000000"/>
              <w:right w:val="single" w:sz="4" w:space="0" w:color="000000"/>
            </w:tcBorders>
            <w:shd w:val="clear" w:color="auto" w:fill="D2D2D2"/>
          </w:tcPr>
          <w:p>
            <w:pPr/>
          </w:p>
        </w:tc>
        <w:tc>
          <w:tcPr>
            <w:tcW w:w="678" w:type="dxa"/>
            <w:tcBorders>
              <w:top w:val="nil" w:sz="6" w:space="0" w:color="auto"/>
              <w:left w:val="single" w:sz="4" w:space="0" w:color="000000"/>
              <w:bottom w:val="single" w:sz="4" w:space="0" w:color="000000"/>
              <w:right w:val="single" w:sz="4" w:space="0" w:color="000000"/>
            </w:tcBorders>
            <w:shd w:val="clear" w:color="auto" w:fill="D2D2D2"/>
          </w:tcPr>
          <w:p>
            <w:pPr/>
          </w:p>
        </w:tc>
        <w:tc>
          <w:tcPr>
            <w:tcW w:w="652" w:type="dxa"/>
            <w:vMerge/>
            <w:tcBorders>
              <w:left w:val="single" w:sz="4" w:space="0" w:color="000000"/>
              <w:bottom w:val="single" w:sz="4" w:space="0" w:color="000000"/>
              <w:right w:val="single" w:sz="4" w:space="0" w:color="000000"/>
            </w:tcBorders>
            <w:shd w:val="clear" w:color="auto" w:fill="D2D2D2"/>
          </w:tcPr>
          <w:p>
            <w:pPr/>
          </w:p>
        </w:tc>
        <w:tc>
          <w:tcPr>
            <w:tcW w:w="659"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317" w:hRule="exact"/>
        </w:trPr>
        <w:tc>
          <w:tcPr>
            <w:tcW w:w="1427" w:type="dxa"/>
            <w:tcBorders>
              <w:top w:val="single" w:sz="4" w:space="0" w:color="000000"/>
              <w:left w:val="single" w:sz="4" w:space="0" w:color="000000"/>
              <w:bottom w:val="nil" w:sz="6" w:space="0" w:color="auto"/>
              <w:right w:val="single" w:sz="4" w:space="0" w:color="000000"/>
            </w:tcBorders>
            <w:shd w:val="clear" w:color="auto" w:fill="D2D2D2"/>
          </w:tcPr>
          <w:p>
            <w:pPr/>
          </w:p>
        </w:tc>
        <w:tc>
          <w:tcPr>
            <w:tcW w:w="562" w:type="dxa"/>
            <w:vMerge w:val="restart"/>
            <w:tcBorders>
              <w:top w:val="single" w:sz="4" w:space="0" w:color="000000"/>
              <w:left w:val="single" w:sz="9" w:space="0" w:color="D2D2D2"/>
              <w:right w:val="single" w:sz="4" w:space="0" w:color="000000"/>
            </w:tcBorders>
          </w:tcPr>
          <w:p>
            <w:pPr>
              <w:pStyle w:val="TableParagraph"/>
              <w:spacing w:line="240" w:lineRule="auto" w:before="91"/>
              <w:ind w:left="28" w:right="0"/>
              <w:jc w:val="left"/>
              <w:rPr>
                <w:rFonts w:ascii="Times New Roman" w:hAnsi="Times New Roman" w:cs="Times New Roman" w:eastAsia="Times New Roman" w:hint="default"/>
                <w:sz w:val="18"/>
                <w:szCs w:val="18"/>
              </w:rPr>
            </w:pPr>
            <w:r>
              <w:rPr>
                <w:rFonts w:ascii="Times New Roman"/>
                <w:sz w:val="18"/>
              </w:rPr>
              <w:t>324,58</w:t>
            </w:r>
          </w:p>
          <w:p>
            <w:pPr>
              <w:pStyle w:val="TableParagraph"/>
              <w:spacing w:line="240" w:lineRule="auto" w:before="105"/>
              <w:ind w:left="72" w:right="0"/>
              <w:jc w:val="left"/>
              <w:rPr>
                <w:rFonts w:ascii="Times New Roman" w:hAnsi="Times New Roman" w:cs="Times New Roman" w:eastAsia="Times New Roman" w:hint="default"/>
                <w:sz w:val="18"/>
                <w:szCs w:val="18"/>
              </w:rPr>
            </w:pPr>
            <w:r>
              <w:rPr>
                <w:rFonts w:ascii="Times New Roman"/>
                <w:sz w:val="18"/>
              </w:rPr>
              <w:t>7,301.</w:t>
            </w:r>
          </w:p>
          <w:p>
            <w:pPr>
              <w:pStyle w:val="TableParagraph"/>
              <w:spacing w:line="240" w:lineRule="auto" w:before="106"/>
              <w:ind w:left="342" w:right="0"/>
              <w:jc w:val="left"/>
              <w:rPr>
                <w:rFonts w:ascii="Times New Roman" w:hAnsi="Times New Roman" w:cs="Times New Roman" w:eastAsia="Times New Roman" w:hint="default"/>
                <w:sz w:val="18"/>
                <w:szCs w:val="18"/>
              </w:rPr>
            </w:pPr>
            <w:r>
              <w:rPr>
                <w:rFonts w:ascii="Times New Roman"/>
                <w:sz w:val="18"/>
              </w:rPr>
              <w:t>00</w:t>
            </w:r>
          </w:p>
        </w:tc>
        <w:tc>
          <w:tcPr>
            <w:tcW w:w="530" w:type="dxa"/>
            <w:vMerge w:val="restart"/>
            <w:tcBorders>
              <w:top w:val="single" w:sz="4" w:space="0" w:color="000000"/>
              <w:left w:val="single" w:sz="4" w:space="0" w:color="000000"/>
              <w:right w:val="single" w:sz="4" w:space="0" w:color="000000"/>
            </w:tcBorders>
          </w:tcPr>
          <w:p>
            <w:pPr/>
          </w:p>
        </w:tc>
        <w:tc>
          <w:tcPr>
            <w:tcW w:w="532" w:type="dxa"/>
            <w:vMerge w:val="restart"/>
            <w:tcBorders>
              <w:top w:val="single" w:sz="4" w:space="0" w:color="000000"/>
              <w:left w:val="single" w:sz="4" w:space="0" w:color="000000"/>
              <w:right w:val="single" w:sz="4" w:space="0" w:color="000000"/>
            </w:tcBorders>
          </w:tcPr>
          <w:p>
            <w:pPr/>
          </w:p>
        </w:tc>
        <w:tc>
          <w:tcPr>
            <w:tcW w:w="530"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7" w:right="0"/>
              <w:jc w:val="left"/>
              <w:rPr>
                <w:rFonts w:ascii="Times New Roman" w:hAnsi="Times New Roman" w:cs="Times New Roman" w:eastAsia="Times New Roman" w:hint="default"/>
                <w:sz w:val="18"/>
                <w:szCs w:val="18"/>
              </w:rPr>
            </w:pPr>
            <w:r>
              <w:rPr>
                <w:rFonts w:ascii="Times New Roman"/>
                <w:sz w:val="18"/>
              </w:rPr>
              <w:t>689,027</w:t>
            </w:r>
          </w:p>
          <w:p>
            <w:pPr>
              <w:pStyle w:val="TableParagraph"/>
              <w:spacing w:line="240" w:lineRule="auto" w:before="106"/>
              <w:ind w:left="92" w:right="0"/>
              <w:jc w:val="left"/>
              <w:rPr>
                <w:rFonts w:ascii="Times New Roman" w:hAnsi="Times New Roman" w:cs="Times New Roman" w:eastAsia="Times New Roman" w:hint="default"/>
                <w:sz w:val="18"/>
                <w:szCs w:val="18"/>
              </w:rPr>
            </w:pPr>
            <w:r>
              <w:rPr>
                <w:rFonts w:ascii="Times New Roman"/>
                <w:sz w:val="18"/>
              </w:rPr>
              <w:t>,663.38</w:t>
            </w: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2" w:right="0"/>
              <w:jc w:val="left"/>
              <w:rPr>
                <w:rFonts w:ascii="Times New Roman" w:hAnsi="Times New Roman" w:cs="Times New Roman" w:eastAsia="Times New Roman" w:hint="default"/>
                <w:sz w:val="18"/>
                <w:szCs w:val="18"/>
              </w:rPr>
            </w:pPr>
            <w:r>
              <w:rPr>
                <w:rFonts w:ascii="Times New Roman"/>
                <w:sz w:val="18"/>
              </w:rPr>
              <w:t>117,420</w:t>
            </w:r>
          </w:p>
          <w:p>
            <w:pPr>
              <w:pStyle w:val="TableParagraph"/>
              <w:spacing w:line="240" w:lineRule="auto" w:before="106"/>
              <w:ind w:left="91" w:right="0"/>
              <w:jc w:val="left"/>
              <w:rPr>
                <w:rFonts w:ascii="Times New Roman" w:hAnsi="Times New Roman" w:cs="Times New Roman" w:eastAsia="Times New Roman" w:hint="default"/>
                <w:sz w:val="18"/>
                <w:szCs w:val="18"/>
              </w:rPr>
            </w:pPr>
            <w:r>
              <w:rPr>
                <w:rFonts w:ascii="Times New Roman"/>
                <w:sz w:val="18"/>
              </w:rPr>
              <w:t>,988.00</w:t>
            </w: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30,018,</w:t>
            </w:r>
          </w:p>
          <w:p>
            <w:pPr>
              <w:pStyle w:val="TableParagraph"/>
              <w:spacing w:line="240" w:lineRule="auto" w:before="106"/>
              <w:ind w:left="136" w:right="0"/>
              <w:jc w:val="left"/>
              <w:rPr>
                <w:rFonts w:ascii="Times New Roman" w:hAnsi="Times New Roman" w:cs="Times New Roman" w:eastAsia="Times New Roman" w:hint="default"/>
                <w:sz w:val="18"/>
                <w:szCs w:val="18"/>
              </w:rPr>
            </w:pPr>
            <w:r>
              <w:rPr>
                <w:rFonts w:ascii="Times New Roman"/>
                <w:sz w:val="18"/>
              </w:rPr>
              <w:t>196.80</w:t>
            </w:r>
          </w:p>
        </w:tc>
        <w:tc>
          <w:tcPr>
            <w:tcW w:w="665" w:type="dxa"/>
            <w:vMerge w:val="restart"/>
            <w:tcBorders>
              <w:top w:val="single" w:sz="4" w:space="0" w:color="000000"/>
              <w:left w:val="single" w:sz="4" w:space="0" w:color="000000"/>
              <w:right w:val="single" w:sz="4" w:space="0" w:color="000000"/>
            </w:tcBorders>
          </w:tcPr>
          <w:p>
            <w:pPr/>
          </w:p>
        </w:tc>
        <w:tc>
          <w:tcPr>
            <w:tcW w:w="678"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9" w:right="0"/>
              <w:jc w:val="left"/>
              <w:rPr>
                <w:rFonts w:ascii="Times New Roman" w:hAnsi="Times New Roman" w:cs="Times New Roman" w:eastAsia="Times New Roman" w:hint="default"/>
                <w:sz w:val="18"/>
                <w:szCs w:val="18"/>
              </w:rPr>
            </w:pPr>
            <w:r>
              <w:rPr>
                <w:rFonts w:ascii="Times New Roman"/>
                <w:sz w:val="18"/>
              </w:rPr>
              <w:t>272,739</w:t>
            </w:r>
          </w:p>
          <w:p>
            <w:pPr>
              <w:pStyle w:val="TableParagraph"/>
              <w:spacing w:line="240" w:lineRule="auto" w:before="106"/>
              <w:ind w:left="104" w:right="0"/>
              <w:jc w:val="left"/>
              <w:rPr>
                <w:rFonts w:ascii="Times New Roman" w:hAnsi="Times New Roman" w:cs="Times New Roman" w:eastAsia="Times New Roman" w:hint="default"/>
                <w:sz w:val="18"/>
                <w:szCs w:val="18"/>
              </w:rPr>
            </w:pPr>
            <w:r>
              <w:rPr>
                <w:rFonts w:ascii="Times New Roman"/>
                <w:sz w:val="18"/>
              </w:rPr>
              <w:t>,063.88</w:t>
            </w:r>
          </w:p>
        </w:tc>
        <w:tc>
          <w:tcPr>
            <w:tcW w:w="65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9" w:right="0"/>
              <w:jc w:val="left"/>
              <w:rPr>
                <w:rFonts w:ascii="Times New Roman" w:hAnsi="Times New Roman" w:cs="Times New Roman" w:eastAsia="Times New Roman" w:hint="default"/>
                <w:sz w:val="18"/>
                <w:szCs w:val="18"/>
              </w:rPr>
            </w:pPr>
            <w:r>
              <w:rPr>
                <w:rFonts w:ascii="Times New Roman"/>
                <w:sz w:val="18"/>
              </w:rPr>
              <w:t>18,314,</w:t>
            </w:r>
          </w:p>
          <w:p>
            <w:pPr>
              <w:pStyle w:val="TableParagraph"/>
              <w:spacing w:line="240" w:lineRule="auto" w:before="106"/>
              <w:ind w:left="124" w:right="0"/>
              <w:jc w:val="left"/>
              <w:rPr>
                <w:rFonts w:ascii="Times New Roman" w:hAnsi="Times New Roman" w:cs="Times New Roman" w:eastAsia="Times New Roman" w:hint="default"/>
                <w:sz w:val="18"/>
                <w:szCs w:val="18"/>
              </w:rPr>
            </w:pPr>
            <w:r>
              <w:rPr>
                <w:rFonts w:ascii="Times New Roman"/>
                <w:sz w:val="18"/>
              </w:rPr>
              <w:t>348.38</w:t>
            </w:r>
          </w:p>
        </w:tc>
        <w:tc>
          <w:tcPr>
            <w:tcW w:w="659" w:type="dxa"/>
            <w:vMerge w:val="restart"/>
            <w:tcBorders>
              <w:top w:val="single" w:sz="4" w:space="0" w:color="000000"/>
              <w:left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1,217,2</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65,585.</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44</w:t>
            </w:r>
          </w:p>
        </w:tc>
      </w:tr>
      <w:tr>
        <w:trPr>
          <w:trHeight w:val="392" w:hRule="exact"/>
        </w:trPr>
        <w:tc>
          <w:tcPr>
            <w:tcW w:w="142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pacing w:val="-8"/>
                <w:sz w:val="18"/>
                <w:szCs w:val="18"/>
              </w:rPr>
              <w:t>一、上年期末余额</w:t>
            </w:r>
          </w:p>
        </w:tc>
        <w:tc>
          <w:tcPr>
            <w:tcW w:w="562" w:type="dxa"/>
            <w:vMerge/>
            <w:tcBorders>
              <w:left w:val="single" w:sz="9" w:space="0" w:color="D2D2D2"/>
              <w:right w:val="single" w:sz="4" w:space="0" w:color="000000"/>
            </w:tcBorders>
          </w:tcPr>
          <w:p>
            <w:pPr/>
          </w:p>
        </w:tc>
        <w:tc>
          <w:tcPr>
            <w:tcW w:w="530" w:type="dxa"/>
            <w:vMerge/>
            <w:tcBorders>
              <w:left w:val="single" w:sz="4" w:space="0" w:color="000000"/>
              <w:right w:val="single" w:sz="4" w:space="0" w:color="000000"/>
            </w:tcBorders>
          </w:tcPr>
          <w:p>
            <w:pPr/>
          </w:p>
        </w:tc>
        <w:tc>
          <w:tcPr>
            <w:tcW w:w="532" w:type="dxa"/>
            <w:vMerge/>
            <w:tcBorders>
              <w:left w:val="single" w:sz="4" w:space="0" w:color="000000"/>
              <w:right w:val="single" w:sz="4" w:space="0" w:color="000000"/>
            </w:tcBorders>
          </w:tcPr>
          <w:p>
            <w:pPr/>
          </w:p>
        </w:tc>
        <w:tc>
          <w:tcPr>
            <w:tcW w:w="530"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78" w:type="dxa"/>
            <w:vMerge/>
            <w:tcBorders>
              <w:left w:val="single" w:sz="4" w:space="0" w:color="000000"/>
              <w:right w:val="single" w:sz="4" w:space="0" w:color="000000"/>
            </w:tcBorders>
          </w:tcPr>
          <w:p>
            <w:pPr/>
          </w:p>
        </w:tc>
        <w:tc>
          <w:tcPr>
            <w:tcW w:w="652" w:type="dxa"/>
            <w:vMerge/>
            <w:tcBorders>
              <w:left w:val="single" w:sz="4" w:space="0" w:color="000000"/>
              <w:right w:val="single" w:sz="4" w:space="0" w:color="000000"/>
            </w:tcBorders>
          </w:tcPr>
          <w:p>
            <w:pPr/>
          </w:p>
        </w:tc>
        <w:tc>
          <w:tcPr>
            <w:tcW w:w="659" w:type="dxa"/>
            <w:vMerge/>
            <w:tcBorders>
              <w:left w:val="single" w:sz="4" w:space="0" w:color="000000"/>
              <w:right w:val="single" w:sz="4" w:space="0" w:color="000000"/>
            </w:tcBorders>
          </w:tcPr>
          <w:p>
            <w:pPr/>
          </w:p>
        </w:tc>
      </w:tr>
      <w:tr>
        <w:trPr>
          <w:trHeight w:val="317" w:hRule="exact"/>
        </w:trPr>
        <w:tc>
          <w:tcPr>
            <w:tcW w:w="1427" w:type="dxa"/>
            <w:tcBorders>
              <w:top w:val="nil" w:sz="6" w:space="0" w:color="auto"/>
              <w:left w:val="single" w:sz="4" w:space="0" w:color="000000"/>
              <w:bottom w:val="single" w:sz="4" w:space="0" w:color="000000"/>
              <w:right w:val="single" w:sz="4" w:space="0" w:color="000000"/>
            </w:tcBorders>
            <w:shd w:val="clear" w:color="auto" w:fill="D2D2D2"/>
          </w:tcPr>
          <w:p>
            <w:pPr/>
          </w:p>
        </w:tc>
        <w:tc>
          <w:tcPr>
            <w:tcW w:w="562" w:type="dxa"/>
            <w:vMerge/>
            <w:tcBorders>
              <w:left w:val="single" w:sz="9" w:space="0" w:color="D2D2D2"/>
              <w:bottom w:val="single" w:sz="4" w:space="0" w:color="000000"/>
              <w:right w:val="single" w:sz="4" w:space="0" w:color="000000"/>
            </w:tcBorders>
          </w:tcPr>
          <w:p>
            <w:pPr/>
          </w:p>
        </w:tc>
        <w:tc>
          <w:tcPr>
            <w:tcW w:w="530" w:type="dxa"/>
            <w:vMerge/>
            <w:tcBorders>
              <w:left w:val="single" w:sz="4" w:space="0" w:color="000000"/>
              <w:bottom w:val="single" w:sz="4" w:space="0" w:color="000000"/>
              <w:right w:val="single" w:sz="4" w:space="0" w:color="000000"/>
            </w:tcBorders>
          </w:tcPr>
          <w:p>
            <w:pPr/>
          </w:p>
        </w:tc>
        <w:tc>
          <w:tcPr>
            <w:tcW w:w="532" w:type="dxa"/>
            <w:vMerge/>
            <w:tcBorders>
              <w:left w:val="single" w:sz="4" w:space="0" w:color="000000"/>
              <w:bottom w:val="single" w:sz="4" w:space="0" w:color="000000"/>
              <w:right w:val="single" w:sz="4" w:space="0" w:color="000000"/>
            </w:tcBorders>
          </w:tcPr>
          <w:p>
            <w:pPr/>
          </w:p>
        </w:tc>
        <w:tc>
          <w:tcPr>
            <w:tcW w:w="530"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78" w:type="dxa"/>
            <w:vMerge/>
            <w:tcBorders>
              <w:left w:val="single" w:sz="4" w:space="0" w:color="000000"/>
              <w:bottom w:val="single" w:sz="4" w:space="0" w:color="000000"/>
              <w:right w:val="single" w:sz="4" w:space="0" w:color="000000"/>
            </w:tcBorders>
          </w:tcPr>
          <w:p>
            <w:pPr/>
          </w:p>
        </w:tc>
        <w:tc>
          <w:tcPr>
            <w:tcW w:w="652" w:type="dxa"/>
            <w:vMerge/>
            <w:tcBorders>
              <w:left w:val="single" w:sz="4" w:space="0" w:color="000000"/>
              <w:bottom w:val="single" w:sz="4" w:space="0" w:color="000000"/>
              <w:right w:val="single" w:sz="4" w:space="0" w:color="000000"/>
            </w:tcBorders>
          </w:tcPr>
          <w:p>
            <w:pPr/>
          </w:p>
        </w:tc>
        <w:tc>
          <w:tcPr>
            <w:tcW w:w="659" w:type="dxa"/>
            <w:vMerge/>
            <w:tcBorders>
              <w:left w:val="single" w:sz="4" w:space="0" w:color="000000"/>
              <w:bottom w:val="single" w:sz="4" w:space="0" w:color="000000"/>
              <w:right w:val="single" w:sz="4" w:space="0" w:color="000000"/>
            </w:tcBorders>
          </w:tcPr>
          <w:p>
            <w:pPr/>
          </w:p>
        </w:tc>
      </w:tr>
      <w:tr>
        <w:trPr>
          <w:trHeight w:val="714" w:hRule="exact"/>
        </w:trPr>
        <w:tc>
          <w:tcPr>
            <w:tcW w:w="14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22" w:firstLine="360"/>
              <w:jc w:val="left"/>
              <w:rPr>
                <w:rFonts w:ascii="宋体" w:hAnsi="宋体" w:cs="宋体" w:eastAsia="宋体" w:hint="default"/>
                <w:sz w:val="18"/>
                <w:szCs w:val="18"/>
              </w:rPr>
            </w:pPr>
            <w:r>
              <w:rPr>
                <w:rFonts w:ascii="宋体" w:hAnsi="宋体" w:cs="宋体" w:eastAsia="宋体" w:hint="default"/>
                <w:spacing w:val="-10"/>
                <w:sz w:val="18"/>
                <w:szCs w:val="18"/>
              </w:rPr>
              <w:t>加：会计政策</w:t>
            </w:r>
            <w:r>
              <w:rPr>
                <w:rFonts w:ascii="宋体" w:hAnsi="宋体" w:cs="宋体" w:eastAsia="宋体" w:hint="default"/>
                <w:sz w:val="18"/>
                <w:szCs w:val="18"/>
              </w:rPr>
              <w:t> 变更</w:t>
            </w:r>
          </w:p>
        </w:tc>
        <w:tc>
          <w:tcPr>
            <w:tcW w:w="562" w:type="dxa"/>
            <w:tcBorders>
              <w:top w:val="single" w:sz="4" w:space="0" w:color="000000"/>
              <w:left w:val="single" w:sz="13" w:space="0" w:color="D2D2D2"/>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left="731" w:right="0"/>
              <w:jc w:val="left"/>
              <w:rPr>
                <w:rFonts w:ascii="宋体" w:hAnsi="宋体" w:cs="宋体" w:eastAsia="宋体" w:hint="default"/>
                <w:sz w:val="18"/>
                <w:szCs w:val="18"/>
              </w:rPr>
            </w:pPr>
            <w:r>
              <w:rPr>
                <w:rFonts w:ascii="宋体" w:hAnsi="宋体" w:cs="宋体" w:eastAsia="宋体" w:hint="default"/>
                <w:sz w:val="18"/>
                <w:szCs w:val="18"/>
              </w:rPr>
              <w:t>前期差</w:t>
            </w:r>
          </w:p>
        </w:tc>
        <w:tc>
          <w:tcPr>
            <w:tcW w:w="562" w:type="dxa"/>
            <w:tcBorders>
              <w:top w:val="single" w:sz="4" w:space="0" w:color="000000"/>
              <w:left w:val="single" w:sz="13" w:space="0" w:color="D2D2D2"/>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7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437"/>
        <w:gridCol w:w="562"/>
        <w:gridCol w:w="530"/>
        <w:gridCol w:w="532"/>
        <w:gridCol w:w="530"/>
        <w:gridCol w:w="665"/>
        <w:gridCol w:w="665"/>
        <w:gridCol w:w="665"/>
        <w:gridCol w:w="665"/>
        <w:gridCol w:w="665"/>
        <w:gridCol w:w="665"/>
        <w:gridCol w:w="678"/>
        <w:gridCol w:w="652"/>
        <w:gridCol w:w="659"/>
      </w:tblGrid>
      <w:tr>
        <w:trPr>
          <w:trHeight w:val="362"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错更正</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142" w:firstLine="720"/>
              <w:jc w:val="left"/>
              <w:rPr>
                <w:rFonts w:ascii="宋体" w:hAnsi="宋体" w:cs="宋体" w:eastAsia="宋体" w:hint="default"/>
                <w:sz w:val="18"/>
                <w:szCs w:val="18"/>
              </w:rPr>
            </w:pPr>
            <w:r>
              <w:rPr>
                <w:rFonts w:ascii="宋体" w:hAnsi="宋体" w:cs="宋体" w:eastAsia="宋体" w:hint="default"/>
                <w:sz w:val="18"/>
                <w:szCs w:val="18"/>
              </w:rPr>
              <w:t>同一控 制下企业合并</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pacing w:val="-8"/>
                <w:sz w:val="18"/>
                <w:szCs w:val="18"/>
              </w:rPr>
              <w:t>二、本年期初余额</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 w:right="0"/>
              <w:jc w:val="left"/>
              <w:rPr>
                <w:rFonts w:ascii="Times New Roman" w:hAnsi="Times New Roman" w:cs="Times New Roman" w:eastAsia="Times New Roman" w:hint="default"/>
                <w:sz w:val="18"/>
                <w:szCs w:val="18"/>
              </w:rPr>
            </w:pPr>
            <w:r>
              <w:rPr>
                <w:rFonts w:ascii="Times New Roman"/>
                <w:sz w:val="18"/>
              </w:rPr>
              <w:t>324,58</w:t>
            </w:r>
          </w:p>
          <w:p>
            <w:pPr>
              <w:pStyle w:val="TableParagraph"/>
              <w:spacing w:line="240" w:lineRule="auto" w:before="104"/>
              <w:ind w:left="79" w:right="0"/>
              <w:jc w:val="left"/>
              <w:rPr>
                <w:rFonts w:ascii="Times New Roman" w:hAnsi="Times New Roman" w:cs="Times New Roman" w:eastAsia="Times New Roman" w:hint="default"/>
                <w:sz w:val="18"/>
                <w:szCs w:val="18"/>
              </w:rPr>
            </w:pPr>
            <w:r>
              <w:rPr>
                <w:rFonts w:ascii="Times New Roman"/>
                <w:sz w:val="18"/>
              </w:rPr>
              <w:t>7,301.</w:t>
            </w:r>
          </w:p>
          <w:p>
            <w:pPr>
              <w:pStyle w:val="TableParagraph"/>
              <w:spacing w:line="240" w:lineRule="auto" w:before="106"/>
              <w:ind w:left="349" w:right="0"/>
              <w:jc w:val="left"/>
              <w:rPr>
                <w:rFonts w:ascii="Times New Roman" w:hAnsi="Times New Roman" w:cs="Times New Roman" w:eastAsia="Times New Roman" w:hint="default"/>
                <w:sz w:val="18"/>
                <w:szCs w:val="18"/>
              </w:rPr>
            </w:pPr>
            <w:r>
              <w:rPr>
                <w:rFonts w:ascii="Times New Roman"/>
                <w:sz w:val="18"/>
              </w:rPr>
              <w:t>00</w:t>
            </w: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7" w:right="0"/>
              <w:jc w:val="left"/>
              <w:rPr>
                <w:rFonts w:ascii="Times New Roman" w:hAnsi="Times New Roman" w:cs="Times New Roman" w:eastAsia="Times New Roman" w:hint="default"/>
                <w:sz w:val="18"/>
                <w:szCs w:val="18"/>
              </w:rPr>
            </w:pPr>
            <w:r>
              <w:rPr>
                <w:rFonts w:ascii="Times New Roman"/>
                <w:sz w:val="18"/>
              </w:rPr>
              <w:t>689,027</w:t>
            </w:r>
          </w:p>
          <w:p>
            <w:pPr>
              <w:pStyle w:val="TableParagraph"/>
              <w:spacing w:line="240" w:lineRule="auto" w:before="105"/>
              <w:ind w:left="92" w:right="0"/>
              <w:jc w:val="left"/>
              <w:rPr>
                <w:rFonts w:ascii="Times New Roman" w:hAnsi="Times New Roman" w:cs="Times New Roman" w:eastAsia="Times New Roman" w:hint="default"/>
                <w:sz w:val="18"/>
                <w:szCs w:val="18"/>
              </w:rPr>
            </w:pPr>
            <w:r>
              <w:rPr>
                <w:rFonts w:ascii="Times New Roman"/>
                <w:sz w:val="18"/>
              </w:rPr>
              <w:t>,663.38</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52" w:right="0"/>
              <w:jc w:val="left"/>
              <w:rPr>
                <w:rFonts w:ascii="Times New Roman" w:hAnsi="Times New Roman" w:cs="Times New Roman" w:eastAsia="Times New Roman" w:hint="default"/>
                <w:sz w:val="18"/>
                <w:szCs w:val="18"/>
              </w:rPr>
            </w:pPr>
            <w:r>
              <w:rPr>
                <w:rFonts w:ascii="Times New Roman"/>
                <w:sz w:val="18"/>
              </w:rPr>
              <w:t>117,420</w:t>
            </w:r>
          </w:p>
          <w:p>
            <w:pPr>
              <w:pStyle w:val="TableParagraph"/>
              <w:spacing w:line="240" w:lineRule="auto" w:before="105"/>
              <w:ind w:left="91" w:right="0"/>
              <w:jc w:val="left"/>
              <w:rPr>
                <w:rFonts w:ascii="Times New Roman" w:hAnsi="Times New Roman" w:cs="Times New Roman" w:eastAsia="Times New Roman" w:hint="default"/>
                <w:sz w:val="18"/>
                <w:szCs w:val="18"/>
              </w:rPr>
            </w:pPr>
            <w:r>
              <w:rPr>
                <w:rFonts w:ascii="Times New Roman"/>
                <w:sz w:val="18"/>
              </w:rPr>
              <w:t>,988.00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30,018,</w:t>
            </w:r>
          </w:p>
          <w:p>
            <w:pPr>
              <w:pStyle w:val="TableParagraph"/>
              <w:spacing w:line="240" w:lineRule="auto" w:before="105"/>
              <w:ind w:left="136" w:right="0"/>
              <w:jc w:val="left"/>
              <w:rPr>
                <w:rFonts w:ascii="Times New Roman" w:hAnsi="Times New Roman" w:cs="Times New Roman" w:eastAsia="Times New Roman" w:hint="default"/>
                <w:sz w:val="18"/>
                <w:szCs w:val="18"/>
              </w:rPr>
            </w:pPr>
            <w:r>
              <w:rPr>
                <w:rFonts w:ascii="Times New Roman"/>
                <w:sz w:val="18"/>
              </w:rPr>
              <w:t>196.80</w:t>
            </w: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59" w:right="0"/>
              <w:jc w:val="left"/>
              <w:rPr>
                <w:rFonts w:ascii="Times New Roman" w:hAnsi="Times New Roman" w:cs="Times New Roman" w:eastAsia="Times New Roman" w:hint="default"/>
                <w:sz w:val="18"/>
                <w:szCs w:val="18"/>
              </w:rPr>
            </w:pPr>
            <w:r>
              <w:rPr>
                <w:rFonts w:ascii="Times New Roman"/>
                <w:sz w:val="18"/>
              </w:rPr>
              <w:t>272,739</w:t>
            </w:r>
          </w:p>
          <w:p>
            <w:pPr>
              <w:pStyle w:val="TableParagraph"/>
              <w:spacing w:line="240" w:lineRule="auto" w:before="105"/>
              <w:ind w:left="104" w:right="0"/>
              <w:jc w:val="left"/>
              <w:rPr>
                <w:rFonts w:ascii="Times New Roman" w:hAnsi="Times New Roman" w:cs="Times New Roman" w:eastAsia="Times New Roman" w:hint="default"/>
                <w:sz w:val="18"/>
                <w:szCs w:val="18"/>
              </w:rPr>
            </w:pPr>
            <w:r>
              <w:rPr>
                <w:rFonts w:ascii="Times New Roman"/>
                <w:sz w:val="18"/>
              </w:rPr>
              <w:t>,063.88</w:t>
            </w:r>
          </w:p>
        </w:tc>
        <w:tc>
          <w:tcPr>
            <w:tcW w:w="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79" w:right="0"/>
              <w:jc w:val="left"/>
              <w:rPr>
                <w:rFonts w:ascii="Times New Roman" w:hAnsi="Times New Roman" w:cs="Times New Roman" w:eastAsia="Times New Roman" w:hint="default"/>
                <w:sz w:val="18"/>
                <w:szCs w:val="18"/>
              </w:rPr>
            </w:pPr>
            <w:r>
              <w:rPr>
                <w:rFonts w:ascii="Times New Roman"/>
                <w:sz w:val="18"/>
              </w:rPr>
              <w:t>18,314,</w:t>
            </w:r>
          </w:p>
          <w:p>
            <w:pPr>
              <w:pStyle w:val="TableParagraph"/>
              <w:spacing w:line="240" w:lineRule="auto" w:before="105"/>
              <w:ind w:left="124" w:right="0"/>
              <w:jc w:val="left"/>
              <w:rPr>
                <w:rFonts w:ascii="Times New Roman" w:hAnsi="Times New Roman" w:cs="Times New Roman" w:eastAsia="Times New Roman" w:hint="default"/>
                <w:sz w:val="18"/>
                <w:szCs w:val="18"/>
              </w:rPr>
            </w:pPr>
            <w:r>
              <w:rPr>
                <w:rFonts w:ascii="Times New Roman"/>
                <w:sz w:val="18"/>
              </w:rPr>
              <w:t>348.38</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1,217,2</w:t>
            </w:r>
          </w:p>
          <w:p>
            <w:pPr>
              <w:pStyle w:val="TableParagraph"/>
              <w:spacing w:line="240" w:lineRule="auto" w:before="104"/>
              <w:ind w:right="21"/>
              <w:jc w:val="right"/>
              <w:rPr>
                <w:rFonts w:ascii="Times New Roman" w:hAnsi="Times New Roman" w:cs="Times New Roman" w:eastAsia="Times New Roman" w:hint="default"/>
                <w:sz w:val="18"/>
                <w:szCs w:val="18"/>
              </w:rPr>
            </w:pPr>
            <w:r>
              <w:rPr>
                <w:rFonts w:ascii="Times New Roman"/>
                <w:sz w:val="18"/>
              </w:rPr>
              <w:t>65,585.</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44</w:t>
            </w:r>
          </w:p>
        </w:tc>
      </w:tr>
      <w:tr>
        <w:trPr>
          <w:trHeight w:val="1026"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22" w:right="21"/>
              <w:jc w:val="both"/>
              <w:rPr>
                <w:rFonts w:ascii="宋体" w:hAnsi="宋体" w:cs="宋体" w:eastAsia="宋体" w:hint="default"/>
                <w:sz w:val="18"/>
                <w:szCs w:val="18"/>
              </w:rPr>
            </w:pPr>
            <w:r>
              <w:rPr>
                <w:rFonts w:ascii="宋体" w:hAnsi="宋体" w:cs="宋体" w:eastAsia="宋体" w:hint="default"/>
                <w:spacing w:val="-8"/>
                <w:sz w:val="18"/>
                <w:szCs w:val="18"/>
              </w:rPr>
              <w:t>三、本期增减变动</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5"/>
                <w:sz w:val="18"/>
                <w:szCs w:val="18"/>
              </w:rPr>
              <w:t>金额（减少以</w:t>
            </w:r>
            <w:r>
              <w:rPr>
                <w:rFonts w:ascii="Times New Roman" w:hAnsi="Times New Roman" w:cs="Times New Roman" w:eastAsia="Times New Roman" w:hint="default"/>
                <w:spacing w:val="-5"/>
                <w:sz w:val="18"/>
                <w:szCs w:val="18"/>
              </w:rPr>
              <w:t>“</w:t>
            </w:r>
            <w:r>
              <w:rPr>
                <w:rFonts w:ascii="宋体" w:hAnsi="宋体" w:cs="宋体" w:eastAsia="宋体" w:hint="default"/>
                <w:spacing w:val="-5"/>
                <w:sz w:val="18"/>
                <w:szCs w:val="18"/>
              </w:rPr>
              <w:t>－</w:t>
            </w:r>
            <w:r>
              <w:rPr>
                <w:rFonts w:ascii="Times New Roman" w:hAnsi="Times New Roman" w:cs="Times New Roman" w:eastAsia="Times New Roman" w:hint="default"/>
                <w:spacing w:val="-5"/>
                <w:sz w:val="18"/>
                <w:szCs w:val="18"/>
              </w:rPr>
              <w:t>”</w:t>
            </w:r>
            <w:r>
              <w:rPr>
                <w:rFonts w:ascii="Times New Roman" w:hAnsi="Times New Roman" w:cs="Times New Roman" w:eastAsia="Times New Roman" w:hint="default"/>
                <w:spacing w:val="-40"/>
                <w:sz w:val="18"/>
                <w:szCs w:val="18"/>
              </w:rPr>
              <w:t> </w:t>
            </w:r>
            <w:r>
              <w:rPr>
                <w:rFonts w:ascii="宋体" w:hAnsi="宋体" w:cs="宋体" w:eastAsia="宋体" w:hint="default"/>
                <w:sz w:val="18"/>
                <w:szCs w:val="18"/>
              </w:rPr>
              <w:t>号填列）</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78" w:right="0"/>
              <w:jc w:val="left"/>
              <w:rPr>
                <w:rFonts w:ascii="Times New Roman" w:hAnsi="Times New Roman" w:cs="Times New Roman" w:eastAsia="Times New Roman" w:hint="default"/>
                <w:sz w:val="18"/>
                <w:szCs w:val="18"/>
              </w:rPr>
            </w:pPr>
            <w:r>
              <w:rPr>
                <w:rFonts w:ascii="Times New Roman"/>
                <w:spacing w:val="-3"/>
                <w:sz w:val="18"/>
              </w:rPr>
              <w:t>-111,8</w:t>
            </w:r>
          </w:p>
          <w:p>
            <w:pPr>
              <w:pStyle w:val="TableParagraph"/>
              <w:spacing w:line="240" w:lineRule="auto" w:before="105"/>
              <w:ind w:left="125" w:right="0"/>
              <w:jc w:val="left"/>
              <w:rPr>
                <w:rFonts w:ascii="Times New Roman" w:hAnsi="Times New Roman" w:cs="Times New Roman" w:eastAsia="Times New Roman" w:hint="default"/>
                <w:sz w:val="18"/>
                <w:szCs w:val="18"/>
              </w:rPr>
            </w:pPr>
            <w:r>
              <w:rPr>
                <w:rFonts w:ascii="Times New Roman"/>
                <w:sz w:val="18"/>
              </w:rPr>
              <w:t>00.00</w:t>
            </w: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92" w:right="0"/>
              <w:jc w:val="left"/>
              <w:rPr>
                <w:rFonts w:ascii="Times New Roman" w:hAnsi="Times New Roman" w:cs="Times New Roman" w:eastAsia="Times New Roman" w:hint="default"/>
                <w:sz w:val="18"/>
                <w:szCs w:val="18"/>
              </w:rPr>
            </w:pPr>
            <w:r>
              <w:rPr>
                <w:rFonts w:ascii="Times New Roman"/>
                <w:sz w:val="18"/>
              </w:rPr>
              <w:t>13,055,</w:t>
            </w:r>
          </w:p>
          <w:p>
            <w:pPr>
              <w:pStyle w:val="TableParagraph"/>
              <w:spacing w:line="240" w:lineRule="auto" w:before="105"/>
              <w:ind w:left="137" w:right="0"/>
              <w:jc w:val="left"/>
              <w:rPr>
                <w:rFonts w:ascii="Times New Roman" w:hAnsi="Times New Roman" w:cs="Times New Roman" w:eastAsia="Times New Roman" w:hint="default"/>
                <w:sz w:val="18"/>
                <w:szCs w:val="18"/>
              </w:rPr>
            </w:pPr>
            <w:r>
              <w:rPr>
                <w:rFonts w:ascii="Times New Roman"/>
                <w:sz w:val="18"/>
              </w:rPr>
              <w:t>406.60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7" w:right="0"/>
              <w:jc w:val="center"/>
              <w:rPr>
                <w:rFonts w:ascii="Times New Roman" w:hAnsi="Times New Roman" w:cs="Times New Roman" w:eastAsia="Times New Roman" w:hint="default"/>
                <w:sz w:val="18"/>
                <w:szCs w:val="18"/>
              </w:rPr>
            </w:pPr>
            <w:r>
              <w:rPr>
                <w:rFonts w:ascii="Times New Roman"/>
                <w:sz w:val="18"/>
              </w:rPr>
              <w:t>-47,892,</w:t>
            </w:r>
          </w:p>
          <w:p>
            <w:pPr>
              <w:pStyle w:val="TableParagraph"/>
              <w:spacing w:line="240" w:lineRule="auto" w:before="105"/>
              <w:ind w:left="113" w:right="0"/>
              <w:jc w:val="center"/>
              <w:rPr>
                <w:rFonts w:ascii="Times New Roman" w:hAnsi="Times New Roman" w:cs="Times New Roman" w:eastAsia="Times New Roman" w:hint="default"/>
                <w:sz w:val="18"/>
                <w:szCs w:val="18"/>
              </w:rPr>
            </w:pPr>
            <w:r>
              <w:rPr>
                <w:rFonts w:ascii="Times New Roman"/>
                <w:sz w:val="18"/>
              </w:rPr>
              <w:t>434.20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67" w:right="0"/>
              <w:jc w:val="center"/>
              <w:rPr>
                <w:rFonts w:ascii="Times New Roman" w:hAnsi="Times New Roman" w:cs="Times New Roman" w:eastAsia="Times New Roman" w:hint="default"/>
                <w:sz w:val="18"/>
                <w:szCs w:val="18"/>
              </w:rPr>
            </w:pPr>
            <w:r>
              <w:rPr>
                <w:rFonts w:ascii="Times New Roman"/>
                <w:sz w:val="18"/>
              </w:rPr>
              <w:t>9,509,3</w:t>
            </w:r>
          </w:p>
          <w:p>
            <w:pPr>
              <w:pStyle w:val="TableParagraph"/>
              <w:spacing w:line="240" w:lineRule="auto" w:before="105"/>
              <w:ind w:left="203" w:right="0"/>
              <w:jc w:val="center"/>
              <w:rPr>
                <w:rFonts w:ascii="Times New Roman" w:hAnsi="Times New Roman" w:cs="Times New Roman" w:eastAsia="Times New Roman" w:hint="default"/>
                <w:sz w:val="18"/>
                <w:szCs w:val="18"/>
              </w:rPr>
            </w:pPr>
            <w:r>
              <w:rPr>
                <w:rFonts w:ascii="Times New Roman"/>
                <w:sz w:val="18"/>
              </w:rPr>
              <w:t>70.38</w:t>
            </w: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04" w:right="0"/>
              <w:jc w:val="left"/>
              <w:rPr>
                <w:rFonts w:ascii="Times New Roman" w:hAnsi="Times New Roman" w:cs="Times New Roman" w:eastAsia="Times New Roman" w:hint="default"/>
                <w:sz w:val="18"/>
                <w:szCs w:val="18"/>
              </w:rPr>
            </w:pPr>
            <w:r>
              <w:rPr>
                <w:rFonts w:ascii="Times New Roman"/>
                <w:sz w:val="18"/>
              </w:rPr>
              <w:t>92,307,</w:t>
            </w:r>
          </w:p>
          <w:p>
            <w:pPr>
              <w:pStyle w:val="TableParagraph"/>
              <w:spacing w:line="240" w:lineRule="auto" w:before="105"/>
              <w:ind w:left="149" w:right="0"/>
              <w:jc w:val="left"/>
              <w:rPr>
                <w:rFonts w:ascii="Times New Roman" w:hAnsi="Times New Roman" w:cs="Times New Roman" w:eastAsia="Times New Roman" w:hint="default"/>
                <w:sz w:val="18"/>
                <w:szCs w:val="18"/>
              </w:rPr>
            </w:pPr>
            <w:r>
              <w:rPr>
                <w:rFonts w:ascii="Times New Roman"/>
                <w:sz w:val="18"/>
              </w:rPr>
              <w:t>510.22</w:t>
            </w:r>
          </w:p>
        </w:tc>
        <w:tc>
          <w:tcPr>
            <w:tcW w:w="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34" w:right="0"/>
              <w:jc w:val="left"/>
              <w:rPr>
                <w:rFonts w:ascii="Times New Roman" w:hAnsi="Times New Roman" w:cs="Times New Roman" w:eastAsia="Times New Roman" w:hint="default"/>
                <w:sz w:val="18"/>
                <w:szCs w:val="18"/>
              </w:rPr>
            </w:pPr>
            <w:r>
              <w:rPr>
                <w:rFonts w:ascii="Times New Roman"/>
                <w:sz w:val="18"/>
              </w:rPr>
              <w:t>557,095</w:t>
            </w:r>
          </w:p>
          <w:p>
            <w:pPr>
              <w:pStyle w:val="TableParagraph"/>
              <w:spacing w:line="240" w:lineRule="auto" w:before="105"/>
              <w:ind w:left="394" w:right="0"/>
              <w:jc w:val="left"/>
              <w:rPr>
                <w:rFonts w:ascii="Times New Roman" w:hAnsi="Times New Roman" w:cs="Times New Roman" w:eastAsia="Times New Roman" w:hint="default"/>
                <w:sz w:val="18"/>
                <w:szCs w:val="18"/>
              </w:rPr>
            </w:pPr>
            <w:r>
              <w:rPr>
                <w:rFonts w:ascii="Times New Roman"/>
                <w:sz w:val="18"/>
              </w:rPr>
              <w:t>.16</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0" w:right="0"/>
              <w:jc w:val="left"/>
              <w:rPr>
                <w:rFonts w:ascii="Times New Roman" w:hAnsi="Times New Roman" w:cs="Times New Roman" w:eastAsia="Times New Roman" w:hint="default"/>
                <w:sz w:val="18"/>
                <w:szCs w:val="18"/>
              </w:rPr>
            </w:pPr>
            <w:r>
              <w:rPr>
                <w:rFonts w:ascii="Times New Roman"/>
                <w:sz w:val="18"/>
              </w:rPr>
              <w:t>163,210</w:t>
            </w:r>
          </w:p>
          <w:p>
            <w:pPr>
              <w:pStyle w:val="TableParagraph"/>
              <w:spacing w:line="240" w:lineRule="auto" w:before="105"/>
              <w:ind w:left="85" w:right="0"/>
              <w:jc w:val="left"/>
              <w:rPr>
                <w:rFonts w:ascii="Times New Roman" w:hAnsi="Times New Roman" w:cs="Times New Roman" w:eastAsia="Times New Roman" w:hint="default"/>
                <w:sz w:val="18"/>
                <w:szCs w:val="18"/>
              </w:rPr>
            </w:pPr>
            <w:r>
              <w:rPr>
                <w:rFonts w:ascii="Times New Roman"/>
                <w:sz w:val="18"/>
              </w:rPr>
              <w:t>,016.56</w:t>
            </w:r>
          </w:p>
        </w:tc>
      </w:tr>
      <w:tr>
        <w:trPr>
          <w:trHeight w:val="714"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21"/>
              <w:jc w:val="left"/>
              <w:rPr>
                <w:rFonts w:ascii="宋体" w:hAnsi="宋体" w:cs="宋体" w:eastAsia="宋体" w:hint="default"/>
                <w:sz w:val="18"/>
                <w:szCs w:val="18"/>
              </w:rPr>
            </w:pPr>
            <w:r>
              <w:rPr>
                <w:rFonts w:ascii="宋体" w:hAnsi="宋体" w:cs="宋体" w:eastAsia="宋体" w:hint="default"/>
                <w:spacing w:val="-8"/>
                <w:sz w:val="18"/>
                <w:szCs w:val="18"/>
              </w:rPr>
              <w:t>（一）综合收益总</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额</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5" w:right="0"/>
              <w:jc w:val="left"/>
              <w:rPr>
                <w:rFonts w:ascii="Times New Roman" w:hAnsi="Times New Roman" w:cs="Times New Roman" w:eastAsia="Times New Roman" w:hint="default"/>
                <w:sz w:val="18"/>
                <w:szCs w:val="18"/>
              </w:rPr>
            </w:pPr>
            <w:r>
              <w:rPr>
                <w:rFonts w:ascii="Times New Roman"/>
                <w:sz w:val="18"/>
              </w:rPr>
              <w:t>119,671</w:t>
            </w:r>
          </w:p>
          <w:p>
            <w:pPr>
              <w:pStyle w:val="TableParagraph"/>
              <w:spacing w:line="240" w:lineRule="auto" w:before="105"/>
              <w:ind w:left="104" w:right="0"/>
              <w:jc w:val="left"/>
              <w:rPr>
                <w:rFonts w:ascii="Times New Roman" w:hAnsi="Times New Roman" w:cs="Times New Roman" w:eastAsia="Times New Roman" w:hint="default"/>
                <w:sz w:val="18"/>
                <w:szCs w:val="18"/>
              </w:rPr>
            </w:pPr>
            <w:r>
              <w:rPr>
                <w:rFonts w:ascii="Times New Roman"/>
                <w:sz w:val="18"/>
              </w:rPr>
              <w:t>,217.16</w:t>
            </w:r>
          </w:p>
        </w:tc>
        <w:tc>
          <w:tcPr>
            <w:tcW w:w="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4" w:right="0"/>
              <w:jc w:val="left"/>
              <w:rPr>
                <w:rFonts w:ascii="Times New Roman" w:hAnsi="Times New Roman" w:cs="Times New Roman" w:eastAsia="Times New Roman" w:hint="default"/>
                <w:sz w:val="18"/>
                <w:szCs w:val="18"/>
              </w:rPr>
            </w:pPr>
            <w:r>
              <w:rPr>
                <w:rFonts w:ascii="Times New Roman"/>
                <w:sz w:val="18"/>
              </w:rPr>
              <w:t>557,095</w:t>
            </w:r>
          </w:p>
          <w:p>
            <w:pPr>
              <w:pStyle w:val="TableParagraph"/>
              <w:spacing w:line="240" w:lineRule="auto" w:before="105"/>
              <w:ind w:left="394" w:right="0"/>
              <w:jc w:val="left"/>
              <w:rPr>
                <w:rFonts w:ascii="Times New Roman" w:hAnsi="Times New Roman" w:cs="Times New Roman" w:eastAsia="Times New Roman" w:hint="default"/>
                <w:sz w:val="18"/>
                <w:szCs w:val="18"/>
              </w:rPr>
            </w:pPr>
            <w:r>
              <w:rPr>
                <w:rFonts w:ascii="Times New Roman"/>
                <w:sz w:val="18"/>
              </w:rPr>
              <w:t>.16</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0" w:right="0"/>
              <w:jc w:val="left"/>
              <w:rPr>
                <w:rFonts w:ascii="Times New Roman" w:hAnsi="Times New Roman" w:cs="Times New Roman" w:eastAsia="Times New Roman" w:hint="default"/>
                <w:sz w:val="18"/>
                <w:szCs w:val="18"/>
              </w:rPr>
            </w:pPr>
            <w:r>
              <w:rPr>
                <w:rFonts w:ascii="Times New Roman"/>
                <w:sz w:val="18"/>
              </w:rPr>
              <w:t>120,228</w:t>
            </w:r>
          </w:p>
          <w:p>
            <w:pPr>
              <w:pStyle w:val="TableParagraph"/>
              <w:spacing w:line="240" w:lineRule="auto" w:before="105"/>
              <w:ind w:left="85" w:right="0"/>
              <w:jc w:val="left"/>
              <w:rPr>
                <w:rFonts w:ascii="Times New Roman" w:hAnsi="Times New Roman" w:cs="Times New Roman" w:eastAsia="Times New Roman" w:hint="default"/>
                <w:sz w:val="18"/>
                <w:szCs w:val="18"/>
              </w:rPr>
            </w:pPr>
            <w:r>
              <w:rPr>
                <w:rFonts w:ascii="Times New Roman"/>
                <w:sz w:val="18"/>
              </w:rPr>
              <w:t>,312.32</w:t>
            </w:r>
          </w:p>
        </w:tc>
      </w:tr>
      <w:tr>
        <w:trPr>
          <w:trHeight w:val="714"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21"/>
              <w:jc w:val="left"/>
              <w:rPr>
                <w:rFonts w:ascii="宋体" w:hAnsi="宋体" w:cs="宋体" w:eastAsia="宋体" w:hint="default"/>
                <w:sz w:val="18"/>
                <w:szCs w:val="18"/>
              </w:rPr>
            </w:pPr>
            <w:r>
              <w:rPr>
                <w:rFonts w:ascii="宋体" w:hAnsi="宋体" w:cs="宋体" w:eastAsia="宋体" w:hint="default"/>
                <w:spacing w:val="-8"/>
                <w:sz w:val="18"/>
                <w:szCs w:val="18"/>
              </w:rPr>
              <w:t>（二）所有者投入</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和减少资本</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8" w:right="0"/>
              <w:jc w:val="left"/>
              <w:rPr>
                <w:rFonts w:ascii="Times New Roman" w:hAnsi="Times New Roman" w:cs="Times New Roman" w:eastAsia="Times New Roman" w:hint="default"/>
                <w:sz w:val="18"/>
                <w:szCs w:val="18"/>
              </w:rPr>
            </w:pPr>
            <w:r>
              <w:rPr>
                <w:rFonts w:ascii="Times New Roman"/>
                <w:spacing w:val="-3"/>
                <w:sz w:val="18"/>
              </w:rPr>
              <w:t>-111,8</w:t>
            </w:r>
          </w:p>
          <w:p>
            <w:pPr>
              <w:pStyle w:val="TableParagraph"/>
              <w:spacing w:line="240" w:lineRule="auto" w:before="105"/>
              <w:ind w:left="125" w:right="0"/>
              <w:jc w:val="left"/>
              <w:rPr>
                <w:rFonts w:ascii="Times New Roman" w:hAnsi="Times New Roman" w:cs="Times New Roman" w:eastAsia="Times New Roman" w:hint="default"/>
                <w:sz w:val="18"/>
                <w:szCs w:val="18"/>
              </w:rPr>
            </w:pPr>
            <w:r>
              <w:rPr>
                <w:rFonts w:ascii="Times New Roman"/>
                <w:sz w:val="18"/>
              </w:rPr>
              <w:t>00.00</w:t>
            </w: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2" w:right="0"/>
              <w:jc w:val="left"/>
              <w:rPr>
                <w:rFonts w:ascii="Times New Roman" w:hAnsi="Times New Roman" w:cs="Times New Roman" w:eastAsia="Times New Roman" w:hint="default"/>
                <w:sz w:val="18"/>
                <w:szCs w:val="18"/>
              </w:rPr>
            </w:pPr>
            <w:r>
              <w:rPr>
                <w:rFonts w:ascii="Times New Roman"/>
                <w:sz w:val="18"/>
              </w:rPr>
              <w:t>13,055,</w:t>
            </w:r>
          </w:p>
          <w:p>
            <w:pPr>
              <w:pStyle w:val="TableParagraph"/>
              <w:spacing w:line="240" w:lineRule="auto" w:before="105"/>
              <w:ind w:left="137" w:right="0"/>
              <w:jc w:val="left"/>
              <w:rPr>
                <w:rFonts w:ascii="Times New Roman" w:hAnsi="Times New Roman" w:cs="Times New Roman" w:eastAsia="Times New Roman" w:hint="default"/>
                <w:sz w:val="18"/>
                <w:szCs w:val="18"/>
              </w:rPr>
            </w:pPr>
            <w:r>
              <w:rPr>
                <w:rFonts w:ascii="Times New Roman"/>
                <w:sz w:val="18"/>
              </w:rPr>
              <w:t>406.60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 w:right="0"/>
              <w:jc w:val="center"/>
              <w:rPr>
                <w:rFonts w:ascii="Times New Roman" w:hAnsi="Times New Roman" w:cs="Times New Roman" w:eastAsia="Times New Roman" w:hint="default"/>
                <w:sz w:val="18"/>
                <w:szCs w:val="18"/>
              </w:rPr>
            </w:pPr>
            <w:r>
              <w:rPr>
                <w:rFonts w:ascii="Times New Roman"/>
                <w:sz w:val="18"/>
              </w:rPr>
              <w:t>-47,892,</w:t>
            </w:r>
          </w:p>
          <w:p>
            <w:pPr>
              <w:pStyle w:val="TableParagraph"/>
              <w:spacing w:line="240" w:lineRule="auto" w:before="105"/>
              <w:ind w:left="113" w:right="0"/>
              <w:jc w:val="center"/>
              <w:rPr>
                <w:rFonts w:ascii="Times New Roman" w:hAnsi="Times New Roman" w:cs="Times New Roman" w:eastAsia="Times New Roman" w:hint="default"/>
                <w:sz w:val="18"/>
                <w:szCs w:val="18"/>
              </w:rPr>
            </w:pPr>
            <w:r>
              <w:rPr>
                <w:rFonts w:ascii="Times New Roman"/>
                <w:sz w:val="18"/>
              </w:rPr>
              <w:t>434.20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5" w:right="0"/>
              <w:jc w:val="left"/>
              <w:rPr>
                <w:rFonts w:ascii="Times New Roman" w:hAnsi="Times New Roman" w:cs="Times New Roman" w:eastAsia="Times New Roman" w:hint="default"/>
                <w:sz w:val="18"/>
                <w:szCs w:val="18"/>
              </w:rPr>
            </w:pPr>
            <w:r>
              <w:rPr>
                <w:rFonts w:ascii="Times New Roman"/>
                <w:sz w:val="18"/>
              </w:rPr>
              <w:t>60,836,</w:t>
            </w:r>
          </w:p>
          <w:p>
            <w:pPr>
              <w:pStyle w:val="TableParagraph"/>
              <w:spacing w:line="240" w:lineRule="auto" w:before="105"/>
              <w:ind w:left="130" w:right="0"/>
              <w:jc w:val="left"/>
              <w:rPr>
                <w:rFonts w:ascii="Times New Roman" w:hAnsi="Times New Roman" w:cs="Times New Roman" w:eastAsia="Times New Roman" w:hint="default"/>
                <w:sz w:val="18"/>
                <w:szCs w:val="18"/>
              </w:rPr>
            </w:pPr>
            <w:r>
              <w:rPr>
                <w:rFonts w:ascii="Times New Roman"/>
                <w:sz w:val="18"/>
              </w:rPr>
              <w:t>040.80</w:t>
            </w:r>
          </w:p>
        </w:tc>
      </w:tr>
      <w:tr>
        <w:trPr>
          <w:trHeight w:val="714"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54"/>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．所有者投入的 普通股</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8" w:right="0"/>
              <w:jc w:val="left"/>
              <w:rPr>
                <w:rFonts w:ascii="Times New Roman" w:hAnsi="Times New Roman" w:cs="Times New Roman" w:eastAsia="Times New Roman" w:hint="default"/>
                <w:sz w:val="18"/>
                <w:szCs w:val="18"/>
              </w:rPr>
            </w:pPr>
            <w:r>
              <w:rPr>
                <w:rFonts w:ascii="Times New Roman"/>
                <w:spacing w:val="-3"/>
                <w:sz w:val="18"/>
              </w:rPr>
              <w:t>-111,8</w:t>
            </w:r>
          </w:p>
          <w:p>
            <w:pPr>
              <w:pStyle w:val="TableParagraph"/>
              <w:spacing w:line="240" w:lineRule="auto" w:before="105"/>
              <w:ind w:left="125" w:right="0"/>
              <w:jc w:val="left"/>
              <w:rPr>
                <w:rFonts w:ascii="Times New Roman" w:hAnsi="Times New Roman" w:cs="Times New Roman" w:eastAsia="Times New Roman" w:hint="default"/>
                <w:sz w:val="18"/>
                <w:szCs w:val="18"/>
              </w:rPr>
            </w:pPr>
            <w:r>
              <w:rPr>
                <w:rFonts w:ascii="Times New Roman"/>
                <w:sz w:val="18"/>
              </w:rPr>
              <w:t>00.00</w:t>
            </w: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 w:right="0"/>
              <w:jc w:val="center"/>
              <w:rPr>
                <w:rFonts w:ascii="Times New Roman" w:hAnsi="Times New Roman" w:cs="Times New Roman" w:eastAsia="Times New Roman" w:hint="default"/>
                <w:sz w:val="18"/>
                <w:szCs w:val="18"/>
              </w:rPr>
            </w:pPr>
            <w:r>
              <w:rPr>
                <w:rFonts w:ascii="Times New Roman"/>
                <w:sz w:val="18"/>
              </w:rPr>
              <w:t>-1,271,1</w:t>
            </w:r>
          </w:p>
          <w:p>
            <w:pPr>
              <w:pStyle w:val="TableParagraph"/>
              <w:spacing w:line="240" w:lineRule="auto" w:before="105"/>
              <w:ind w:left="206" w:right="0"/>
              <w:jc w:val="center"/>
              <w:rPr>
                <w:rFonts w:ascii="Times New Roman" w:hAnsi="Times New Roman" w:cs="Times New Roman" w:eastAsia="Times New Roman" w:hint="default"/>
                <w:sz w:val="18"/>
                <w:szCs w:val="18"/>
              </w:rPr>
            </w:pPr>
            <w:r>
              <w:rPr>
                <w:rFonts w:ascii="Times New Roman"/>
                <w:sz w:val="18"/>
              </w:rPr>
              <w:t>66.00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-1,382,9</w:t>
            </w:r>
          </w:p>
          <w:p>
            <w:pPr>
              <w:pStyle w:val="TableParagraph"/>
              <w:spacing w:line="240" w:lineRule="auto" w:before="105"/>
              <w:ind w:left="197" w:right="0"/>
              <w:jc w:val="center"/>
              <w:rPr>
                <w:rFonts w:ascii="Times New Roman" w:hAnsi="Times New Roman" w:cs="Times New Roman" w:eastAsia="Times New Roman" w:hint="default"/>
                <w:sz w:val="18"/>
                <w:szCs w:val="18"/>
              </w:rPr>
            </w:pPr>
            <w:r>
              <w:rPr>
                <w:rFonts w:ascii="Times New Roman"/>
                <w:sz w:val="18"/>
              </w:rPr>
              <w:t>66.00</w:t>
            </w:r>
          </w:p>
        </w:tc>
      </w:tr>
      <w:tr>
        <w:trPr>
          <w:trHeight w:val="714"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54"/>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．其他权益工具 持有者投入资本</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22" w:right="54"/>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．股份支付计入 所有者权益的金 额</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92" w:right="0"/>
              <w:jc w:val="left"/>
              <w:rPr>
                <w:rFonts w:ascii="Times New Roman" w:hAnsi="Times New Roman" w:cs="Times New Roman" w:eastAsia="Times New Roman" w:hint="default"/>
                <w:sz w:val="18"/>
                <w:szCs w:val="18"/>
              </w:rPr>
            </w:pPr>
            <w:r>
              <w:rPr>
                <w:rFonts w:ascii="Times New Roman"/>
                <w:sz w:val="18"/>
              </w:rPr>
              <w:t>14,326,</w:t>
            </w:r>
          </w:p>
          <w:p>
            <w:pPr>
              <w:pStyle w:val="TableParagraph"/>
              <w:spacing w:line="240" w:lineRule="auto" w:before="105"/>
              <w:ind w:left="137" w:right="0"/>
              <w:jc w:val="left"/>
              <w:rPr>
                <w:rFonts w:ascii="Times New Roman" w:hAnsi="Times New Roman" w:cs="Times New Roman" w:eastAsia="Times New Roman" w:hint="default"/>
                <w:sz w:val="18"/>
                <w:szCs w:val="18"/>
              </w:rPr>
            </w:pPr>
            <w:r>
              <w:rPr>
                <w:rFonts w:ascii="Times New Roman"/>
                <w:sz w:val="18"/>
              </w:rPr>
              <w:t>572.60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7" w:right="0"/>
              <w:jc w:val="center"/>
              <w:rPr>
                <w:rFonts w:ascii="Times New Roman" w:hAnsi="Times New Roman" w:cs="Times New Roman" w:eastAsia="Times New Roman" w:hint="default"/>
                <w:sz w:val="18"/>
                <w:szCs w:val="18"/>
              </w:rPr>
            </w:pPr>
            <w:r>
              <w:rPr>
                <w:rFonts w:ascii="Times New Roman"/>
                <w:sz w:val="18"/>
              </w:rPr>
              <w:t>-47,892,</w:t>
            </w:r>
          </w:p>
          <w:p>
            <w:pPr>
              <w:pStyle w:val="TableParagraph"/>
              <w:spacing w:line="240" w:lineRule="auto" w:before="105"/>
              <w:ind w:left="113" w:right="0"/>
              <w:jc w:val="center"/>
              <w:rPr>
                <w:rFonts w:ascii="Times New Roman" w:hAnsi="Times New Roman" w:cs="Times New Roman" w:eastAsia="Times New Roman" w:hint="default"/>
                <w:sz w:val="18"/>
                <w:szCs w:val="18"/>
              </w:rPr>
            </w:pPr>
            <w:r>
              <w:rPr>
                <w:rFonts w:ascii="Times New Roman"/>
                <w:sz w:val="18"/>
              </w:rPr>
              <w:t>434.20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85" w:right="0"/>
              <w:jc w:val="left"/>
              <w:rPr>
                <w:rFonts w:ascii="Times New Roman" w:hAnsi="Times New Roman" w:cs="Times New Roman" w:eastAsia="Times New Roman" w:hint="default"/>
                <w:sz w:val="18"/>
                <w:szCs w:val="18"/>
              </w:rPr>
            </w:pPr>
            <w:r>
              <w:rPr>
                <w:rFonts w:ascii="Times New Roman"/>
                <w:sz w:val="18"/>
              </w:rPr>
              <w:t>62,219,</w:t>
            </w:r>
          </w:p>
          <w:p>
            <w:pPr>
              <w:pStyle w:val="TableParagraph"/>
              <w:spacing w:line="240" w:lineRule="auto" w:before="105"/>
              <w:ind w:left="130" w:right="0"/>
              <w:jc w:val="left"/>
              <w:rPr>
                <w:rFonts w:ascii="Times New Roman" w:hAnsi="Times New Roman" w:cs="Times New Roman" w:eastAsia="Times New Roman" w:hint="default"/>
                <w:sz w:val="18"/>
                <w:szCs w:val="18"/>
              </w:rPr>
            </w:pPr>
            <w:r>
              <w:rPr>
                <w:rFonts w:ascii="Times New Roman"/>
                <w:sz w:val="18"/>
              </w:rPr>
              <w:t>006.80</w:t>
            </w:r>
          </w:p>
        </w:tc>
      </w:tr>
      <w:tr>
        <w:trPr>
          <w:trHeight w:val="402"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（三）利润分配</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7" w:right="0"/>
              <w:jc w:val="center"/>
              <w:rPr>
                <w:rFonts w:ascii="Times New Roman" w:hAnsi="Times New Roman" w:cs="Times New Roman" w:eastAsia="Times New Roman" w:hint="default"/>
                <w:sz w:val="18"/>
                <w:szCs w:val="18"/>
              </w:rPr>
            </w:pPr>
            <w:r>
              <w:rPr>
                <w:rFonts w:ascii="Times New Roman"/>
                <w:sz w:val="18"/>
              </w:rPr>
              <w:t>9,509,3</w:t>
            </w:r>
          </w:p>
          <w:p>
            <w:pPr>
              <w:pStyle w:val="TableParagraph"/>
              <w:spacing w:line="240" w:lineRule="auto" w:before="105"/>
              <w:ind w:left="203" w:right="0"/>
              <w:jc w:val="center"/>
              <w:rPr>
                <w:rFonts w:ascii="Times New Roman" w:hAnsi="Times New Roman" w:cs="Times New Roman" w:eastAsia="Times New Roman" w:hint="default"/>
                <w:sz w:val="18"/>
                <w:szCs w:val="18"/>
              </w:rPr>
            </w:pPr>
            <w:r>
              <w:rPr>
                <w:rFonts w:ascii="Times New Roman"/>
                <w:sz w:val="18"/>
              </w:rPr>
              <w:t>70.38</w:t>
            </w: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 w:right="0"/>
              <w:jc w:val="center"/>
              <w:rPr>
                <w:rFonts w:ascii="Times New Roman" w:hAnsi="Times New Roman" w:cs="Times New Roman" w:eastAsia="Times New Roman" w:hint="default"/>
                <w:sz w:val="18"/>
                <w:szCs w:val="18"/>
              </w:rPr>
            </w:pPr>
            <w:r>
              <w:rPr>
                <w:rFonts w:ascii="Times New Roman"/>
                <w:sz w:val="18"/>
              </w:rPr>
              <w:t>-27,363,</w:t>
            </w:r>
          </w:p>
          <w:p>
            <w:pPr>
              <w:pStyle w:val="TableParagraph"/>
              <w:spacing w:line="240" w:lineRule="auto" w:before="105"/>
              <w:ind w:left="126" w:right="0"/>
              <w:jc w:val="center"/>
              <w:rPr>
                <w:rFonts w:ascii="Times New Roman" w:hAnsi="Times New Roman" w:cs="Times New Roman" w:eastAsia="Times New Roman" w:hint="default"/>
                <w:sz w:val="18"/>
                <w:szCs w:val="18"/>
              </w:rPr>
            </w:pPr>
            <w:r>
              <w:rPr>
                <w:rFonts w:ascii="Times New Roman"/>
                <w:sz w:val="18"/>
              </w:rPr>
              <w:t>706.94</w:t>
            </w: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-17,854,</w:t>
            </w:r>
          </w:p>
          <w:p>
            <w:pPr>
              <w:pStyle w:val="TableParagraph"/>
              <w:spacing w:line="240" w:lineRule="auto" w:before="105"/>
              <w:ind w:left="107" w:right="0"/>
              <w:jc w:val="center"/>
              <w:rPr>
                <w:rFonts w:ascii="Times New Roman" w:hAnsi="Times New Roman" w:cs="Times New Roman" w:eastAsia="Times New Roman" w:hint="default"/>
                <w:sz w:val="18"/>
                <w:szCs w:val="18"/>
              </w:rPr>
            </w:pPr>
            <w:r>
              <w:rPr>
                <w:rFonts w:ascii="Times New Roman"/>
                <w:sz w:val="18"/>
              </w:rPr>
              <w:t>336.56</w:t>
            </w:r>
          </w:p>
        </w:tc>
      </w:tr>
      <w:tr>
        <w:trPr>
          <w:trHeight w:val="714"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7" w:right="0"/>
              <w:jc w:val="center"/>
              <w:rPr>
                <w:rFonts w:ascii="Times New Roman" w:hAnsi="Times New Roman" w:cs="Times New Roman" w:eastAsia="Times New Roman" w:hint="default"/>
                <w:sz w:val="18"/>
                <w:szCs w:val="18"/>
              </w:rPr>
            </w:pPr>
            <w:r>
              <w:rPr>
                <w:rFonts w:ascii="Times New Roman"/>
                <w:sz w:val="18"/>
              </w:rPr>
              <w:t>9,509,3</w:t>
            </w:r>
          </w:p>
          <w:p>
            <w:pPr>
              <w:pStyle w:val="TableParagraph"/>
              <w:spacing w:line="240" w:lineRule="auto" w:before="105"/>
              <w:ind w:left="203" w:right="0"/>
              <w:jc w:val="center"/>
              <w:rPr>
                <w:rFonts w:ascii="Times New Roman" w:hAnsi="Times New Roman" w:cs="Times New Roman" w:eastAsia="Times New Roman" w:hint="default"/>
                <w:sz w:val="18"/>
                <w:szCs w:val="18"/>
              </w:rPr>
            </w:pPr>
            <w:r>
              <w:rPr>
                <w:rFonts w:ascii="Times New Roman"/>
                <w:sz w:val="18"/>
              </w:rPr>
              <w:t>70.38</w:t>
            </w: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1" w:right="0"/>
              <w:jc w:val="center"/>
              <w:rPr>
                <w:rFonts w:ascii="Times New Roman" w:hAnsi="Times New Roman" w:cs="Times New Roman" w:eastAsia="Times New Roman" w:hint="default"/>
                <w:sz w:val="18"/>
                <w:szCs w:val="18"/>
              </w:rPr>
            </w:pPr>
            <w:r>
              <w:rPr>
                <w:rFonts w:ascii="Times New Roman"/>
                <w:sz w:val="18"/>
              </w:rPr>
              <w:t>-9,509,3</w:t>
            </w:r>
          </w:p>
          <w:p>
            <w:pPr>
              <w:pStyle w:val="TableParagraph"/>
              <w:spacing w:line="240" w:lineRule="auto" w:before="105"/>
              <w:ind w:left="216" w:right="0"/>
              <w:jc w:val="center"/>
              <w:rPr>
                <w:rFonts w:ascii="Times New Roman" w:hAnsi="Times New Roman" w:cs="Times New Roman" w:eastAsia="Times New Roman" w:hint="default"/>
                <w:sz w:val="18"/>
                <w:szCs w:val="18"/>
              </w:rPr>
            </w:pPr>
            <w:r>
              <w:rPr>
                <w:rFonts w:ascii="Times New Roman"/>
                <w:sz w:val="18"/>
              </w:rPr>
              <w:t>70.38</w:t>
            </w: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310" w:right="0"/>
              <w:jc w:val="left"/>
              <w:rPr>
                <w:rFonts w:ascii="Times New Roman" w:hAnsi="Times New Roman" w:cs="Times New Roman" w:eastAsia="Times New Roman" w:hint="default"/>
                <w:sz w:val="18"/>
                <w:szCs w:val="18"/>
              </w:rPr>
            </w:pPr>
            <w:r>
              <w:rPr>
                <w:rFonts w:ascii="Times New Roman"/>
                <w:sz w:val="18"/>
              </w:rPr>
              <w:t>0.00</w:t>
            </w:r>
          </w:p>
        </w:tc>
      </w:tr>
      <w:tr>
        <w:trPr>
          <w:trHeight w:val="714"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54"/>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．提取一般风险 准备</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54"/>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．对所有者（或 股东）的分配</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 w:right="0"/>
              <w:jc w:val="center"/>
              <w:rPr>
                <w:rFonts w:ascii="Times New Roman" w:hAnsi="Times New Roman" w:cs="Times New Roman" w:eastAsia="Times New Roman" w:hint="default"/>
                <w:sz w:val="18"/>
                <w:szCs w:val="18"/>
              </w:rPr>
            </w:pPr>
            <w:r>
              <w:rPr>
                <w:rFonts w:ascii="Times New Roman"/>
                <w:sz w:val="18"/>
              </w:rPr>
              <w:t>-17,854,</w:t>
            </w:r>
          </w:p>
          <w:p>
            <w:pPr>
              <w:pStyle w:val="TableParagraph"/>
              <w:spacing w:line="240" w:lineRule="auto" w:before="105"/>
              <w:ind w:left="126" w:right="0"/>
              <w:jc w:val="center"/>
              <w:rPr>
                <w:rFonts w:ascii="Times New Roman" w:hAnsi="Times New Roman" w:cs="Times New Roman" w:eastAsia="Times New Roman" w:hint="default"/>
                <w:sz w:val="18"/>
                <w:szCs w:val="18"/>
              </w:rPr>
            </w:pPr>
            <w:r>
              <w:rPr>
                <w:rFonts w:ascii="Times New Roman"/>
                <w:sz w:val="18"/>
              </w:rPr>
              <w:t>336.56</w:t>
            </w: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-17,854,</w:t>
            </w:r>
          </w:p>
          <w:p>
            <w:pPr>
              <w:pStyle w:val="TableParagraph"/>
              <w:spacing w:line="240" w:lineRule="auto" w:before="105"/>
              <w:ind w:left="107" w:right="0"/>
              <w:jc w:val="center"/>
              <w:rPr>
                <w:rFonts w:ascii="Times New Roman" w:hAnsi="Times New Roman" w:cs="Times New Roman" w:eastAsia="Times New Roman" w:hint="default"/>
                <w:sz w:val="18"/>
                <w:szCs w:val="18"/>
              </w:rPr>
            </w:pPr>
            <w:r>
              <w:rPr>
                <w:rFonts w:ascii="Times New Roman"/>
                <w:sz w:val="18"/>
              </w:rPr>
              <w:t>336.56</w:t>
            </w:r>
          </w:p>
        </w:tc>
      </w:tr>
      <w:tr>
        <w:trPr>
          <w:trHeight w:val="402"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21"/>
              <w:jc w:val="left"/>
              <w:rPr>
                <w:rFonts w:ascii="宋体" w:hAnsi="宋体" w:cs="宋体" w:eastAsia="宋体" w:hint="default"/>
                <w:sz w:val="18"/>
                <w:szCs w:val="18"/>
              </w:rPr>
            </w:pPr>
            <w:r>
              <w:rPr>
                <w:rFonts w:ascii="宋体" w:hAnsi="宋体" w:cs="宋体" w:eastAsia="宋体" w:hint="default"/>
                <w:spacing w:val="-8"/>
                <w:sz w:val="18"/>
                <w:szCs w:val="18"/>
              </w:rPr>
              <w:t>（四）所有者权益</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内部结转</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54"/>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．资本公积转增 资本（或股本）</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54"/>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．盈余公积转增 资本（或股本）</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54"/>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 亏损</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7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437"/>
        <w:gridCol w:w="562"/>
        <w:gridCol w:w="530"/>
        <w:gridCol w:w="532"/>
        <w:gridCol w:w="530"/>
        <w:gridCol w:w="665"/>
        <w:gridCol w:w="665"/>
        <w:gridCol w:w="665"/>
        <w:gridCol w:w="665"/>
        <w:gridCol w:w="665"/>
        <w:gridCol w:w="665"/>
        <w:gridCol w:w="678"/>
        <w:gridCol w:w="652"/>
        <w:gridCol w:w="659"/>
      </w:tblGrid>
      <w:tr>
        <w:trPr>
          <w:trHeight w:val="1026"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22" w:right="54"/>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．设定受益计划 变动额结转留存 收益</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．其他</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（五）专项储备</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pacing w:val="-8"/>
                <w:sz w:val="18"/>
                <w:szCs w:val="18"/>
              </w:rPr>
              <w:t>四、本期期末余额</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 w:right="0"/>
              <w:jc w:val="left"/>
              <w:rPr>
                <w:rFonts w:ascii="Times New Roman" w:hAnsi="Times New Roman" w:cs="Times New Roman" w:eastAsia="Times New Roman" w:hint="default"/>
                <w:sz w:val="18"/>
                <w:szCs w:val="18"/>
              </w:rPr>
            </w:pPr>
            <w:r>
              <w:rPr>
                <w:rFonts w:ascii="Times New Roman"/>
                <w:sz w:val="18"/>
              </w:rPr>
              <w:t>324,47</w:t>
            </w:r>
          </w:p>
          <w:p>
            <w:pPr>
              <w:pStyle w:val="TableParagraph"/>
              <w:spacing w:line="240" w:lineRule="auto" w:before="105"/>
              <w:ind w:left="79" w:right="0"/>
              <w:jc w:val="left"/>
              <w:rPr>
                <w:rFonts w:ascii="Times New Roman" w:hAnsi="Times New Roman" w:cs="Times New Roman" w:eastAsia="Times New Roman" w:hint="default"/>
                <w:sz w:val="18"/>
                <w:szCs w:val="18"/>
              </w:rPr>
            </w:pPr>
            <w:r>
              <w:rPr>
                <w:rFonts w:ascii="Times New Roman"/>
                <w:sz w:val="18"/>
              </w:rPr>
              <w:t>5,501.</w:t>
            </w:r>
          </w:p>
          <w:p>
            <w:pPr>
              <w:pStyle w:val="TableParagraph"/>
              <w:spacing w:line="240" w:lineRule="auto" w:before="106"/>
              <w:ind w:left="349" w:right="0"/>
              <w:jc w:val="left"/>
              <w:rPr>
                <w:rFonts w:ascii="Times New Roman" w:hAnsi="Times New Roman" w:cs="Times New Roman" w:eastAsia="Times New Roman" w:hint="default"/>
                <w:sz w:val="18"/>
                <w:szCs w:val="18"/>
              </w:rPr>
            </w:pPr>
            <w:r>
              <w:rPr>
                <w:rFonts w:ascii="Times New Roman"/>
                <w:sz w:val="18"/>
              </w:rPr>
              <w:t>00</w:t>
            </w: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7" w:right="0"/>
              <w:jc w:val="left"/>
              <w:rPr>
                <w:rFonts w:ascii="Times New Roman" w:hAnsi="Times New Roman" w:cs="Times New Roman" w:eastAsia="Times New Roman" w:hint="default"/>
                <w:sz w:val="18"/>
                <w:szCs w:val="18"/>
              </w:rPr>
            </w:pPr>
            <w:r>
              <w:rPr>
                <w:rFonts w:ascii="Times New Roman"/>
                <w:sz w:val="18"/>
              </w:rPr>
              <w:t>702,083</w:t>
            </w:r>
          </w:p>
          <w:p>
            <w:pPr>
              <w:pStyle w:val="TableParagraph"/>
              <w:spacing w:line="240" w:lineRule="auto" w:before="106"/>
              <w:ind w:left="92" w:right="0"/>
              <w:jc w:val="left"/>
              <w:rPr>
                <w:rFonts w:ascii="Times New Roman" w:hAnsi="Times New Roman" w:cs="Times New Roman" w:eastAsia="Times New Roman" w:hint="default"/>
                <w:sz w:val="18"/>
                <w:szCs w:val="18"/>
              </w:rPr>
            </w:pPr>
            <w:r>
              <w:rPr>
                <w:rFonts w:ascii="Times New Roman"/>
                <w:sz w:val="18"/>
              </w:rPr>
              <w:t>,069.98</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69,528,</w:t>
            </w:r>
          </w:p>
          <w:p>
            <w:pPr>
              <w:pStyle w:val="TableParagraph"/>
              <w:spacing w:line="240" w:lineRule="auto" w:before="106"/>
              <w:ind w:left="136" w:right="0"/>
              <w:jc w:val="left"/>
              <w:rPr>
                <w:rFonts w:ascii="Times New Roman" w:hAnsi="Times New Roman" w:cs="Times New Roman" w:eastAsia="Times New Roman" w:hint="default"/>
                <w:sz w:val="18"/>
                <w:szCs w:val="18"/>
              </w:rPr>
            </w:pPr>
            <w:r>
              <w:rPr>
                <w:rFonts w:ascii="Times New Roman"/>
                <w:sz w:val="18"/>
              </w:rPr>
              <w:t>553.80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39,527,</w:t>
            </w:r>
          </w:p>
          <w:p>
            <w:pPr>
              <w:pStyle w:val="TableParagraph"/>
              <w:spacing w:line="240" w:lineRule="auto" w:before="106"/>
              <w:ind w:left="136" w:right="0"/>
              <w:jc w:val="left"/>
              <w:rPr>
                <w:rFonts w:ascii="Times New Roman" w:hAnsi="Times New Roman" w:cs="Times New Roman" w:eastAsia="Times New Roman" w:hint="default"/>
                <w:sz w:val="18"/>
                <w:szCs w:val="18"/>
              </w:rPr>
            </w:pPr>
            <w:r>
              <w:rPr>
                <w:rFonts w:ascii="Times New Roman"/>
                <w:sz w:val="18"/>
              </w:rPr>
              <w:t>567.18</w:t>
            </w: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59" w:right="0"/>
              <w:jc w:val="left"/>
              <w:rPr>
                <w:rFonts w:ascii="Times New Roman" w:hAnsi="Times New Roman" w:cs="Times New Roman" w:eastAsia="Times New Roman" w:hint="default"/>
                <w:sz w:val="18"/>
                <w:szCs w:val="18"/>
              </w:rPr>
            </w:pPr>
            <w:r>
              <w:rPr>
                <w:rFonts w:ascii="Times New Roman"/>
                <w:sz w:val="18"/>
              </w:rPr>
              <w:t>365,046</w:t>
            </w:r>
          </w:p>
          <w:p>
            <w:pPr>
              <w:pStyle w:val="TableParagraph"/>
              <w:spacing w:line="240" w:lineRule="auto" w:before="106"/>
              <w:ind w:left="104" w:right="0"/>
              <w:jc w:val="left"/>
              <w:rPr>
                <w:rFonts w:ascii="Times New Roman" w:hAnsi="Times New Roman" w:cs="Times New Roman" w:eastAsia="Times New Roman" w:hint="default"/>
                <w:sz w:val="18"/>
                <w:szCs w:val="18"/>
              </w:rPr>
            </w:pPr>
            <w:r>
              <w:rPr>
                <w:rFonts w:ascii="Times New Roman"/>
                <w:sz w:val="18"/>
              </w:rPr>
              <w:t>,574.10</w:t>
            </w:r>
          </w:p>
        </w:tc>
        <w:tc>
          <w:tcPr>
            <w:tcW w:w="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79" w:right="0"/>
              <w:jc w:val="left"/>
              <w:rPr>
                <w:rFonts w:ascii="Times New Roman" w:hAnsi="Times New Roman" w:cs="Times New Roman" w:eastAsia="Times New Roman" w:hint="default"/>
                <w:sz w:val="18"/>
                <w:szCs w:val="18"/>
              </w:rPr>
            </w:pPr>
            <w:r>
              <w:rPr>
                <w:rFonts w:ascii="Times New Roman"/>
                <w:sz w:val="18"/>
              </w:rPr>
              <w:t>18,871,</w:t>
            </w:r>
          </w:p>
          <w:p>
            <w:pPr>
              <w:pStyle w:val="TableParagraph"/>
              <w:spacing w:line="240" w:lineRule="auto" w:before="106"/>
              <w:ind w:left="124" w:right="0"/>
              <w:jc w:val="left"/>
              <w:rPr>
                <w:rFonts w:ascii="Times New Roman" w:hAnsi="Times New Roman" w:cs="Times New Roman" w:eastAsia="Times New Roman" w:hint="default"/>
                <w:sz w:val="18"/>
                <w:szCs w:val="18"/>
              </w:rPr>
            </w:pPr>
            <w:r>
              <w:rPr>
                <w:rFonts w:ascii="Times New Roman"/>
                <w:sz w:val="18"/>
              </w:rPr>
              <w:t>443.54</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1,380,4</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75,602.</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00</w:t>
            </w:r>
          </w:p>
        </w:tc>
      </w:tr>
    </w:tbl>
    <w:p>
      <w:pPr>
        <w:spacing w:line="240" w:lineRule="auto" w:before="10"/>
        <w:rPr>
          <w:rFonts w:ascii="Times New Roman" w:hAnsi="Times New Roman" w:cs="Times New Roman" w:eastAsia="Times New Roman" w:hint="default"/>
          <w:sz w:val="21"/>
          <w:szCs w:val="21"/>
        </w:rPr>
      </w:pPr>
    </w:p>
    <w:p>
      <w:pPr>
        <w:pStyle w:val="Heading4"/>
        <w:spacing w:line="240" w:lineRule="auto" w:before="35"/>
        <w:ind w:right="1117"/>
        <w:jc w:val="left"/>
        <w:rPr>
          <w:b w:val="0"/>
          <w:bCs w:val="0"/>
        </w:rPr>
      </w:pPr>
      <w:bookmarkStart w:name="8、母公司所有者权益变动表" w:id="165"/>
      <w:bookmarkEnd w:id="165"/>
      <w:r>
        <w:rPr>
          <w:b w:val="0"/>
          <w:bCs w:val="0"/>
        </w:rPr>
      </w:r>
      <w:r>
        <w:rPr>
          <w:rFonts w:ascii="Times New Roman" w:hAnsi="Times New Roman" w:cs="Times New Roman" w:eastAsia="Times New Roman" w:hint="default"/>
        </w:rPr>
        <w:t>8</w:t>
      </w:r>
      <w:r>
        <w:rPr/>
        <w:t>、母公司所有者权益变动表</w:t>
      </w:r>
      <w:r>
        <w:rPr>
          <w:b w:val="0"/>
          <w:bCs w:val="0"/>
        </w:rPr>
      </w:r>
    </w:p>
    <w:p>
      <w:pPr>
        <w:spacing w:line="240" w:lineRule="auto" w:before="3"/>
        <w:rPr>
          <w:rFonts w:ascii="宋体" w:hAnsi="宋体" w:cs="宋体" w:eastAsia="宋体" w:hint="default"/>
          <w:b/>
          <w:bCs/>
          <w:sz w:val="23"/>
          <w:szCs w:val="23"/>
        </w:rPr>
      </w:pPr>
    </w:p>
    <w:p>
      <w:pPr>
        <w:spacing w:before="44"/>
        <w:ind w:left="154" w:right="1117" w:firstLine="0"/>
        <w:jc w:val="left"/>
        <w:rPr>
          <w:rFonts w:ascii="宋体" w:hAnsi="宋体" w:cs="宋体" w:eastAsia="宋体" w:hint="default"/>
          <w:sz w:val="18"/>
          <w:szCs w:val="18"/>
        </w:rPr>
      </w:pPr>
      <w:r>
        <w:rPr>
          <w:rFonts w:ascii="宋体" w:hAnsi="宋体" w:cs="宋体" w:eastAsia="宋体" w:hint="default"/>
          <w:sz w:val="18"/>
          <w:szCs w:val="18"/>
        </w:rPr>
        <w:t>本期金额</w:t>
      </w:r>
    </w:p>
    <w:p>
      <w:pPr>
        <w:spacing w:before="117"/>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1430"/>
        <w:gridCol w:w="691"/>
        <w:gridCol w:w="665"/>
        <w:gridCol w:w="665"/>
        <w:gridCol w:w="665"/>
        <w:gridCol w:w="797"/>
        <w:gridCol w:w="798"/>
        <w:gridCol w:w="798"/>
        <w:gridCol w:w="798"/>
        <w:gridCol w:w="797"/>
        <w:gridCol w:w="676"/>
        <w:gridCol w:w="781"/>
      </w:tblGrid>
      <w:tr>
        <w:trPr>
          <w:trHeight w:val="397" w:hRule="exact"/>
        </w:trPr>
        <w:tc>
          <w:tcPr>
            <w:tcW w:w="1430" w:type="dxa"/>
            <w:tcBorders>
              <w:top w:val="single" w:sz="4" w:space="0" w:color="000000"/>
              <w:left w:val="single" w:sz="4" w:space="0" w:color="000000"/>
              <w:bottom w:val="nil" w:sz="6" w:space="0" w:color="auto"/>
              <w:right w:val="single" w:sz="4" w:space="0" w:color="000000"/>
            </w:tcBorders>
            <w:shd w:val="clear" w:color="auto" w:fill="D2D2D2"/>
          </w:tcPr>
          <w:p>
            <w:pPr/>
          </w:p>
        </w:tc>
        <w:tc>
          <w:tcPr>
            <w:tcW w:w="8131" w:type="dxa"/>
            <w:gridSpan w:val="11"/>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本期</w:t>
            </w:r>
          </w:p>
        </w:tc>
      </w:tr>
      <w:tr>
        <w:trPr>
          <w:trHeight w:val="211" w:hRule="exact"/>
        </w:trPr>
        <w:tc>
          <w:tcPr>
            <w:tcW w:w="143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61"/>
              <w:ind w:right="10"/>
              <w:jc w:val="center"/>
              <w:rPr>
                <w:rFonts w:ascii="宋体" w:hAnsi="宋体" w:cs="宋体" w:eastAsia="宋体" w:hint="default"/>
                <w:sz w:val="18"/>
                <w:szCs w:val="18"/>
              </w:rPr>
            </w:pPr>
            <w:r>
              <w:rPr>
                <w:rFonts w:ascii="宋体" w:hAnsi="宋体" w:cs="宋体" w:eastAsia="宋体" w:hint="default"/>
                <w:sz w:val="18"/>
                <w:szCs w:val="18"/>
              </w:rPr>
              <w:t>项目</w:t>
            </w:r>
          </w:p>
        </w:tc>
        <w:tc>
          <w:tcPr>
            <w:tcW w:w="691" w:type="dxa"/>
            <w:tcBorders>
              <w:top w:val="single" w:sz="4" w:space="0" w:color="000000"/>
              <w:left w:val="single" w:sz="4" w:space="0" w:color="000000"/>
              <w:bottom w:val="nil" w:sz="6" w:space="0" w:color="auto"/>
              <w:right w:val="single" w:sz="4" w:space="0" w:color="000000"/>
            </w:tcBorders>
            <w:shd w:val="clear" w:color="auto" w:fill="D2D2D2"/>
          </w:tcPr>
          <w:p>
            <w:pPr/>
          </w:p>
        </w:tc>
        <w:tc>
          <w:tcPr>
            <w:tcW w:w="1995"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452"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797" w:type="dxa"/>
            <w:tcBorders>
              <w:top w:val="single" w:sz="4" w:space="0" w:color="000000"/>
              <w:left w:val="single" w:sz="4" w:space="0" w:color="000000"/>
              <w:bottom w:val="nil" w:sz="6" w:space="0" w:color="auto"/>
              <w:right w:val="single" w:sz="4" w:space="0" w:color="000000"/>
            </w:tcBorders>
            <w:shd w:val="clear" w:color="auto" w:fill="D2D2D2"/>
          </w:tcPr>
          <w:p>
            <w:pPr/>
          </w:p>
        </w:tc>
        <w:tc>
          <w:tcPr>
            <w:tcW w:w="798"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101"/>
              <w:ind w:left="304" w:right="31" w:hanging="270"/>
              <w:jc w:val="left"/>
              <w:rPr>
                <w:rFonts w:ascii="宋体" w:hAnsi="宋体" w:cs="宋体" w:eastAsia="宋体" w:hint="default"/>
                <w:sz w:val="18"/>
                <w:szCs w:val="18"/>
              </w:rPr>
            </w:pPr>
            <w:r>
              <w:rPr>
                <w:rFonts w:ascii="宋体" w:hAnsi="宋体" w:cs="宋体" w:eastAsia="宋体" w:hint="default"/>
                <w:sz w:val="18"/>
                <w:szCs w:val="18"/>
              </w:rPr>
              <w:t>减：库存 股</w:t>
            </w:r>
          </w:p>
        </w:tc>
        <w:tc>
          <w:tcPr>
            <w:tcW w:w="798"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101"/>
              <w:ind w:left="214" w:right="31" w:hanging="180"/>
              <w:jc w:val="left"/>
              <w:rPr>
                <w:rFonts w:ascii="宋体" w:hAnsi="宋体" w:cs="宋体" w:eastAsia="宋体" w:hint="default"/>
                <w:sz w:val="18"/>
                <w:szCs w:val="18"/>
              </w:rPr>
            </w:pPr>
            <w:r>
              <w:rPr>
                <w:rFonts w:ascii="宋体" w:hAnsi="宋体" w:cs="宋体" w:eastAsia="宋体" w:hint="default"/>
                <w:sz w:val="18"/>
                <w:szCs w:val="18"/>
              </w:rPr>
              <w:t>其他综合 收益</w:t>
            </w:r>
          </w:p>
        </w:tc>
        <w:tc>
          <w:tcPr>
            <w:tcW w:w="798" w:type="dxa"/>
            <w:tcBorders>
              <w:top w:val="single" w:sz="4" w:space="0" w:color="000000"/>
              <w:left w:val="single" w:sz="4" w:space="0" w:color="000000"/>
              <w:bottom w:val="nil" w:sz="6" w:space="0" w:color="auto"/>
              <w:right w:val="single" w:sz="4" w:space="0" w:color="000000"/>
            </w:tcBorders>
            <w:shd w:val="clear" w:color="auto" w:fill="D2D2D2"/>
          </w:tcPr>
          <w:p>
            <w:pPr/>
          </w:p>
        </w:tc>
        <w:tc>
          <w:tcPr>
            <w:tcW w:w="797" w:type="dxa"/>
            <w:tcBorders>
              <w:top w:val="single" w:sz="4" w:space="0" w:color="000000"/>
              <w:left w:val="single" w:sz="4" w:space="0" w:color="000000"/>
              <w:bottom w:val="nil" w:sz="6" w:space="0" w:color="auto"/>
              <w:right w:val="single" w:sz="4" w:space="0" w:color="000000"/>
            </w:tcBorders>
            <w:shd w:val="clear" w:color="auto" w:fill="D2D2D2"/>
          </w:tcPr>
          <w:p>
            <w:pPr/>
          </w:p>
        </w:tc>
        <w:tc>
          <w:tcPr>
            <w:tcW w:w="676"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101"/>
              <w:ind w:left="152" w:right="61" w:hanging="90"/>
              <w:jc w:val="left"/>
              <w:rPr>
                <w:rFonts w:ascii="宋体" w:hAnsi="宋体" w:cs="宋体" w:eastAsia="宋体" w:hint="default"/>
                <w:sz w:val="18"/>
                <w:szCs w:val="18"/>
              </w:rPr>
            </w:pPr>
            <w:r>
              <w:rPr>
                <w:rFonts w:ascii="宋体" w:hAnsi="宋体" w:cs="宋体" w:eastAsia="宋体" w:hint="default"/>
                <w:sz w:val="18"/>
                <w:szCs w:val="18"/>
              </w:rPr>
              <w:t>未分配 利润</w:t>
            </w:r>
          </w:p>
        </w:tc>
        <w:tc>
          <w:tcPr>
            <w:tcW w:w="781"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101"/>
              <w:ind w:left="115" w:right="24" w:hanging="90"/>
              <w:jc w:val="left"/>
              <w:rPr>
                <w:rFonts w:ascii="宋体" w:hAnsi="宋体" w:cs="宋体" w:eastAsia="宋体" w:hint="default"/>
                <w:sz w:val="18"/>
                <w:szCs w:val="18"/>
              </w:rPr>
            </w:pPr>
            <w:r>
              <w:rPr>
                <w:rFonts w:ascii="宋体" w:hAnsi="宋体" w:cs="宋体" w:eastAsia="宋体" w:hint="default"/>
                <w:sz w:val="18"/>
                <w:szCs w:val="18"/>
              </w:rPr>
              <w:t>所有者权 益合计</w:t>
            </w:r>
          </w:p>
        </w:tc>
      </w:tr>
      <w:tr>
        <w:trPr>
          <w:trHeight w:val="191" w:hRule="exact"/>
        </w:trPr>
        <w:tc>
          <w:tcPr>
            <w:tcW w:w="1430" w:type="dxa"/>
            <w:vMerge/>
            <w:tcBorders>
              <w:left w:val="single" w:sz="4" w:space="0" w:color="000000"/>
              <w:bottom w:val="nil" w:sz="6" w:space="0" w:color="auto"/>
              <w:right w:val="single" w:sz="4" w:space="0" w:color="000000"/>
            </w:tcBorders>
            <w:shd w:val="clear" w:color="auto" w:fill="D2D2D2"/>
          </w:tcPr>
          <w:p>
            <w:pPr/>
          </w:p>
        </w:tc>
        <w:tc>
          <w:tcPr>
            <w:tcW w:w="69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159"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1995" w:type="dxa"/>
            <w:gridSpan w:val="3"/>
            <w:vMerge/>
            <w:tcBorders>
              <w:left w:val="single" w:sz="4" w:space="0" w:color="000000"/>
              <w:bottom w:val="single" w:sz="4" w:space="0" w:color="000000"/>
              <w:right w:val="single" w:sz="4" w:space="0" w:color="000000"/>
            </w:tcBorders>
            <w:shd w:val="clear" w:color="auto" w:fill="D2D2D2"/>
          </w:tcPr>
          <w:p>
            <w:pPr/>
          </w:p>
        </w:tc>
        <w:tc>
          <w:tcPr>
            <w:tcW w:w="79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33"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798" w:type="dxa"/>
            <w:vMerge/>
            <w:tcBorders>
              <w:left w:val="single" w:sz="4" w:space="0" w:color="000000"/>
              <w:right w:val="single" w:sz="4" w:space="0" w:color="000000"/>
            </w:tcBorders>
            <w:shd w:val="clear" w:color="auto" w:fill="D2D2D2"/>
          </w:tcPr>
          <w:p>
            <w:pPr/>
          </w:p>
        </w:tc>
        <w:tc>
          <w:tcPr>
            <w:tcW w:w="798" w:type="dxa"/>
            <w:vMerge/>
            <w:tcBorders>
              <w:left w:val="single" w:sz="4" w:space="0" w:color="000000"/>
              <w:right w:val="single" w:sz="4" w:space="0" w:color="000000"/>
            </w:tcBorders>
            <w:shd w:val="clear" w:color="auto" w:fill="D2D2D2"/>
          </w:tcPr>
          <w:p>
            <w:pPr/>
          </w:p>
        </w:tc>
        <w:tc>
          <w:tcPr>
            <w:tcW w:w="79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33"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79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33"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676" w:type="dxa"/>
            <w:vMerge/>
            <w:tcBorders>
              <w:left w:val="single" w:sz="4" w:space="0" w:color="000000"/>
              <w:right w:val="single" w:sz="4" w:space="0" w:color="000000"/>
            </w:tcBorders>
            <w:shd w:val="clear" w:color="auto" w:fill="D2D2D2"/>
          </w:tcPr>
          <w:p>
            <w:pPr/>
          </w:p>
        </w:tc>
        <w:tc>
          <w:tcPr>
            <w:tcW w:w="781" w:type="dxa"/>
            <w:vMerge/>
            <w:tcBorders>
              <w:left w:val="single" w:sz="4" w:space="0" w:color="000000"/>
              <w:right w:val="single" w:sz="4" w:space="0" w:color="000000"/>
            </w:tcBorders>
            <w:shd w:val="clear" w:color="auto" w:fill="D2D2D2"/>
          </w:tcPr>
          <w:p>
            <w:pPr/>
          </w:p>
        </w:tc>
      </w:tr>
      <w:tr>
        <w:trPr>
          <w:trHeight w:val="202" w:hRule="exact"/>
        </w:trPr>
        <w:tc>
          <w:tcPr>
            <w:tcW w:w="1430" w:type="dxa"/>
            <w:vMerge w:val="restart"/>
            <w:tcBorders>
              <w:top w:val="nil" w:sz="6" w:space="0" w:color="auto"/>
              <w:left w:val="single" w:sz="4" w:space="0" w:color="000000"/>
              <w:right w:val="single" w:sz="4" w:space="0" w:color="000000"/>
            </w:tcBorders>
            <w:shd w:val="clear" w:color="auto" w:fill="D2D2D2"/>
          </w:tcPr>
          <w:p>
            <w:pPr/>
          </w:p>
        </w:tc>
        <w:tc>
          <w:tcPr>
            <w:tcW w:w="691" w:type="dxa"/>
            <w:vMerge/>
            <w:tcBorders>
              <w:left w:val="single" w:sz="4" w:space="0" w:color="000000"/>
              <w:bottom w:val="nil" w:sz="6" w:space="0" w:color="auto"/>
              <w:right w:val="single" w:sz="4" w:space="0" w:color="000000"/>
            </w:tcBorders>
            <w:shd w:val="clear" w:color="auto" w:fill="D2D2D2"/>
          </w:tcPr>
          <w:p>
            <w:pPr/>
          </w:p>
        </w:tc>
        <w:tc>
          <w:tcPr>
            <w:tcW w:w="6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56" w:right="0"/>
              <w:jc w:val="left"/>
              <w:rPr>
                <w:rFonts w:ascii="宋体" w:hAnsi="宋体" w:cs="宋体" w:eastAsia="宋体" w:hint="default"/>
                <w:sz w:val="18"/>
                <w:szCs w:val="18"/>
              </w:rPr>
            </w:pPr>
            <w:r>
              <w:rPr>
                <w:rFonts w:ascii="宋体" w:hAnsi="宋体" w:cs="宋体" w:eastAsia="宋体" w:hint="default"/>
                <w:sz w:val="18"/>
                <w:szCs w:val="18"/>
              </w:rPr>
              <w:t>优先股</w:t>
            </w:r>
          </w:p>
        </w:tc>
        <w:tc>
          <w:tcPr>
            <w:tcW w:w="6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56" w:right="0"/>
              <w:jc w:val="left"/>
              <w:rPr>
                <w:rFonts w:ascii="宋体" w:hAnsi="宋体" w:cs="宋体" w:eastAsia="宋体" w:hint="default"/>
                <w:sz w:val="18"/>
                <w:szCs w:val="18"/>
              </w:rPr>
            </w:pPr>
            <w:r>
              <w:rPr>
                <w:rFonts w:ascii="宋体" w:hAnsi="宋体" w:cs="宋体" w:eastAsia="宋体" w:hint="default"/>
                <w:sz w:val="18"/>
                <w:szCs w:val="18"/>
              </w:rPr>
              <w:t>永续债</w:t>
            </w:r>
          </w:p>
        </w:tc>
        <w:tc>
          <w:tcPr>
            <w:tcW w:w="6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146"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97" w:type="dxa"/>
            <w:vMerge/>
            <w:tcBorders>
              <w:left w:val="single" w:sz="4" w:space="0" w:color="000000"/>
              <w:bottom w:val="nil" w:sz="6" w:space="0" w:color="auto"/>
              <w:right w:val="single" w:sz="4" w:space="0" w:color="000000"/>
            </w:tcBorders>
            <w:shd w:val="clear" w:color="auto" w:fill="D2D2D2"/>
          </w:tcPr>
          <w:p>
            <w:pPr/>
          </w:p>
        </w:tc>
        <w:tc>
          <w:tcPr>
            <w:tcW w:w="798" w:type="dxa"/>
            <w:vMerge/>
            <w:tcBorders>
              <w:left w:val="single" w:sz="4" w:space="0" w:color="000000"/>
              <w:right w:val="single" w:sz="4" w:space="0" w:color="000000"/>
            </w:tcBorders>
            <w:shd w:val="clear" w:color="auto" w:fill="D2D2D2"/>
          </w:tcPr>
          <w:p>
            <w:pPr/>
          </w:p>
        </w:tc>
        <w:tc>
          <w:tcPr>
            <w:tcW w:w="798" w:type="dxa"/>
            <w:vMerge/>
            <w:tcBorders>
              <w:left w:val="single" w:sz="4" w:space="0" w:color="000000"/>
              <w:right w:val="single" w:sz="4" w:space="0" w:color="000000"/>
            </w:tcBorders>
            <w:shd w:val="clear" w:color="auto" w:fill="D2D2D2"/>
          </w:tcPr>
          <w:p>
            <w:pPr/>
          </w:p>
        </w:tc>
        <w:tc>
          <w:tcPr>
            <w:tcW w:w="798" w:type="dxa"/>
            <w:vMerge/>
            <w:tcBorders>
              <w:left w:val="single" w:sz="4" w:space="0" w:color="000000"/>
              <w:bottom w:val="nil" w:sz="6" w:space="0" w:color="auto"/>
              <w:right w:val="single" w:sz="4" w:space="0" w:color="000000"/>
            </w:tcBorders>
            <w:shd w:val="clear" w:color="auto" w:fill="D2D2D2"/>
          </w:tcPr>
          <w:p>
            <w:pPr/>
          </w:p>
        </w:tc>
        <w:tc>
          <w:tcPr>
            <w:tcW w:w="797" w:type="dxa"/>
            <w:vMerge/>
            <w:tcBorders>
              <w:left w:val="single" w:sz="4" w:space="0" w:color="000000"/>
              <w:bottom w:val="nil" w:sz="6" w:space="0" w:color="auto"/>
              <w:right w:val="single" w:sz="4" w:space="0" w:color="000000"/>
            </w:tcBorders>
            <w:shd w:val="clear" w:color="auto" w:fill="D2D2D2"/>
          </w:tcPr>
          <w:p>
            <w:pPr/>
          </w:p>
        </w:tc>
        <w:tc>
          <w:tcPr>
            <w:tcW w:w="676" w:type="dxa"/>
            <w:vMerge/>
            <w:tcBorders>
              <w:left w:val="single" w:sz="4" w:space="0" w:color="000000"/>
              <w:right w:val="single" w:sz="4" w:space="0" w:color="000000"/>
            </w:tcBorders>
            <w:shd w:val="clear" w:color="auto" w:fill="D2D2D2"/>
          </w:tcPr>
          <w:p>
            <w:pPr/>
          </w:p>
        </w:tc>
        <w:tc>
          <w:tcPr>
            <w:tcW w:w="781" w:type="dxa"/>
            <w:vMerge/>
            <w:tcBorders>
              <w:left w:val="single" w:sz="4" w:space="0" w:color="000000"/>
              <w:right w:val="single" w:sz="4" w:space="0" w:color="000000"/>
            </w:tcBorders>
            <w:shd w:val="clear" w:color="auto" w:fill="D2D2D2"/>
          </w:tcPr>
          <w:p>
            <w:pPr/>
          </w:p>
        </w:tc>
      </w:tr>
      <w:tr>
        <w:trPr>
          <w:trHeight w:val="205" w:hRule="exact"/>
        </w:trPr>
        <w:tc>
          <w:tcPr>
            <w:tcW w:w="1430" w:type="dxa"/>
            <w:vMerge/>
            <w:tcBorders>
              <w:left w:val="single" w:sz="4" w:space="0" w:color="000000"/>
              <w:bottom w:val="single" w:sz="4" w:space="0" w:color="000000"/>
              <w:right w:val="single" w:sz="4" w:space="0" w:color="000000"/>
            </w:tcBorders>
            <w:shd w:val="clear" w:color="auto" w:fill="D2D2D2"/>
          </w:tcPr>
          <w:p>
            <w:pPr/>
          </w:p>
        </w:tc>
        <w:tc>
          <w:tcPr>
            <w:tcW w:w="691"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single" w:sz="4" w:space="0" w:color="000000"/>
              <w:right w:val="single" w:sz="4" w:space="0" w:color="000000"/>
            </w:tcBorders>
            <w:shd w:val="clear" w:color="auto" w:fill="D2D2D2"/>
          </w:tcPr>
          <w:p>
            <w:pPr/>
          </w:p>
        </w:tc>
        <w:tc>
          <w:tcPr>
            <w:tcW w:w="797" w:type="dxa"/>
            <w:tcBorders>
              <w:top w:val="nil" w:sz="6" w:space="0" w:color="auto"/>
              <w:left w:val="single" w:sz="4" w:space="0" w:color="000000"/>
              <w:bottom w:val="single" w:sz="4" w:space="0" w:color="000000"/>
              <w:right w:val="single" w:sz="4" w:space="0" w:color="000000"/>
            </w:tcBorders>
            <w:shd w:val="clear" w:color="auto" w:fill="D2D2D2"/>
          </w:tcPr>
          <w:p>
            <w:pPr/>
          </w:p>
        </w:tc>
        <w:tc>
          <w:tcPr>
            <w:tcW w:w="798" w:type="dxa"/>
            <w:vMerge/>
            <w:tcBorders>
              <w:left w:val="single" w:sz="4" w:space="0" w:color="000000"/>
              <w:bottom w:val="single" w:sz="4" w:space="0" w:color="000000"/>
              <w:right w:val="single" w:sz="4" w:space="0" w:color="000000"/>
            </w:tcBorders>
            <w:shd w:val="clear" w:color="auto" w:fill="D2D2D2"/>
          </w:tcPr>
          <w:p>
            <w:pPr/>
          </w:p>
        </w:tc>
        <w:tc>
          <w:tcPr>
            <w:tcW w:w="798" w:type="dxa"/>
            <w:vMerge/>
            <w:tcBorders>
              <w:left w:val="single" w:sz="4" w:space="0" w:color="000000"/>
              <w:bottom w:val="single" w:sz="4" w:space="0" w:color="000000"/>
              <w:right w:val="single" w:sz="4" w:space="0" w:color="000000"/>
            </w:tcBorders>
            <w:shd w:val="clear" w:color="auto" w:fill="D2D2D2"/>
          </w:tcPr>
          <w:p>
            <w:pPr/>
          </w:p>
        </w:tc>
        <w:tc>
          <w:tcPr>
            <w:tcW w:w="798" w:type="dxa"/>
            <w:tcBorders>
              <w:top w:val="nil" w:sz="6" w:space="0" w:color="auto"/>
              <w:left w:val="single" w:sz="4" w:space="0" w:color="000000"/>
              <w:bottom w:val="single" w:sz="4" w:space="0" w:color="000000"/>
              <w:right w:val="single" w:sz="4" w:space="0" w:color="000000"/>
            </w:tcBorders>
            <w:shd w:val="clear" w:color="auto" w:fill="D2D2D2"/>
          </w:tcPr>
          <w:p>
            <w:pPr/>
          </w:p>
        </w:tc>
        <w:tc>
          <w:tcPr>
            <w:tcW w:w="797" w:type="dxa"/>
            <w:tcBorders>
              <w:top w:val="nil" w:sz="6" w:space="0" w:color="auto"/>
              <w:left w:val="single" w:sz="4" w:space="0" w:color="000000"/>
              <w:bottom w:val="single" w:sz="4" w:space="0" w:color="000000"/>
              <w:right w:val="single" w:sz="4" w:space="0" w:color="000000"/>
            </w:tcBorders>
            <w:shd w:val="clear" w:color="auto" w:fill="D2D2D2"/>
          </w:tcPr>
          <w:p>
            <w:pPr/>
          </w:p>
        </w:tc>
        <w:tc>
          <w:tcPr>
            <w:tcW w:w="676" w:type="dxa"/>
            <w:vMerge/>
            <w:tcBorders>
              <w:left w:val="single" w:sz="4" w:space="0" w:color="000000"/>
              <w:bottom w:val="single" w:sz="4" w:space="0" w:color="000000"/>
              <w:right w:val="single" w:sz="4" w:space="0" w:color="000000"/>
            </w:tcBorders>
            <w:shd w:val="clear" w:color="auto" w:fill="D2D2D2"/>
          </w:tcPr>
          <w:p>
            <w:pPr/>
          </w:p>
        </w:tc>
        <w:tc>
          <w:tcPr>
            <w:tcW w:w="781" w:type="dxa"/>
            <w:vMerge/>
            <w:tcBorders>
              <w:left w:val="single" w:sz="4" w:space="0" w:color="000000"/>
              <w:bottom w:val="single" w:sz="4" w:space="0" w:color="000000"/>
              <w:right w:val="single" w:sz="4" w:space="0" w:color="000000"/>
            </w:tcBorders>
            <w:shd w:val="clear" w:color="auto" w:fill="D2D2D2"/>
          </w:tcPr>
          <w:p>
            <w:pPr/>
          </w:p>
        </w:tc>
      </w:tr>
      <w:tr>
        <w:trPr>
          <w:trHeight w:val="161" w:hRule="exact"/>
        </w:trPr>
        <w:tc>
          <w:tcPr>
            <w:tcW w:w="1430" w:type="dxa"/>
            <w:tcBorders>
              <w:top w:val="single" w:sz="4" w:space="0" w:color="000000"/>
              <w:left w:val="single" w:sz="4" w:space="0" w:color="000000"/>
              <w:bottom w:val="nil" w:sz="6" w:space="0" w:color="auto"/>
              <w:right w:val="single" w:sz="4" w:space="0" w:color="000000"/>
            </w:tcBorders>
            <w:shd w:val="clear" w:color="auto" w:fill="D2D2D2"/>
          </w:tcPr>
          <w:p>
            <w:pPr/>
          </w:p>
        </w:tc>
        <w:tc>
          <w:tcPr>
            <w:tcW w:w="691" w:type="dxa"/>
            <w:vMerge w:val="restart"/>
            <w:tcBorders>
              <w:top w:val="single" w:sz="4" w:space="0" w:color="000000"/>
              <w:left w:val="single" w:sz="10" w:space="0" w:color="D2D2D2"/>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324,475,</w:t>
            </w:r>
          </w:p>
          <w:p>
            <w:pPr>
              <w:pStyle w:val="TableParagraph"/>
              <w:spacing w:line="240" w:lineRule="auto" w:before="106"/>
              <w:ind w:left="132" w:right="0"/>
              <w:jc w:val="center"/>
              <w:rPr>
                <w:rFonts w:ascii="Times New Roman" w:hAnsi="Times New Roman" w:cs="Times New Roman" w:eastAsia="Times New Roman" w:hint="default"/>
                <w:sz w:val="18"/>
                <w:szCs w:val="18"/>
              </w:rPr>
            </w:pPr>
            <w:r>
              <w:rPr>
                <w:rFonts w:ascii="Times New Roman"/>
                <w:sz w:val="18"/>
              </w:rPr>
              <w:t>501.00</w:t>
            </w: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702,083,0</w:t>
            </w:r>
          </w:p>
          <w:p>
            <w:pPr>
              <w:pStyle w:val="TableParagraph"/>
              <w:spacing w:line="240" w:lineRule="auto" w:before="106"/>
              <w:ind w:left="359" w:right="0"/>
              <w:jc w:val="left"/>
              <w:rPr>
                <w:rFonts w:ascii="Times New Roman" w:hAnsi="Times New Roman" w:cs="Times New Roman" w:eastAsia="Times New Roman" w:hint="default"/>
                <w:sz w:val="18"/>
                <w:szCs w:val="18"/>
              </w:rPr>
            </w:pPr>
            <w:r>
              <w:rPr>
                <w:rFonts w:ascii="Times New Roman"/>
                <w:sz w:val="18"/>
              </w:rPr>
              <w:t>69.98</w:t>
            </w:r>
          </w:p>
        </w:tc>
        <w:tc>
          <w:tcPr>
            <w:tcW w:w="798" w:type="dxa"/>
            <w:vMerge w:val="restart"/>
            <w:tcBorders>
              <w:top w:val="single" w:sz="22" w:space="0" w:color="D2D2D2"/>
              <w:left w:val="single" w:sz="4" w:space="0" w:color="000000"/>
              <w:right w:val="single" w:sz="4" w:space="0" w:color="000000"/>
            </w:tcBorders>
          </w:tcPr>
          <w:p>
            <w:pPr>
              <w:pStyle w:val="TableParagraph"/>
              <w:spacing w:line="240" w:lineRule="auto" w:before="69"/>
              <w:ind w:left="45" w:right="0"/>
              <w:jc w:val="left"/>
              <w:rPr>
                <w:rFonts w:ascii="Times New Roman" w:hAnsi="Times New Roman" w:cs="Times New Roman" w:eastAsia="Times New Roman" w:hint="default"/>
                <w:sz w:val="18"/>
                <w:szCs w:val="18"/>
              </w:rPr>
            </w:pPr>
            <w:r>
              <w:rPr>
                <w:rFonts w:ascii="Times New Roman"/>
                <w:sz w:val="18"/>
              </w:rPr>
              <w:t>69,528,55</w:t>
            </w:r>
          </w:p>
          <w:p>
            <w:pPr>
              <w:pStyle w:val="TableParagraph"/>
              <w:spacing w:line="240" w:lineRule="auto" w:before="106"/>
              <w:ind w:left="451" w:right="0"/>
              <w:jc w:val="left"/>
              <w:rPr>
                <w:rFonts w:ascii="Times New Roman" w:hAnsi="Times New Roman" w:cs="Times New Roman" w:eastAsia="Times New Roman" w:hint="default"/>
                <w:sz w:val="18"/>
                <w:szCs w:val="18"/>
              </w:rPr>
            </w:pPr>
            <w:r>
              <w:rPr>
                <w:rFonts w:ascii="Times New Roman"/>
                <w:sz w:val="18"/>
              </w:rPr>
              <w:t>3.80</w:t>
            </w:r>
          </w:p>
        </w:tc>
        <w:tc>
          <w:tcPr>
            <w:tcW w:w="798" w:type="dxa"/>
            <w:vMerge w:val="restart"/>
            <w:tcBorders>
              <w:top w:val="single" w:sz="22" w:space="0" w:color="D2D2D2"/>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39,527,56</w:t>
            </w:r>
          </w:p>
          <w:p>
            <w:pPr>
              <w:pStyle w:val="TableParagraph"/>
              <w:spacing w:line="240" w:lineRule="auto" w:before="106"/>
              <w:ind w:left="449" w:right="0"/>
              <w:jc w:val="left"/>
              <w:rPr>
                <w:rFonts w:ascii="Times New Roman" w:hAnsi="Times New Roman" w:cs="Times New Roman" w:eastAsia="Times New Roman" w:hint="default"/>
                <w:sz w:val="18"/>
                <w:szCs w:val="18"/>
              </w:rPr>
            </w:pPr>
            <w:r>
              <w:rPr>
                <w:rFonts w:ascii="Times New Roman"/>
                <w:sz w:val="18"/>
              </w:rPr>
              <w:t>7.18</w:t>
            </w:r>
          </w:p>
        </w:tc>
        <w:tc>
          <w:tcPr>
            <w:tcW w:w="676" w:type="dxa"/>
            <w:vMerge w:val="restart"/>
            <w:tcBorders>
              <w:top w:val="single" w:sz="22" w:space="0" w:color="D2D2D2"/>
              <w:left w:val="single" w:sz="4" w:space="0" w:color="000000"/>
              <w:right w:val="single" w:sz="4" w:space="0" w:color="000000"/>
            </w:tcBorders>
          </w:tcPr>
          <w:p>
            <w:pPr>
              <w:pStyle w:val="TableParagraph"/>
              <w:spacing w:line="240" w:lineRule="auto" w:before="69"/>
              <w:ind w:left="58" w:right="0"/>
              <w:jc w:val="left"/>
              <w:rPr>
                <w:rFonts w:ascii="Times New Roman" w:hAnsi="Times New Roman" w:cs="Times New Roman" w:eastAsia="Times New Roman" w:hint="default"/>
                <w:sz w:val="18"/>
                <w:szCs w:val="18"/>
              </w:rPr>
            </w:pPr>
            <w:r>
              <w:rPr>
                <w:rFonts w:ascii="Times New Roman"/>
                <w:sz w:val="18"/>
              </w:rPr>
              <w:t>281,757</w:t>
            </w:r>
          </w:p>
          <w:p>
            <w:pPr>
              <w:pStyle w:val="TableParagraph"/>
              <w:spacing w:line="240" w:lineRule="auto" w:before="106"/>
              <w:ind w:left="103" w:right="0"/>
              <w:jc w:val="left"/>
              <w:rPr>
                <w:rFonts w:ascii="Times New Roman" w:hAnsi="Times New Roman" w:cs="Times New Roman" w:eastAsia="Times New Roman" w:hint="default"/>
                <w:sz w:val="18"/>
                <w:szCs w:val="18"/>
              </w:rPr>
            </w:pPr>
            <w:r>
              <w:rPr>
                <w:rFonts w:ascii="Times New Roman"/>
                <w:sz w:val="18"/>
              </w:rPr>
              <w:t>,022.93</w:t>
            </w:r>
          </w:p>
        </w:tc>
        <w:tc>
          <w:tcPr>
            <w:tcW w:w="781" w:type="dxa"/>
            <w:vMerge w:val="restart"/>
            <w:tcBorders>
              <w:top w:val="single" w:sz="22" w:space="0" w:color="D2D2D2"/>
              <w:left w:val="single" w:sz="4" w:space="0" w:color="000000"/>
              <w:right w:val="single" w:sz="4" w:space="0" w:color="000000"/>
            </w:tcBorders>
          </w:tcPr>
          <w:p>
            <w:pPr>
              <w:pStyle w:val="TableParagraph"/>
              <w:spacing w:line="240" w:lineRule="auto" w:before="69"/>
              <w:ind w:left="4" w:right="0"/>
              <w:jc w:val="center"/>
              <w:rPr>
                <w:rFonts w:ascii="Times New Roman" w:hAnsi="Times New Roman" w:cs="Times New Roman" w:eastAsia="Times New Roman" w:hint="default"/>
                <w:sz w:val="18"/>
                <w:szCs w:val="18"/>
              </w:rPr>
            </w:pPr>
            <w:r>
              <w:rPr>
                <w:rFonts w:ascii="Times New Roman"/>
                <w:sz w:val="18"/>
              </w:rPr>
              <w:t>1,278,314</w:t>
            </w:r>
          </w:p>
          <w:p>
            <w:pPr>
              <w:pStyle w:val="TableParagraph"/>
              <w:spacing w:line="240" w:lineRule="auto" w:before="106"/>
              <w:ind w:left="184" w:right="0"/>
              <w:jc w:val="center"/>
              <w:rPr>
                <w:rFonts w:ascii="Times New Roman" w:hAnsi="Times New Roman" w:cs="Times New Roman" w:eastAsia="Times New Roman" w:hint="default"/>
                <w:sz w:val="18"/>
                <w:szCs w:val="18"/>
              </w:rPr>
            </w:pPr>
            <w:r>
              <w:rPr>
                <w:rFonts w:ascii="Times New Roman"/>
                <w:sz w:val="18"/>
              </w:rPr>
              <w:t>,607.29</w:t>
            </w:r>
          </w:p>
        </w:tc>
      </w:tr>
      <w:tr>
        <w:trPr>
          <w:trHeight w:val="392" w:hRule="exact"/>
        </w:trPr>
        <w:tc>
          <w:tcPr>
            <w:tcW w:w="143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pacing w:val="-7"/>
                <w:sz w:val="18"/>
                <w:szCs w:val="18"/>
              </w:rPr>
              <w:t>一、上年期末余额</w:t>
            </w:r>
          </w:p>
        </w:tc>
        <w:tc>
          <w:tcPr>
            <w:tcW w:w="691" w:type="dxa"/>
            <w:vMerge/>
            <w:tcBorders>
              <w:left w:val="single" w:sz="10" w:space="0" w:color="D2D2D2"/>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676" w:type="dxa"/>
            <w:vMerge/>
            <w:tcBorders>
              <w:left w:val="single" w:sz="4" w:space="0" w:color="000000"/>
              <w:right w:val="single" w:sz="4" w:space="0" w:color="000000"/>
            </w:tcBorders>
          </w:tcPr>
          <w:p>
            <w:pPr/>
          </w:p>
        </w:tc>
        <w:tc>
          <w:tcPr>
            <w:tcW w:w="781" w:type="dxa"/>
            <w:vMerge/>
            <w:tcBorders>
              <w:left w:val="single" w:sz="4" w:space="0" w:color="000000"/>
              <w:right w:val="single" w:sz="4" w:space="0" w:color="000000"/>
            </w:tcBorders>
          </w:tcPr>
          <w:p>
            <w:pPr/>
          </w:p>
        </w:tc>
      </w:tr>
      <w:tr>
        <w:trPr>
          <w:trHeight w:val="161" w:hRule="exact"/>
        </w:trPr>
        <w:tc>
          <w:tcPr>
            <w:tcW w:w="1430" w:type="dxa"/>
            <w:tcBorders>
              <w:top w:val="nil" w:sz="6" w:space="0" w:color="auto"/>
              <w:left w:val="single" w:sz="4" w:space="0" w:color="000000"/>
              <w:bottom w:val="single" w:sz="4" w:space="0" w:color="000000"/>
              <w:right w:val="single" w:sz="4" w:space="0" w:color="000000"/>
            </w:tcBorders>
            <w:shd w:val="clear" w:color="auto" w:fill="D2D2D2"/>
          </w:tcPr>
          <w:p>
            <w:pPr/>
          </w:p>
        </w:tc>
        <w:tc>
          <w:tcPr>
            <w:tcW w:w="691" w:type="dxa"/>
            <w:vMerge/>
            <w:tcBorders>
              <w:left w:val="single" w:sz="10" w:space="0" w:color="D2D2D2"/>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676" w:type="dxa"/>
            <w:vMerge/>
            <w:tcBorders>
              <w:left w:val="single" w:sz="4" w:space="0" w:color="000000"/>
              <w:bottom w:val="single" w:sz="4" w:space="0" w:color="000000"/>
              <w:right w:val="single" w:sz="4" w:space="0" w:color="000000"/>
            </w:tcBorders>
          </w:tcPr>
          <w:p>
            <w:pPr/>
          </w:p>
        </w:tc>
        <w:tc>
          <w:tcPr>
            <w:tcW w:w="781" w:type="dxa"/>
            <w:vMerge/>
            <w:tcBorders>
              <w:left w:val="single" w:sz="4" w:space="0" w:color="000000"/>
              <w:bottom w:val="single" w:sz="4" w:space="0" w:color="000000"/>
              <w:right w:val="single" w:sz="4" w:space="0" w:color="000000"/>
            </w:tcBorders>
          </w:tcPr>
          <w:p>
            <w:pPr/>
          </w:p>
        </w:tc>
      </w:tr>
      <w:tr>
        <w:trPr>
          <w:trHeight w:val="714" w:hRule="exact"/>
        </w:trPr>
        <w:tc>
          <w:tcPr>
            <w:tcW w:w="14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22" w:firstLine="360"/>
              <w:jc w:val="left"/>
              <w:rPr>
                <w:rFonts w:ascii="宋体" w:hAnsi="宋体" w:cs="宋体" w:eastAsia="宋体" w:hint="default"/>
                <w:sz w:val="18"/>
                <w:szCs w:val="18"/>
              </w:rPr>
            </w:pPr>
            <w:r>
              <w:rPr>
                <w:rFonts w:ascii="宋体" w:hAnsi="宋体" w:cs="宋体" w:eastAsia="宋体" w:hint="default"/>
                <w:spacing w:val="-10"/>
                <w:sz w:val="18"/>
                <w:szCs w:val="18"/>
              </w:rPr>
              <w:t>加：会计政策</w:t>
            </w:r>
            <w:r>
              <w:rPr>
                <w:rFonts w:ascii="宋体" w:hAnsi="宋体" w:cs="宋体" w:eastAsia="宋体" w:hint="default"/>
                <w:sz w:val="18"/>
                <w:szCs w:val="18"/>
              </w:rPr>
              <w:t> 变更</w:t>
            </w:r>
          </w:p>
        </w:tc>
        <w:tc>
          <w:tcPr>
            <w:tcW w:w="691" w:type="dxa"/>
            <w:tcBorders>
              <w:top w:val="single" w:sz="4" w:space="0" w:color="000000"/>
              <w:left w:val="single" w:sz="13" w:space="0" w:color="D2D2D2"/>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31" w:right="0"/>
              <w:jc w:val="left"/>
              <w:rPr>
                <w:rFonts w:ascii="宋体" w:hAnsi="宋体" w:cs="宋体" w:eastAsia="宋体" w:hint="default"/>
                <w:sz w:val="18"/>
                <w:szCs w:val="18"/>
              </w:rPr>
            </w:pPr>
            <w:r>
              <w:rPr>
                <w:rFonts w:ascii="宋体" w:hAnsi="宋体" w:cs="宋体" w:eastAsia="宋体" w:hint="default"/>
                <w:sz w:val="18"/>
                <w:szCs w:val="18"/>
              </w:rPr>
              <w:t>前期差</w:t>
            </w:r>
          </w:p>
          <w:p>
            <w:pPr>
              <w:pStyle w:val="TableParagraph"/>
              <w:spacing w:line="240" w:lineRule="auto" w:before="77"/>
              <w:ind w:left="11" w:right="0"/>
              <w:jc w:val="left"/>
              <w:rPr>
                <w:rFonts w:ascii="宋体" w:hAnsi="宋体" w:cs="宋体" w:eastAsia="宋体" w:hint="default"/>
                <w:sz w:val="18"/>
                <w:szCs w:val="18"/>
              </w:rPr>
            </w:pPr>
            <w:r>
              <w:rPr>
                <w:rFonts w:ascii="宋体" w:hAnsi="宋体" w:cs="宋体" w:eastAsia="宋体" w:hint="default"/>
                <w:sz w:val="18"/>
                <w:szCs w:val="18"/>
              </w:rPr>
              <w:t>错更正</w:t>
            </w:r>
          </w:p>
        </w:tc>
        <w:tc>
          <w:tcPr>
            <w:tcW w:w="691" w:type="dxa"/>
            <w:tcBorders>
              <w:top w:val="single" w:sz="4" w:space="0" w:color="000000"/>
              <w:left w:val="single" w:sz="13" w:space="0" w:color="D2D2D2"/>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3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691" w:type="dxa"/>
            <w:tcBorders>
              <w:top w:val="single" w:sz="4" w:space="0" w:color="000000"/>
              <w:left w:val="single" w:sz="13" w:space="0" w:color="D2D2D2"/>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161" w:hRule="exact"/>
        </w:trPr>
        <w:tc>
          <w:tcPr>
            <w:tcW w:w="1430" w:type="dxa"/>
            <w:tcBorders>
              <w:top w:val="single" w:sz="4" w:space="0" w:color="000000"/>
              <w:left w:val="single" w:sz="4" w:space="0" w:color="000000"/>
              <w:bottom w:val="nil" w:sz="6" w:space="0" w:color="auto"/>
              <w:right w:val="single" w:sz="4" w:space="0" w:color="000000"/>
            </w:tcBorders>
            <w:shd w:val="clear" w:color="auto" w:fill="D2D2D2"/>
          </w:tcPr>
          <w:p>
            <w:pPr/>
          </w:p>
        </w:tc>
        <w:tc>
          <w:tcPr>
            <w:tcW w:w="691" w:type="dxa"/>
            <w:vMerge w:val="restart"/>
            <w:tcBorders>
              <w:top w:val="single" w:sz="4" w:space="0" w:color="000000"/>
              <w:left w:val="single" w:sz="10" w:space="0" w:color="D2D2D2"/>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324,475,</w:t>
            </w:r>
          </w:p>
          <w:p>
            <w:pPr>
              <w:pStyle w:val="TableParagraph"/>
              <w:spacing w:line="240" w:lineRule="auto" w:before="106"/>
              <w:ind w:left="132" w:right="0"/>
              <w:jc w:val="center"/>
              <w:rPr>
                <w:rFonts w:ascii="Times New Roman" w:hAnsi="Times New Roman" w:cs="Times New Roman" w:eastAsia="Times New Roman" w:hint="default"/>
                <w:sz w:val="18"/>
                <w:szCs w:val="18"/>
              </w:rPr>
            </w:pPr>
            <w:r>
              <w:rPr>
                <w:rFonts w:ascii="Times New Roman"/>
                <w:sz w:val="18"/>
              </w:rPr>
              <w:t>501.00</w:t>
            </w: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702,083,0</w:t>
            </w:r>
          </w:p>
          <w:p>
            <w:pPr>
              <w:pStyle w:val="TableParagraph"/>
              <w:spacing w:line="240" w:lineRule="auto" w:before="106"/>
              <w:ind w:left="359" w:right="0"/>
              <w:jc w:val="left"/>
              <w:rPr>
                <w:rFonts w:ascii="Times New Roman" w:hAnsi="Times New Roman" w:cs="Times New Roman" w:eastAsia="Times New Roman" w:hint="default"/>
                <w:sz w:val="18"/>
                <w:szCs w:val="18"/>
              </w:rPr>
            </w:pPr>
            <w:r>
              <w:rPr>
                <w:rFonts w:ascii="Times New Roman"/>
                <w:sz w:val="18"/>
              </w:rPr>
              <w:t>69.98</w:t>
            </w:r>
          </w:p>
        </w:tc>
        <w:tc>
          <w:tcPr>
            <w:tcW w:w="798" w:type="dxa"/>
            <w:vMerge w:val="restart"/>
            <w:tcBorders>
              <w:top w:val="single" w:sz="4" w:space="0" w:color="000000"/>
              <w:left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69,528,55</w:t>
            </w:r>
          </w:p>
          <w:p>
            <w:pPr>
              <w:pStyle w:val="TableParagraph"/>
              <w:spacing w:line="240" w:lineRule="auto" w:before="106"/>
              <w:ind w:left="451" w:right="0"/>
              <w:jc w:val="left"/>
              <w:rPr>
                <w:rFonts w:ascii="Times New Roman" w:hAnsi="Times New Roman" w:cs="Times New Roman" w:eastAsia="Times New Roman" w:hint="default"/>
                <w:sz w:val="18"/>
                <w:szCs w:val="18"/>
              </w:rPr>
            </w:pPr>
            <w:r>
              <w:rPr>
                <w:rFonts w:ascii="Times New Roman"/>
                <w:sz w:val="18"/>
              </w:rPr>
              <w:t>3.80</w:t>
            </w: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39,527,56</w:t>
            </w:r>
          </w:p>
          <w:p>
            <w:pPr>
              <w:pStyle w:val="TableParagraph"/>
              <w:spacing w:line="240" w:lineRule="auto" w:before="106"/>
              <w:ind w:left="449" w:right="0"/>
              <w:jc w:val="left"/>
              <w:rPr>
                <w:rFonts w:ascii="Times New Roman" w:hAnsi="Times New Roman" w:cs="Times New Roman" w:eastAsia="Times New Roman" w:hint="default"/>
                <w:sz w:val="18"/>
                <w:szCs w:val="18"/>
              </w:rPr>
            </w:pPr>
            <w:r>
              <w:rPr>
                <w:rFonts w:ascii="Times New Roman"/>
                <w:sz w:val="18"/>
              </w:rPr>
              <w:t>7.18</w:t>
            </w:r>
          </w:p>
        </w:tc>
        <w:tc>
          <w:tcPr>
            <w:tcW w:w="676" w:type="dxa"/>
            <w:vMerge w:val="restart"/>
            <w:tcBorders>
              <w:top w:val="single" w:sz="4" w:space="0" w:color="000000"/>
              <w:left w:val="single" w:sz="4" w:space="0" w:color="000000"/>
              <w:right w:val="single" w:sz="4" w:space="0" w:color="000000"/>
            </w:tcBorders>
          </w:tcPr>
          <w:p>
            <w:pPr>
              <w:pStyle w:val="TableParagraph"/>
              <w:spacing w:line="240" w:lineRule="auto" w:before="91"/>
              <w:ind w:left="58" w:right="0"/>
              <w:jc w:val="left"/>
              <w:rPr>
                <w:rFonts w:ascii="Times New Roman" w:hAnsi="Times New Roman" w:cs="Times New Roman" w:eastAsia="Times New Roman" w:hint="default"/>
                <w:sz w:val="18"/>
                <w:szCs w:val="18"/>
              </w:rPr>
            </w:pPr>
            <w:r>
              <w:rPr>
                <w:rFonts w:ascii="Times New Roman"/>
                <w:sz w:val="18"/>
              </w:rPr>
              <w:t>281,757</w:t>
            </w:r>
          </w:p>
          <w:p>
            <w:pPr>
              <w:pStyle w:val="TableParagraph"/>
              <w:spacing w:line="240" w:lineRule="auto" w:before="106"/>
              <w:ind w:left="103" w:right="0"/>
              <w:jc w:val="left"/>
              <w:rPr>
                <w:rFonts w:ascii="Times New Roman" w:hAnsi="Times New Roman" w:cs="Times New Roman" w:eastAsia="Times New Roman" w:hint="default"/>
                <w:sz w:val="18"/>
                <w:szCs w:val="18"/>
              </w:rPr>
            </w:pPr>
            <w:r>
              <w:rPr>
                <w:rFonts w:ascii="Times New Roman"/>
                <w:sz w:val="18"/>
              </w:rPr>
              <w:t>,022.93</w:t>
            </w:r>
          </w:p>
        </w:tc>
        <w:tc>
          <w:tcPr>
            <w:tcW w:w="781" w:type="dxa"/>
            <w:vMerge w:val="restart"/>
            <w:tcBorders>
              <w:top w:val="single" w:sz="4" w:space="0" w:color="000000"/>
              <w:left w:val="single" w:sz="4" w:space="0" w:color="000000"/>
              <w:right w:val="single" w:sz="4" w:space="0" w:color="000000"/>
            </w:tcBorders>
          </w:tcPr>
          <w:p>
            <w:pPr>
              <w:pStyle w:val="TableParagraph"/>
              <w:spacing w:line="240" w:lineRule="auto" w:before="91"/>
              <w:ind w:left="4" w:right="0"/>
              <w:jc w:val="center"/>
              <w:rPr>
                <w:rFonts w:ascii="Times New Roman" w:hAnsi="Times New Roman" w:cs="Times New Roman" w:eastAsia="Times New Roman" w:hint="default"/>
                <w:sz w:val="18"/>
                <w:szCs w:val="18"/>
              </w:rPr>
            </w:pPr>
            <w:r>
              <w:rPr>
                <w:rFonts w:ascii="Times New Roman"/>
                <w:sz w:val="18"/>
              </w:rPr>
              <w:t>1,278,314</w:t>
            </w:r>
          </w:p>
          <w:p>
            <w:pPr>
              <w:pStyle w:val="TableParagraph"/>
              <w:spacing w:line="240" w:lineRule="auto" w:before="106"/>
              <w:ind w:left="184" w:right="0"/>
              <w:jc w:val="center"/>
              <w:rPr>
                <w:rFonts w:ascii="Times New Roman" w:hAnsi="Times New Roman" w:cs="Times New Roman" w:eastAsia="Times New Roman" w:hint="default"/>
                <w:sz w:val="18"/>
                <w:szCs w:val="18"/>
              </w:rPr>
            </w:pPr>
            <w:r>
              <w:rPr>
                <w:rFonts w:ascii="Times New Roman"/>
                <w:sz w:val="18"/>
              </w:rPr>
              <w:t>,607.29</w:t>
            </w:r>
          </w:p>
        </w:tc>
      </w:tr>
      <w:tr>
        <w:trPr>
          <w:trHeight w:val="392" w:hRule="exact"/>
        </w:trPr>
        <w:tc>
          <w:tcPr>
            <w:tcW w:w="143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pacing w:val="-7"/>
                <w:sz w:val="18"/>
                <w:szCs w:val="18"/>
              </w:rPr>
              <w:t>二、本年期初余额</w:t>
            </w:r>
          </w:p>
        </w:tc>
        <w:tc>
          <w:tcPr>
            <w:tcW w:w="691" w:type="dxa"/>
            <w:vMerge/>
            <w:tcBorders>
              <w:left w:val="single" w:sz="10" w:space="0" w:color="D2D2D2"/>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676" w:type="dxa"/>
            <w:vMerge/>
            <w:tcBorders>
              <w:left w:val="single" w:sz="4" w:space="0" w:color="000000"/>
              <w:right w:val="single" w:sz="4" w:space="0" w:color="000000"/>
            </w:tcBorders>
          </w:tcPr>
          <w:p>
            <w:pPr/>
          </w:p>
        </w:tc>
        <w:tc>
          <w:tcPr>
            <w:tcW w:w="781" w:type="dxa"/>
            <w:vMerge/>
            <w:tcBorders>
              <w:left w:val="single" w:sz="4" w:space="0" w:color="000000"/>
              <w:right w:val="single" w:sz="4" w:space="0" w:color="000000"/>
            </w:tcBorders>
          </w:tcPr>
          <w:p>
            <w:pPr/>
          </w:p>
        </w:tc>
      </w:tr>
      <w:tr>
        <w:trPr>
          <w:trHeight w:val="161" w:hRule="exact"/>
        </w:trPr>
        <w:tc>
          <w:tcPr>
            <w:tcW w:w="1430" w:type="dxa"/>
            <w:tcBorders>
              <w:top w:val="nil" w:sz="6" w:space="0" w:color="auto"/>
              <w:left w:val="single" w:sz="4" w:space="0" w:color="000000"/>
              <w:bottom w:val="single" w:sz="4" w:space="0" w:color="000000"/>
              <w:right w:val="single" w:sz="4" w:space="0" w:color="000000"/>
            </w:tcBorders>
            <w:shd w:val="clear" w:color="auto" w:fill="D2D2D2"/>
          </w:tcPr>
          <w:p>
            <w:pPr/>
          </w:p>
        </w:tc>
        <w:tc>
          <w:tcPr>
            <w:tcW w:w="691" w:type="dxa"/>
            <w:vMerge/>
            <w:tcBorders>
              <w:left w:val="single" w:sz="10" w:space="0" w:color="D2D2D2"/>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676" w:type="dxa"/>
            <w:vMerge/>
            <w:tcBorders>
              <w:left w:val="single" w:sz="4" w:space="0" w:color="000000"/>
              <w:bottom w:val="single" w:sz="4" w:space="0" w:color="000000"/>
              <w:right w:val="single" w:sz="4" w:space="0" w:color="000000"/>
            </w:tcBorders>
          </w:tcPr>
          <w:p>
            <w:pPr/>
          </w:p>
        </w:tc>
        <w:tc>
          <w:tcPr>
            <w:tcW w:w="781" w:type="dxa"/>
            <w:vMerge/>
            <w:tcBorders>
              <w:left w:val="single" w:sz="4" w:space="0" w:color="000000"/>
              <w:bottom w:val="single" w:sz="4" w:space="0" w:color="000000"/>
              <w:right w:val="single" w:sz="4" w:space="0" w:color="000000"/>
            </w:tcBorders>
          </w:tcPr>
          <w:p>
            <w:pPr/>
          </w:p>
        </w:tc>
      </w:tr>
      <w:tr>
        <w:trPr>
          <w:trHeight w:val="1026" w:hRule="exact"/>
        </w:trPr>
        <w:tc>
          <w:tcPr>
            <w:tcW w:w="14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11" w:right="21"/>
              <w:jc w:val="both"/>
              <w:rPr>
                <w:rFonts w:ascii="宋体" w:hAnsi="宋体" w:cs="宋体" w:eastAsia="宋体" w:hint="default"/>
                <w:sz w:val="18"/>
                <w:szCs w:val="18"/>
              </w:rPr>
            </w:pPr>
            <w:r>
              <w:rPr>
                <w:rFonts w:ascii="宋体" w:hAnsi="宋体" w:cs="宋体" w:eastAsia="宋体" w:hint="default"/>
                <w:spacing w:val="-7"/>
                <w:sz w:val="18"/>
                <w:szCs w:val="18"/>
              </w:rPr>
              <w:t>三、本期增减变动</w:t>
            </w:r>
            <w:r>
              <w:rPr>
                <w:rFonts w:ascii="宋体" w:hAnsi="宋体" w:cs="宋体" w:eastAsia="宋体" w:hint="default"/>
                <w:sz w:val="18"/>
                <w:szCs w:val="18"/>
              </w:rPr>
              <w:t> </w:t>
            </w:r>
            <w:r>
              <w:rPr>
                <w:rFonts w:ascii="宋体" w:hAnsi="宋体" w:cs="宋体" w:eastAsia="宋体" w:hint="default"/>
                <w:spacing w:val="-4"/>
                <w:sz w:val="18"/>
                <w:szCs w:val="18"/>
              </w:rPr>
              <w:t>金额（减少以</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w:t>
            </w:r>
            <w:r>
              <w:rPr>
                <w:rFonts w:ascii="Times New Roman" w:hAnsi="Times New Roman" w:cs="Times New Roman" w:eastAsia="Times New Roman" w:hint="default"/>
                <w:w w:val="100"/>
                <w:sz w:val="18"/>
                <w:szCs w:val="18"/>
              </w:rPr>
              <w:t> </w:t>
            </w:r>
            <w:r>
              <w:rPr>
                <w:rFonts w:ascii="宋体" w:hAnsi="宋体" w:cs="宋体" w:eastAsia="宋体" w:hint="default"/>
                <w:sz w:val="18"/>
                <w:szCs w:val="18"/>
              </w:rPr>
              <w:t>号填列）</w:t>
            </w:r>
          </w:p>
        </w:tc>
        <w:tc>
          <w:tcPr>
            <w:tcW w:w="69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6"/>
              <w:jc w:val="center"/>
              <w:rPr>
                <w:rFonts w:ascii="Times New Roman" w:hAnsi="Times New Roman" w:cs="Times New Roman" w:eastAsia="Times New Roman" w:hint="default"/>
                <w:sz w:val="18"/>
                <w:szCs w:val="18"/>
              </w:rPr>
            </w:pPr>
            <w:r>
              <w:rPr>
                <w:rFonts w:ascii="Times New Roman"/>
                <w:sz w:val="18"/>
              </w:rPr>
              <w:t>156,616,</w:t>
            </w:r>
          </w:p>
          <w:p>
            <w:pPr>
              <w:pStyle w:val="TableParagraph"/>
              <w:spacing w:line="240" w:lineRule="auto" w:before="106"/>
              <w:ind w:left="128" w:right="0"/>
              <w:jc w:val="center"/>
              <w:rPr>
                <w:rFonts w:ascii="Times New Roman" w:hAnsi="Times New Roman" w:cs="Times New Roman" w:eastAsia="Times New Roman" w:hint="default"/>
                <w:sz w:val="18"/>
                <w:szCs w:val="18"/>
              </w:rPr>
            </w:pPr>
            <w:r>
              <w:rPr>
                <w:rFonts w:ascii="Times New Roman"/>
                <w:sz w:val="18"/>
              </w:rPr>
              <w:t>994.00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1" w:right="0"/>
              <w:jc w:val="center"/>
              <w:rPr>
                <w:rFonts w:ascii="Times New Roman" w:hAnsi="Times New Roman" w:cs="Times New Roman" w:eastAsia="Times New Roman" w:hint="default"/>
                <w:sz w:val="18"/>
                <w:szCs w:val="18"/>
              </w:rPr>
            </w:pPr>
            <w:r>
              <w:rPr>
                <w:rFonts w:ascii="Times New Roman"/>
                <w:sz w:val="18"/>
              </w:rPr>
              <w:t>-222,132,</w:t>
            </w:r>
          </w:p>
          <w:p>
            <w:pPr>
              <w:pStyle w:val="TableParagraph"/>
              <w:spacing w:line="240" w:lineRule="auto" w:before="106"/>
              <w:ind w:left="248" w:right="0"/>
              <w:jc w:val="center"/>
              <w:rPr>
                <w:rFonts w:ascii="Times New Roman" w:hAnsi="Times New Roman" w:cs="Times New Roman" w:eastAsia="Times New Roman" w:hint="default"/>
                <w:sz w:val="18"/>
                <w:szCs w:val="18"/>
              </w:rPr>
            </w:pPr>
            <w:r>
              <w:rPr>
                <w:rFonts w:ascii="Times New Roman"/>
                <w:sz w:val="18"/>
              </w:rPr>
              <w:t>091.00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5" w:right="0"/>
              <w:jc w:val="left"/>
              <w:rPr>
                <w:rFonts w:ascii="Times New Roman" w:hAnsi="Times New Roman" w:cs="Times New Roman" w:eastAsia="Times New Roman" w:hint="default"/>
                <w:sz w:val="18"/>
                <w:szCs w:val="18"/>
              </w:rPr>
            </w:pPr>
            <w:r>
              <w:rPr>
                <w:rFonts w:ascii="Times New Roman"/>
                <w:sz w:val="18"/>
              </w:rPr>
              <w:t>-69,528,5</w:t>
            </w:r>
          </w:p>
          <w:p>
            <w:pPr>
              <w:pStyle w:val="TableParagraph"/>
              <w:spacing w:line="240" w:lineRule="auto" w:before="106"/>
              <w:ind w:left="361" w:right="0"/>
              <w:jc w:val="left"/>
              <w:rPr>
                <w:rFonts w:ascii="Times New Roman" w:hAnsi="Times New Roman" w:cs="Times New Roman" w:eastAsia="Times New Roman" w:hint="default"/>
                <w:sz w:val="18"/>
                <w:szCs w:val="18"/>
              </w:rPr>
            </w:pPr>
            <w:r>
              <w:rPr>
                <w:rFonts w:ascii="Times New Roman"/>
                <w:sz w:val="18"/>
              </w:rPr>
              <w:t>53.80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5,576,381</w:t>
            </w:r>
          </w:p>
          <w:p>
            <w:pPr>
              <w:pStyle w:val="TableParagraph"/>
              <w:spacing w:line="240" w:lineRule="auto" w:before="106"/>
              <w:ind w:right="19"/>
              <w:jc w:val="right"/>
              <w:rPr>
                <w:rFonts w:ascii="Times New Roman" w:hAnsi="Times New Roman" w:cs="Times New Roman" w:eastAsia="Times New Roman" w:hint="default"/>
                <w:sz w:val="18"/>
                <w:szCs w:val="18"/>
              </w:rPr>
            </w:pPr>
            <w:r>
              <w:rPr>
                <w:rFonts w:ascii="Times New Roman"/>
                <w:sz w:val="18"/>
              </w:rPr>
              <w:t>.38</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31,036,</w:t>
            </w:r>
          </w:p>
          <w:p>
            <w:pPr>
              <w:pStyle w:val="TableParagraph"/>
              <w:spacing w:line="240" w:lineRule="auto" w:before="106"/>
              <w:ind w:left="148" w:right="0"/>
              <w:jc w:val="left"/>
              <w:rPr>
                <w:rFonts w:ascii="Times New Roman" w:hAnsi="Times New Roman" w:cs="Times New Roman" w:eastAsia="Times New Roman" w:hint="default"/>
                <w:sz w:val="18"/>
                <w:szCs w:val="18"/>
              </w:rPr>
            </w:pPr>
            <w:r>
              <w:rPr>
                <w:rFonts w:ascii="Times New Roman"/>
                <w:sz w:val="18"/>
              </w:rPr>
              <w:t>392.22</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7" w:right="0"/>
              <w:jc w:val="left"/>
              <w:rPr>
                <w:rFonts w:ascii="Times New Roman" w:hAnsi="Times New Roman" w:cs="Times New Roman" w:eastAsia="Times New Roman" w:hint="default"/>
                <w:sz w:val="18"/>
                <w:szCs w:val="18"/>
              </w:rPr>
            </w:pPr>
            <w:r>
              <w:rPr>
                <w:rFonts w:ascii="Times New Roman"/>
                <w:sz w:val="18"/>
              </w:rPr>
              <w:t>40,626,23</w:t>
            </w:r>
          </w:p>
          <w:p>
            <w:pPr>
              <w:pStyle w:val="TableParagraph"/>
              <w:spacing w:line="240" w:lineRule="auto" w:before="106"/>
              <w:ind w:left="433" w:right="0"/>
              <w:jc w:val="left"/>
              <w:rPr>
                <w:rFonts w:ascii="Times New Roman" w:hAnsi="Times New Roman" w:cs="Times New Roman" w:eastAsia="Times New Roman" w:hint="default"/>
                <w:sz w:val="18"/>
                <w:szCs w:val="18"/>
              </w:rPr>
            </w:pPr>
            <w:r>
              <w:rPr>
                <w:rFonts w:ascii="Times New Roman"/>
                <w:sz w:val="18"/>
              </w:rPr>
              <w:t>0.40</w:t>
            </w:r>
          </w:p>
        </w:tc>
      </w:tr>
      <w:tr>
        <w:trPr>
          <w:trHeight w:val="714" w:hRule="exact"/>
        </w:trPr>
        <w:tc>
          <w:tcPr>
            <w:tcW w:w="14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22"/>
              <w:jc w:val="left"/>
              <w:rPr>
                <w:rFonts w:ascii="宋体" w:hAnsi="宋体" w:cs="宋体" w:eastAsia="宋体" w:hint="default"/>
                <w:sz w:val="18"/>
                <w:szCs w:val="18"/>
              </w:rPr>
            </w:pPr>
            <w:r>
              <w:rPr>
                <w:rFonts w:ascii="宋体" w:hAnsi="宋体" w:cs="宋体" w:eastAsia="宋体" w:hint="default"/>
                <w:spacing w:val="-7"/>
                <w:sz w:val="18"/>
                <w:szCs w:val="18"/>
              </w:rPr>
              <w:t>（一）综合收益总</w:t>
            </w:r>
            <w:r>
              <w:rPr>
                <w:rFonts w:ascii="宋体" w:hAnsi="宋体" w:cs="宋体" w:eastAsia="宋体" w:hint="default"/>
                <w:sz w:val="18"/>
                <w:szCs w:val="18"/>
              </w:rPr>
              <w:t> 额</w:t>
            </w:r>
          </w:p>
        </w:tc>
        <w:tc>
          <w:tcPr>
            <w:tcW w:w="691" w:type="dxa"/>
            <w:tcBorders>
              <w:top w:val="single" w:sz="4" w:space="0" w:color="000000"/>
              <w:left w:val="single" w:sz="13" w:space="0" w:color="D2D2D2"/>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55,763,</w:t>
            </w:r>
          </w:p>
          <w:p>
            <w:pPr>
              <w:pStyle w:val="TableParagraph"/>
              <w:spacing w:line="240" w:lineRule="auto" w:before="106"/>
              <w:ind w:left="148" w:right="0"/>
              <w:jc w:val="left"/>
              <w:rPr>
                <w:rFonts w:ascii="Times New Roman" w:hAnsi="Times New Roman" w:cs="Times New Roman" w:eastAsia="Times New Roman" w:hint="default"/>
                <w:sz w:val="18"/>
                <w:szCs w:val="18"/>
              </w:rPr>
            </w:pPr>
            <w:r>
              <w:rPr>
                <w:rFonts w:ascii="Times New Roman"/>
                <w:sz w:val="18"/>
              </w:rPr>
              <w:t>813.81</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7" w:right="0"/>
              <w:jc w:val="left"/>
              <w:rPr>
                <w:rFonts w:ascii="Times New Roman" w:hAnsi="Times New Roman" w:cs="Times New Roman" w:eastAsia="Times New Roman" w:hint="default"/>
                <w:sz w:val="18"/>
                <w:szCs w:val="18"/>
              </w:rPr>
            </w:pPr>
            <w:r>
              <w:rPr>
                <w:rFonts w:ascii="Times New Roman"/>
                <w:sz w:val="18"/>
              </w:rPr>
              <w:t>55,763,81</w:t>
            </w:r>
          </w:p>
          <w:p>
            <w:pPr>
              <w:pStyle w:val="TableParagraph"/>
              <w:spacing w:line="240" w:lineRule="auto" w:before="106"/>
              <w:ind w:left="433" w:right="0"/>
              <w:jc w:val="left"/>
              <w:rPr>
                <w:rFonts w:ascii="Times New Roman" w:hAnsi="Times New Roman" w:cs="Times New Roman" w:eastAsia="Times New Roman" w:hint="default"/>
                <w:sz w:val="18"/>
                <w:szCs w:val="18"/>
              </w:rPr>
            </w:pPr>
            <w:r>
              <w:rPr>
                <w:rFonts w:ascii="Times New Roman"/>
                <w:sz w:val="18"/>
              </w:rPr>
              <w:t>3.81</w:t>
            </w:r>
          </w:p>
        </w:tc>
      </w:tr>
      <w:tr>
        <w:trPr>
          <w:trHeight w:val="714" w:hRule="exact"/>
        </w:trPr>
        <w:tc>
          <w:tcPr>
            <w:tcW w:w="14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22"/>
              <w:jc w:val="left"/>
              <w:rPr>
                <w:rFonts w:ascii="宋体" w:hAnsi="宋体" w:cs="宋体" w:eastAsia="宋体" w:hint="default"/>
                <w:sz w:val="18"/>
                <w:szCs w:val="18"/>
              </w:rPr>
            </w:pPr>
            <w:r>
              <w:rPr>
                <w:rFonts w:ascii="宋体" w:hAnsi="宋体" w:cs="宋体" w:eastAsia="宋体" w:hint="default"/>
                <w:spacing w:val="-7"/>
                <w:sz w:val="18"/>
                <w:szCs w:val="18"/>
              </w:rPr>
              <w:t>（二）所有者投入</w:t>
            </w:r>
            <w:r>
              <w:rPr>
                <w:rFonts w:ascii="宋体" w:hAnsi="宋体" w:cs="宋体" w:eastAsia="宋体" w:hint="default"/>
                <w:sz w:val="18"/>
                <w:szCs w:val="18"/>
              </w:rPr>
              <w:t> 和减少资本</w:t>
            </w:r>
          </w:p>
        </w:tc>
        <w:tc>
          <w:tcPr>
            <w:tcW w:w="69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left="22" w:right="0"/>
              <w:jc w:val="center"/>
              <w:rPr>
                <w:rFonts w:ascii="Times New Roman" w:hAnsi="Times New Roman" w:cs="Times New Roman" w:eastAsia="Times New Roman" w:hint="default"/>
                <w:sz w:val="18"/>
                <w:szCs w:val="18"/>
              </w:rPr>
            </w:pPr>
            <w:r>
              <w:rPr>
                <w:rFonts w:ascii="Times New Roman"/>
                <w:sz w:val="18"/>
              </w:rPr>
              <w:t>-5,620,7</w:t>
            </w:r>
          </w:p>
          <w:p>
            <w:pPr>
              <w:pStyle w:val="TableParagraph"/>
              <w:spacing w:line="240" w:lineRule="auto" w:before="106"/>
              <w:ind w:left="218" w:right="0"/>
              <w:jc w:val="center"/>
              <w:rPr>
                <w:rFonts w:ascii="Times New Roman" w:hAnsi="Times New Roman" w:cs="Times New Roman" w:eastAsia="Times New Roman" w:hint="default"/>
                <w:sz w:val="18"/>
                <w:szCs w:val="18"/>
              </w:rPr>
            </w:pPr>
            <w:r>
              <w:rPr>
                <w:rFonts w:ascii="Times New Roman"/>
                <w:sz w:val="18"/>
              </w:rPr>
              <w:t>40.00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4" w:right="0"/>
              <w:jc w:val="left"/>
              <w:rPr>
                <w:rFonts w:ascii="Times New Roman" w:hAnsi="Times New Roman" w:cs="Times New Roman" w:eastAsia="Times New Roman" w:hint="default"/>
                <w:sz w:val="18"/>
                <w:szCs w:val="18"/>
              </w:rPr>
            </w:pPr>
            <w:r>
              <w:rPr>
                <w:rFonts w:ascii="Times New Roman"/>
                <w:sz w:val="18"/>
              </w:rPr>
              <w:t>-59,894,3</w:t>
            </w:r>
          </w:p>
          <w:p>
            <w:pPr>
              <w:pStyle w:val="TableParagraph"/>
              <w:spacing w:line="240" w:lineRule="auto" w:before="106"/>
              <w:ind w:left="359" w:right="0"/>
              <w:jc w:val="left"/>
              <w:rPr>
                <w:rFonts w:ascii="Times New Roman" w:hAnsi="Times New Roman" w:cs="Times New Roman" w:eastAsia="Times New Roman" w:hint="default"/>
                <w:sz w:val="18"/>
                <w:szCs w:val="18"/>
              </w:rPr>
            </w:pPr>
            <w:r>
              <w:rPr>
                <w:rFonts w:ascii="Times New Roman"/>
                <w:sz w:val="18"/>
              </w:rPr>
              <w:t>57.00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5" w:right="0"/>
              <w:jc w:val="left"/>
              <w:rPr>
                <w:rFonts w:ascii="Times New Roman" w:hAnsi="Times New Roman" w:cs="Times New Roman" w:eastAsia="Times New Roman" w:hint="default"/>
                <w:sz w:val="18"/>
                <w:szCs w:val="18"/>
              </w:rPr>
            </w:pPr>
            <w:r>
              <w:rPr>
                <w:rFonts w:ascii="Times New Roman"/>
                <w:sz w:val="18"/>
              </w:rPr>
              <w:t>-69,528,5</w:t>
            </w:r>
          </w:p>
          <w:p>
            <w:pPr>
              <w:pStyle w:val="TableParagraph"/>
              <w:spacing w:line="240" w:lineRule="auto" w:before="106"/>
              <w:ind w:left="361" w:right="0"/>
              <w:jc w:val="left"/>
              <w:rPr>
                <w:rFonts w:ascii="Times New Roman" w:hAnsi="Times New Roman" w:cs="Times New Roman" w:eastAsia="Times New Roman" w:hint="default"/>
                <w:sz w:val="18"/>
                <w:szCs w:val="18"/>
              </w:rPr>
            </w:pPr>
            <w:r>
              <w:rPr>
                <w:rFonts w:ascii="Times New Roman"/>
                <w:sz w:val="18"/>
              </w:rPr>
              <w:t>53.80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4,013,456</w:t>
            </w:r>
          </w:p>
          <w:p>
            <w:pPr>
              <w:pStyle w:val="TableParagraph"/>
              <w:spacing w:line="240" w:lineRule="auto" w:before="106"/>
              <w:ind w:right="21"/>
              <w:jc w:val="right"/>
              <w:rPr>
                <w:rFonts w:ascii="Times New Roman" w:hAnsi="Times New Roman" w:cs="Times New Roman" w:eastAsia="Times New Roman" w:hint="default"/>
                <w:sz w:val="18"/>
                <w:szCs w:val="18"/>
              </w:rPr>
            </w:pPr>
            <w:r>
              <w:rPr>
                <w:rFonts w:ascii="Times New Roman"/>
                <w:sz w:val="18"/>
              </w:rPr>
              <w:t>.80</w:t>
            </w:r>
          </w:p>
        </w:tc>
      </w:tr>
      <w:tr>
        <w:trPr>
          <w:trHeight w:val="714" w:hRule="exact"/>
        </w:trPr>
        <w:tc>
          <w:tcPr>
            <w:tcW w:w="14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11"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．所有者投入的 普通股</w:t>
            </w:r>
          </w:p>
        </w:tc>
        <w:tc>
          <w:tcPr>
            <w:tcW w:w="69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left="22" w:right="0"/>
              <w:jc w:val="center"/>
              <w:rPr>
                <w:rFonts w:ascii="Times New Roman" w:hAnsi="Times New Roman" w:cs="Times New Roman" w:eastAsia="Times New Roman" w:hint="default"/>
                <w:sz w:val="18"/>
                <w:szCs w:val="18"/>
              </w:rPr>
            </w:pPr>
            <w:r>
              <w:rPr>
                <w:rFonts w:ascii="Times New Roman"/>
                <w:sz w:val="18"/>
              </w:rPr>
              <w:t>-5,620,7</w:t>
            </w:r>
          </w:p>
          <w:p>
            <w:pPr>
              <w:pStyle w:val="TableParagraph"/>
              <w:spacing w:line="240" w:lineRule="auto" w:before="106"/>
              <w:ind w:left="218" w:right="0"/>
              <w:jc w:val="center"/>
              <w:rPr>
                <w:rFonts w:ascii="Times New Roman" w:hAnsi="Times New Roman" w:cs="Times New Roman" w:eastAsia="Times New Roman" w:hint="default"/>
                <w:sz w:val="18"/>
                <w:szCs w:val="18"/>
              </w:rPr>
            </w:pPr>
            <w:r>
              <w:rPr>
                <w:rFonts w:ascii="Times New Roman"/>
                <w:sz w:val="18"/>
              </w:rPr>
              <w:t>40.00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4" w:right="0"/>
              <w:jc w:val="left"/>
              <w:rPr>
                <w:rFonts w:ascii="Times New Roman" w:hAnsi="Times New Roman" w:cs="Times New Roman" w:eastAsia="Times New Roman" w:hint="default"/>
                <w:sz w:val="18"/>
                <w:szCs w:val="18"/>
              </w:rPr>
            </w:pPr>
            <w:r>
              <w:rPr>
                <w:rFonts w:ascii="Times New Roman"/>
                <w:sz w:val="18"/>
              </w:rPr>
              <w:t>-63,907,8</w:t>
            </w:r>
          </w:p>
          <w:p>
            <w:pPr>
              <w:pStyle w:val="TableParagraph"/>
              <w:spacing w:line="240" w:lineRule="auto" w:before="106"/>
              <w:ind w:left="359" w:right="0"/>
              <w:jc w:val="left"/>
              <w:rPr>
                <w:rFonts w:ascii="Times New Roman" w:hAnsi="Times New Roman" w:cs="Times New Roman" w:eastAsia="Times New Roman" w:hint="default"/>
                <w:sz w:val="18"/>
                <w:szCs w:val="18"/>
              </w:rPr>
            </w:pPr>
            <w:r>
              <w:rPr>
                <w:rFonts w:ascii="Times New Roman"/>
                <w:sz w:val="18"/>
              </w:rPr>
              <w:t>13.80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7" w:right="0"/>
              <w:jc w:val="left"/>
              <w:rPr>
                <w:rFonts w:ascii="Times New Roman" w:hAnsi="Times New Roman" w:cs="Times New Roman" w:eastAsia="Times New Roman" w:hint="default"/>
                <w:sz w:val="18"/>
                <w:szCs w:val="18"/>
              </w:rPr>
            </w:pPr>
            <w:r>
              <w:rPr>
                <w:rFonts w:ascii="Times New Roman"/>
                <w:sz w:val="18"/>
              </w:rPr>
              <w:t>-69,528,5</w:t>
            </w:r>
          </w:p>
          <w:p>
            <w:pPr>
              <w:pStyle w:val="TableParagraph"/>
              <w:spacing w:line="240" w:lineRule="auto" w:before="106"/>
              <w:ind w:left="343" w:right="0"/>
              <w:jc w:val="left"/>
              <w:rPr>
                <w:rFonts w:ascii="Times New Roman" w:hAnsi="Times New Roman" w:cs="Times New Roman" w:eastAsia="Times New Roman" w:hint="default"/>
                <w:sz w:val="18"/>
                <w:szCs w:val="18"/>
              </w:rPr>
            </w:pPr>
            <w:r>
              <w:rPr>
                <w:rFonts w:ascii="Times New Roman"/>
                <w:sz w:val="18"/>
              </w:rPr>
              <w:t>53.80</w:t>
            </w:r>
          </w:p>
        </w:tc>
      </w:tr>
      <w:tr>
        <w:trPr>
          <w:trHeight w:val="402" w:hRule="exact"/>
        </w:trPr>
        <w:tc>
          <w:tcPr>
            <w:tcW w:w="14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．其他权益工具</w:t>
            </w:r>
          </w:p>
        </w:tc>
        <w:tc>
          <w:tcPr>
            <w:tcW w:w="691" w:type="dxa"/>
            <w:tcBorders>
              <w:top w:val="single" w:sz="4" w:space="0" w:color="000000"/>
              <w:left w:val="single" w:sz="13" w:space="0" w:color="D2D2D2"/>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7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442"/>
        <w:gridCol w:w="691"/>
        <w:gridCol w:w="665"/>
        <w:gridCol w:w="665"/>
        <w:gridCol w:w="665"/>
        <w:gridCol w:w="797"/>
        <w:gridCol w:w="798"/>
        <w:gridCol w:w="798"/>
        <w:gridCol w:w="798"/>
        <w:gridCol w:w="797"/>
        <w:gridCol w:w="676"/>
        <w:gridCol w:w="781"/>
      </w:tblGrid>
      <w:tr>
        <w:trPr>
          <w:trHeight w:val="36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持有者投入资本</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．股份支付计入 所有者权益的金 额</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4,013,456</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.80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4,013,456</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.80</w:t>
            </w: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5" w:right="0"/>
              <w:jc w:val="left"/>
              <w:rPr>
                <w:rFonts w:ascii="Times New Roman" w:hAnsi="Times New Roman" w:cs="Times New Roman" w:eastAsia="Times New Roman" w:hint="default"/>
                <w:sz w:val="18"/>
                <w:szCs w:val="18"/>
              </w:rPr>
            </w:pPr>
            <w:r>
              <w:rPr>
                <w:rFonts w:ascii="Times New Roman"/>
                <w:sz w:val="18"/>
              </w:rPr>
              <w:t>-69,528,5</w:t>
            </w:r>
          </w:p>
          <w:p>
            <w:pPr>
              <w:pStyle w:val="TableParagraph"/>
              <w:spacing w:line="240" w:lineRule="auto" w:before="105"/>
              <w:ind w:left="361" w:right="0"/>
              <w:jc w:val="left"/>
              <w:rPr>
                <w:rFonts w:ascii="Times New Roman" w:hAnsi="Times New Roman" w:cs="Times New Roman" w:eastAsia="Times New Roman" w:hint="default"/>
                <w:sz w:val="18"/>
                <w:szCs w:val="18"/>
              </w:rPr>
            </w:pPr>
            <w:r>
              <w:rPr>
                <w:rFonts w:ascii="Times New Roman"/>
                <w:sz w:val="18"/>
              </w:rPr>
              <w:t>53.80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7" w:right="0"/>
              <w:jc w:val="left"/>
              <w:rPr>
                <w:rFonts w:ascii="Times New Roman" w:hAnsi="Times New Roman" w:cs="Times New Roman" w:eastAsia="Times New Roman" w:hint="default"/>
                <w:sz w:val="18"/>
                <w:szCs w:val="18"/>
              </w:rPr>
            </w:pPr>
            <w:r>
              <w:rPr>
                <w:rFonts w:ascii="Times New Roman"/>
                <w:sz w:val="18"/>
              </w:rPr>
              <w:t>69,528,55</w:t>
            </w:r>
          </w:p>
          <w:p>
            <w:pPr>
              <w:pStyle w:val="TableParagraph"/>
              <w:spacing w:line="240" w:lineRule="auto" w:before="105"/>
              <w:ind w:left="433" w:right="0"/>
              <w:jc w:val="left"/>
              <w:rPr>
                <w:rFonts w:ascii="Times New Roman" w:hAnsi="Times New Roman" w:cs="Times New Roman" w:eastAsia="Times New Roman" w:hint="default"/>
                <w:sz w:val="18"/>
                <w:szCs w:val="18"/>
              </w:rPr>
            </w:pPr>
            <w:r>
              <w:rPr>
                <w:rFonts w:ascii="Times New Roman"/>
                <w:sz w:val="18"/>
              </w:rPr>
              <w:t>3.80</w:t>
            </w: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（三）利润分配</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5,576,381</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.38</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 w:right="0"/>
              <w:jc w:val="center"/>
              <w:rPr>
                <w:rFonts w:ascii="Times New Roman" w:hAnsi="Times New Roman" w:cs="Times New Roman" w:eastAsia="Times New Roman" w:hint="default"/>
                <w:sz w:val="18"/>
                <w:szCs w:val="18"/>
              </w:rPr>
            </w:pPr>
            <w:r>
              <w:rPr>
                <w:rFonts w:ascii="Times New Roman"/>
                <w:sz w:val="18"/>
              </w:rPr>
              <w:t>-24,727,</w:t>
            </w:r>
          </w:p>
          <w:p>
            <w:pPr>
              <w:pStyle w:val="TableParagraph"/>
              <w:spacing w:line="240" w:lineRule="auto" w:before="105"/>
              <w:ind w:left="126" w:right="0"/>
              <w:jc w:val="center"/>
              <w:rPr>
                <w:rFonts w:ascii="Times New Roman" w:hAnsi="Times New Roman" w:cs="Times New Roman" w:eastAsia="Times New Roman" w:hint="default"/>
                <w:sz w:val="18"/>
                <w:szCs w:val="18"/>
              </w:rPr>
            </w:pPr>
            <w:r>
              <w:rPr>
                <w:rFonts w:ascii="Times New Roman"/>
                <w:sz w:val="18"/>
              </w:rPr>
              <w:t>421.59</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7" w:right="0"/>
              <w:jc w:val="left"/>
              <w:rPr>
                <w:rFonts w:ascii="Times New Roman" w:hAnsi="Times New Roman" w:cs="Times New Roman" w:eastAsia="Times New Roman" w:hint="default"/>
                <w:sz w:val="18"/>
                <w:szCs w:val="18"/>
              </w:rPr>
            </w:pPr>
            <w:r>
              <w:rPr>
                <w:rFonts w:ascii="Times New Roman"/>
                <w:sz w:val="18"/>
              </w:rPr>
              <w:t>-19,151,0</w:t>
            </w:r>
          </w:p>
          <w:p>
            <w:pPr>
              <w:pStyle w:val="TableParagraph"/>
              <w:spacing w:line="240" w:lineRule="auto" w:before="105"/>
              <w:ind w:left="343" w:right="0"/>
              <w:jc w:val="left"/>
              <w:rPr>
                <w:rFonts w:ascii="Times New Roman" w:hAnsi="Times New Roman" w:cs="Times New Roman" w:eastAsia="Times New Roman" w:hint="default"/>
                <w:sz w:val="18"/>
                <w:szCs w:val="18"/>
              </w:rPr>
            </w:pPr>
            <w:r>
              <w:rPr>
                <w:rFonts w:ascii="Times New Roman"/>
                <w:sz w:val="18"/>
              </w:rPr>
              <w:t>40.21</w:t>
            </w: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5,576,381</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.38</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1" w:right="0"/>
              <w:jc w:val="center"/>
              <w:rPr>
                <w:rFonts w:ascii="Times New Roman" w:hAnsi="Times New Roman" w:cs="Times New Roman" w:eastAsia="Times New Roman" w:hint="default"/>
                <w:sz w:val="18"/>
                <w:szCs w:val="18"/>
              </w:rPr>
            </w:pPr>
            <w:r>
              <w:rPr>
                <w:rFonts w:ascii="Times New Roman"/>
                <w:sz w:val="18"/>
              </w:rPr>
              <w:t>-5,576,3</w:t>
            </w:r>
          </w:p>
          <w:p>
            <w:pPr>
              <w:pStyle w:val="TableParagraph"/>
              <w:spacing w:line="240" w:lineRule="auto" w:before="105"/>
              <w:ind w:left="216" w:right="0"/>
              <w:jc w:val="center"/>
              <w:rPr>
                <w:rFonts w:ascii="Times New Roman" w:hAnsi="Times New Roman" w:cs="Times New Roman" w:eastAsia="Times New Roman" w:hint="default"/>
                <w:sz w:val="18"/>
                <w:szCs w:val="18"/>
              </w:rPr>
            </w:pPr>
            <w:r>
              <w:rPr>
                <w:rFonts w:ascii="Times New Roman"/>
                <w:sz w:val="18"/>
              </w:rPr>
              <w:t>81.38</w:t>
            </w: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．对所有者（或 股东）的分配</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 w:right="0"/>
              <w:jc w:val="center"/>
              <w:rPr>
                <w:rFonts w:ascii="Times New Roman" w:hAnsi="Times New Roman" w:cs="Times New Roman" w:eastAsia="Times New Roman" w:hint="default"/>
                <w:sz w:val="18"/>
                <w:szCs w:val="18"/>
              </w:rPr>
            </w:pPr>
            <w:r>
              <w:rPr>
                <w:rFonts w:ascii="Times New Roman"/>
                <w:sz w:val="18"/>
              </w:rPr>
              <w:t>-19,151,</w:t>
            </w:r>
          </w:p>
          <w:p>
            <w:pPr>
              <w:pStyle w:val="TableParagraph"/>
              <w:spacing w:line="240" w:lineRule="auto" w:before="105"/>
              <w:ind w:left="126" w:right="0"/>
              <w:jc w:val="center"/>
              <w:rPr>
                <w:rFonts w:ascii="Times New Roman" w:hAnsi="Times New Roman" w:cs="Times New Roman" w:eastAsia="Times New Roman" w:hint="default"/>
                <w:sz w:val="18"/>
                <w:szCs w:val="18"/>
              </w:rPr>
            </w:pPr>
            <w:r>
              <w:rPr>
                <w:rFonts w:ascii="Times New Roman"/>
                <w:sz w:val="18"/>
              </w:rPr>
              <w:t>040.21</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7" w:right="0"/>
              <w:jc w:val="left"/>
              <w:rPr>
                <w:rFonts w:ascii="Times New Roman" w:hAnsi="Times New Roman" w:cs="Times New Roman" w:eastAsia="Times New Roman" w:hint="default"/>
                <w:sz w:val="18"/>
                <w:szCs w:val="18"/>
              </w:rPr>
            </w:pPr>
            <w:r>
              <w:rPr>
                <w:rFonts w:ascii="Times New Roman"/>
                <w:sz w:val="18"/>
              </w:rPr>
              <w:t>-19,151,0</w:t>
            </w:r>
          </w:p>
          <w:p>
            <w:pPr>
              <w:pStyle w:val="TableParagraph"/>
              <w:spacing w:line="240" w:lineRule="auto" w:before="105"/>
              <w:ind w:left="343" w:right="0"/>
              <w:jc w:val="left"/>
              <w:rPr>
                <w:rFonts w:ascii="Times New Roman" w:hAnsi="Times New Roman" w:cs="Times New Roman" w:eastAsia="Times New Roman" w:hint="default"/>
                <w:sz w:val="18"/>
                <w:szCs w:val="18"/>
              </w:rPr>
            </w:pPr>
            <w:r>
              <w:rPr>
                <w:rFonts w:ascii="Times New Roman"/>
                <w:sz w:val="18"/>
              </w:rPr>
              <w:t>40.21</w:t>
            </w: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22"/>
              <w:jc w:val="left"/>
              <w:rPr>
                <w:rFonts w:ascii="宋体" w:hAnsi="宋体" w:cs="宋体" w:eastAsia="宋体" w:hint="default"/>
                <w:sz w:val="18"/>
                <w:szCs w:val="18"/>
              </w:rPr>
            </w:pPr>
            <w:r>
              <w:rPr>
                <w:rFonts w:ascii="宋体" w:hAnsi="宋体" w:cs="宋体" w:eastAsia="宋体" w:hint="default"/>
                <w:spacing w:val="-7"/>
                <w:sz w:val="18"/>
                <w:szCs w:val="18"/>
              </w:rPr>
              <w:t>（四）所有者权益</w:t>
            </w:r>
            <w:r>
              <w:rPr>
                <w:rFonts w:ascii="宋体" w:hAnsi="宋体" w:cs="宋体" w:eastAsia="宋体" w:hint="default"/>
                <w:sz w:val="18"/>
                <w:szCs w:val="18"/>
              </w:rPr>
              <w:t> 内部结转</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 w:right="0"/>
              <w:jc w:val="center"/>
              <w:rPr>
                <w:rFonts w:ascii="Times New Roman" w:hAnsi="Times New Roman" w:cs="Times New Roman" w:eastAsia="Times New Roman" w:hint="default"/>
                <w:sz w:val="18"/>
                <w:szCs w:val="18"/>
              </w:rPr>
            </w:pPr>
            <w:r>
              <w:rPr>
                <w:rFonts w:ascii="Times New Roman"/>
                <w:sz w:val="18"/>
              </w:rPr>
              <w:t>162,237,</w:t>
            </w:r>
          </w:p>
          <w:p>
            <w:pPr>
              <w:pStyle w:val="TableParagraph"/>
              <w:spacing w:line="240" w:lineRule="auto" w:before="105"/>
              <w:ind w:left="140" w:right="0"/>
              <w:jc w:val="center"/>
              <w:rPr>
                <w:rFonts w:ascii="Times New Roman" w:hAnsi="Times New Roman" w:cs="Times New Roman" w:eastAsia="Times New Roman" w:hint="default"/>
                <w:sz w:val="18"/>
                <w:szCs w:val="18"/>
              </w:rPr>
            </w:pPr>
            <w:r>
              <w:rPr>
                <w:rFonts w:ascii="Times New Roman"/>
                <w:sz w:val="18"/>
              </w:rPr>
              <w:t>734.00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1" w:right="0"/>
              <w:jc w:val="center"/>
              <w:rPr>
                <w:rFonts w:ascii="Times New Roman" w:hAnsi="Times New Roman" w:cs="Times New Roman" w:eastAsia="Times New Roman" w:hint="default"/>
                <w:sz w:val="18"/>
                <w:szCs w:val="18"/>
              </w:rPr>
            </w:pPr>
            <w:r>
              <w:rPr>
                <w:rFonts w:ascii="Times New Roman"/>
                <w:sz w:val="18"/>
              </w:rPr>
              <w:t>-162,237,</w:t>
            </w:r>
          </w:p>
          <w:p>
            <w:pPr>
              <w:pStyle w:val="TableParagraph"/>
              <w:spacing w:line="240" w:lineRule="auto" w:before="105"/>
              <w:ind w:left="248" w:right="0"/>
              <w:jc w:val="center"/>
              <w:rPr>
                <w:rFonts w:ascii="Times New Roman" w:hAnsi="Times New Roman" w:cs="Times New Roman" w:eastAsia="Times New Roman" w:hint="default"/>
                <w:sz w:val="18"/>
                <w:szCs w:val="18"/>
              </w:rPr>
            </w:pPr>
            <w:r>
              <w:rPr>
                <w:rFonts w:ascii="Times New Roman"/>
                <w:sz w:val="18"/>
              </w:rPr>
              <w:t>734.00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．资本公积转增 资本（或股本）</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 w:right="0"/>
              <w:jc w:val="center"/>
              <w:rPr>
                <w:rFonts w:ascii="Times New Roman" w:hAnsi="Times New Roman" w:cs="Times New Roman" w:eastAsia="Times New Roman" w:hint="default"/>
                <w:sz w:val="18"/>
                <w:szCs w:val="18"/>
              </w:rPr>
            </w:pPr>
            <w:r>
              <w:rPr>
                <w:rFonts w:ascii="Times New Roman"/>
                <w:sz w:val="18"/>
              </w:rPr>
              <w:t>162,237,</w:t>
            </w:r>
          </w:p>
          <w:p>
            <w:pPr>
              <w:pStyle w:val="TableParagraph"/>
              <w:spacing w:line="240" w:lineRule="auto" w:before="105"/>
              <w:ind w:left="140" w:right="0"/>
              <w:jc w:val="center"/>
              <w:rPr>
                <w:rFonts w:ascii="Times New Roman" w:hAnsi="Times New Roman" w:cs="Times New Roman" w:eastAsia="Times New Roman" w:hint="default"/>
                <w:sz w:val="18"/>
                <w:szCs w:val="18"/>
              </w:rPr>
            </w:pPr>
            <w:r>
              <w:rPr>
                <w:rFonts w:ascii="Times New Roman"/>
                <w:sz w:val="18"/>
              </w:rPr>
              <w:t>734.00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1" w:right="0"/>
              <w:jc w:val="center"/>
              <w:rPr>
                <w:rFonts w:ascii="Times New Roman" w:hAnsi="Times New Roman" w:cs="Times New Roman" w:eastAsia="Times New Roman" w:hint="default"/>
                <w:sz w:val="18"/>
                <w:szCs w:val="18"/>
              </w:rPr>
            </w:pPr>
            <w:r>
              <w:rPr>
                <w:rFonts w:ascii="Times New Roman"/>
                <w:sz w:val="18"/>
              </w:rPr>
              <w:t>-162,237,</w:t>
            </w:r>
          </w:p>
          <w:p>
            <w:pPr>
              <w:pStyle w:val="TableParagraph"/>
              <w:spacing w:line="240" w:lineRule="auto" w:before="105"/>
              <w:ind w:left="248" w:right="0"/>
              <w:jc w:val="center"/>
              <w:rPr>
                <w:rFonts w:ascii="Times New Roman" w:hAnsi="Times New Roman" w:cs="Times New Roman" w:eastAsia="Times New Roman" w:hint="default"/>
                <w:sz w:val="18"/>
                <w:szCs w:val="18"/>
              </w:rPr>
            </w:pPr>
            <w:r>
              <w:rPr>
                <w:rFonts w:ascii="Times New Roman"/>
                <w:sz w:val="18"/>
              </w:rPr>
              <w:t>734.00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．盈余公积转增 资本（或股本）</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 亏损</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．设定受益计划 变动额结转留存 收益</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（五）专项储备</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pacing w:val="-7"/>
                <w:sz w:val="18"/>
                <w:szCs w:val="18"/>
              </w:rPr>
              <w:t>四、本期期末余额</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 w:right="0"/>
              <w:jc w:val="center"/>
              <w:rPr>
                <w:rFonts w:ascii="Times New Roman" w:hAnsi="Times New Roman" w:cs="Times New Roman" w:eastAsia="Times New Roman" w:hint="default"/>
                <w:sz w:val="18"/>
                <w:szCs w:val="18"/>
              </w:rPr>
            </w:pPr>
            <w:r>
              <w:rPr>
                <w:rFonts w:ascii="Times New Roman"/>
                <w:sz w:val="18"/>
              </w:rPr>
              <w:t>481,092,</w:t>
            </w:r>
          </w:p>
          <w:p>
            <w:pPr>
              <w:pStyle w:val="TableParagraph"/>
              <w:spacing w:line="240" w:lineRule="auto" w:before="105"/>
              <w:ind w:left="140" w:right="0"/>
              <w:jc w:val="center"/>
              <w:rPr>
                <w:rFonts w:ascii="Times New Roman" w:hAnsi="Times New Roman" w:cs="Times New Roman" w:eastAsia="Times New Roman" w:hint="default"/>
                <w:sz w:val="18"/>
                <w:szCs w:val="18"/>
              </w:rPr>
            </w:pPr>
            <w:r>
              <w:rPr>
                <w:rFonts w:ascii="Times New Roman"/>
                <w:sz w:val="18"/>
              </w:rPr>
              <w:t>495.00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479,950,9</w:t>
            </w:r>
          </w:p>
          <w:p>
            <w:pPr>
              <w:pStyle w:val="TableParagraph"/>
              <w:spacing w:line="240" w:lineRule="auto" w:before="105"/>
              <w:ind w:left="359" w:right="0"/>
              <w:jc w:val="left"/>
              <w:rPr>
                <w:rFonts w:ascii="Times New Roman" w:hAnsi="Times New Roman" w:cs="Times New Roman" w:eastAsia="Times New Roman" w:hint="default"/>
                <w:sz w:val="18"/>
                <w:szCs w:val="18"/>
              </w:rPr>
            </w:pPr>
            <w:r>
              <w:rPr>
                <w:rFonts w:ascii="Times New Roman"/>
                <w:sz w:val="18"/>
              </w:rPr>
              <w:t>78.98</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45,103,94</w:t>
            </w:r>
          </w:p>
          <w:p>
            <w:pPr>
              <w:pStyle w:val="TableParagraph"/>
              <w:spacing w:line="240" w:lineRule="auto" w:before="105"/>
              <w:ind w:left="449" w:right="0"/>
              <w:jc w:val="left"/>
              <w:rPr>
                <w:rFonts w:ascii="Times New Roman" w:hAnsi="Times New Roman" w:cs="Times New Roman" w:eastAsia="Times New Roman" w:hint="default"/>
                <w:sz w:val="18"/>
                <w:szCs w:val="18"/>
              </w:rPr>
            </w:pPr>
            <w:r>
              <w:rPr>
                <w:rFonts w:ascii="Times New Roman"/>
                <w:sz w:val="18"/>
              </w:rPr>
              <w:t>8.56</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8" w:right="0"/>
              <w:jc w:val="left"/>
              <w:rPr>
                <w:rFonts w:ascii="Times New Roman" w:hAnsi="Times New Roman" w:cs="Times New Roman" w:eastAsia="Times New Roman" w:hint="default"/>
                <w:sz w:val="18"/>
                <w:szCs w:val="18"/>
              </w:rPr>
            </w:pPr>
            <w:r>
              <w:rPr>
                <w:rFonts w:ascii="Times New Roman"/>
                <w:sz w:val="18"/>
              </w:rPr>
              <w:t>312,793</w:t>
            </w:r>
          </w:p>
          <w:p>
            <w:pPr>
              <w:pStyle w:val="TableParagraph"/>
              <w:spacing w:line="240" w:lineRule="auto" w:before="105"/>
              <w:ind w:left="103" w:right="0"/>
              <w:jc w:val="left"/>
              <w:rPr>
                <w:rFonts w:ascii="Times New Roman" w:hAnsi="Times New Roman" w:cs="Times New Roman" w:eastAsia="Times New Roman" w:hint="default"/>
                <w:sz w:val="18"/>
                <w:szCs w:val="18"/>
              </w:rPr>
            </w:pPr>
            <w:r>
              <w:rPr>
                <w:rFonts w:ascii="Times New Roman"/>
                <w:sz w:val="18"/>
              </w:rPr>
              <w:t>,415.15</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 w:right="0"/>
              <w:jc w:val="center"/>
              <w:rPr>
                <w:rFonts w:ascii="Times New Roman" w:hAnsi="Times New Roman" w:cs="Times New Roman" w:eastAsia="Times New Roman" w:hint="default"/>
                <w:sz w:val="18"/>
                <w:szCs w:val="18"/>
              </w:rPr>
            </w:pPr>
            <w:r>
              <w:rPr>
                <w:rFonts w:ascii="Times New Roman"/>
                <w:sz w:val="18"/>
              </w:rPr>
              <w:t>1,318,940</w:t>
            </w:r>
          </w:p>
          <w:p>
            <w:pPr>
              <w:pStyle w:val="TableParagraph"/>
              <w:spacing w:line="240" w:lineRule="auto" w:before="105"/>
              <w:ind w:left="184" w:right="0"/>
              <w:jc w:val="center"/>
              <w:rPr>
                <w:rFonts w:ascii="Times New Roman" w:hAnsi="Times New Roman" w:cs="Times New Roman" w:eastAsia="Times New Roman" w:hint="default"/>
                <w:sz w:val="18"/>
                <w:szCs w:val="18"/>
              </w:rPr>
            </w:pPr>
            <w:r>
              <w:rPr>
                <w:rFonts w:ascii="Times New Roman"/>
                <w:sz w:val="18"/>
              </w:rPr>
              <w:t>,837.69</w:t>
            </w:r>
          </w:p>
        </w:tc>
      </w:tr>
    </w:tbl>
    <w:p>
      <w:pPr>
        <w:spacing w:before="51"/>
        <w:ind w:left="154" w:right="1117" w:firstLine="0"/>
        <w:jc w:val="left"/>
        <w:rPr>
          <w:rFonts w:ascii="宋体" w:hAnsi="宋体" w:cs="宋体" w:eastAsia="宋体" w:hint="default"/>
          <w:sz w:val="18"/>
          <w:szCs w:val="18"/>
        </w:rPr>
      </w:pPr>
      <w:r>
        <w:rPr>
          <w:rFonts w:ascii="宋体" w:hAnsi="宋体" w:cs="宋体" w:eastAsia="宋体" w:hint="default"/>
          <w:sz w:val="18"/>
          <w:szCs w:val="18"/>
        </w:rPr>
        <w:t>上期金额</w:t>
      </w:r>
    </w:p>
    <w:p>
      <w:pPr>
        <w:spacing w:before="117"/>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1442"/>
        <w:gridCol w:w="680"/>
        <w:gridCol w:w="665"/>
        <w:gridCol w:w="665"/>
        <w:gridCol w:w="665"/>
        <w:gridCol w:w="797"/>
        <w:gridCol w:w="798"/>
        <w:gridCol w:w="798"/>
        <w:gridCol w:w="798"/>
        <w:gridCol w:w="797"/>
        <w:gridCol w:w="676"/>
        <w:gridCol w:w="781"/>
      </w:tblGrid>
      <w:tr>
        <w:trPr>
          <w:trHeight w:val="397" w:hRule="exact"/>
        </w:trPr>
        <w:tc>
          <w:tcPr>
            <w:tcW w:w="1442" w:type="dxa"/>
            <w:tcBorders>
              <w:top w:val="single" w:sz="4" w:space="0" w:color="000000"/>
              <w:left w:val="single" w:sz="4" w:space="0" w:color="000000"/>
              <w:bottom w:val="nil" w:sz="6" w:space="0" w:color="auto"/>
              <w:right w:val="single" w:sz="4" w:space="0" w:color="000000"/>
            </w:tcBorders>
            <w:shd w:val="clear" w:color="auto" w:fill="D2D2D2"/>
          </w:tcPr>
          <w:p>
            <w:pPr/>
          </w:p>
        </w:tc>
        <w:tc>
          <w:tcPr>
            <w:tcW w:w="8119" w:type="dxa"/>
            <w:gridSpan w:val="11"/>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0"/>
              <w:jc w:val="center"/>
              <w:rPr>
                <w:rFonts w:ascii="宋体" w:hAnsi="宋体" w:cs="宋体" w:eastAsia="宋体" w:hint="default"/>
                <w:sz w:val="18"/>
                <w:szCs w:val="18"/>
              </w:rPr>
            </w:pPr>
            <w:r>
              <w:rPr>
                <w:rFonts w:ascii="宋体" w:hAnsi="宋体" w:cs="宋体" w:eastAsia="宋体" w:hint="default"/>
                <w:sz w:val="18"/>
                <w:szCs w:val="18"/>
              </w:rPr>
              <w:t>上期</w:t>
            </w:r>
          </w:p>
        </w:tc>
      </w:tr>
      <w:tr>
        <w:trPr>
          <w:trHeight w:val="212" w:hRule="exact"/>
        </w:trPr>
        <w:tc>
          <w:tcPr>
            <w:tcW w:w="144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61"/>
              <w:ind w:right="21"/>
              <w:jc w:val="center"/>
              <w:rPr>
                <w:rFonts w:ascii="宋体" w:hAnsi="宋体" w:cs="宋体" w:eastAsia="宋体" w:hint="default"/>
                <w:sz w:val="18"/>
                <w:szCs w:val="18"/>
              </w:rPr>
            </w:pPr>
            <w:r>
              <w:rPr>
                <w:rFonts w:ascii="宋体" w:hAnsi="宋体" w:cs="宋体" w:eastAsia="宋体" w:hint="default"/>
                <w:sz w:val="18"/>
                <w:szCs w:val="18"/>
              </w:rPr>
              <w:t>项目</w:t>
            </w:r>
          </w:p>
        </w:tc>
        <w:tc>
          <w:tcPr>
            <w:tcW w:w="680" w:type="dxa"/>
            <w:tcBorders>
              <w:top w:val="single" w:sz="4" w:space="0" w:color="000000"/>
              <w:left w:val="single" w:sz="4" w:space="0" w:color="000000"/>
              <w:bottom w:val="nil" w:sz="6" w:space="0" w:color="auto"/>
              <w:right w:val="single" w:sz="4" w:space="0" w:color="000000"/>
            </w:tcBorders>
            <w:shd w:val="clear" w:color="auto" w:fill="D2D2D2"/>
          </w:tcPr>
          <w:p>
            <w:pPr/>
          </w:p>
        </w:tc>
        <w:tc>
          <w:tcPr>
            <w:tcW w:w="1995"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452"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797" w:type="dxa"/>
            <w:tcBorders>
              <w:top w:val="single" w:sz="4" w:space="0" w:color="000000"/>
              <w:left w:val="single" w:sz="4" w:space="0" w:color="000000"/>
              <w:bottom w:val="nil" w:sz="6" w:space="0" w:color="auto"/>
              <w:right w:val="single" w:sz="4" w:space="0" w:color="000000"/>
            </w:tcBorders>
            <w:shd w:val="clear" w:color="auto" w:fill="D2D2D2"/>
          </w:tcPr>
          <w:p>
            <w:pPr/>
          </w:p>
        </w:tc>
        <w:tc>
          <w:tcPr>
            <w:tcW w:w="798"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102"/>
              <w:ind w:left="304" w:right="31" w:hanging="270"/>
              <w:jc w:val="left"/>
              <w:rPr>
                <w:rFonts w:ascii="宋体" w:hAnsi="宋体" w:cs="宋体" w:eastAsia="宋体" w:hint="default"/>
                <w:sz w:val="18"/>
                <w:szCs w:val="18"/>
              </w:rPr>
            </w:pPr>
            <w:r>
              <w:rPr>
                <w:rFonts w:ascii="宋体" w:hAnsi="宋体" w:cs="宋体" w:eastAsia="宋体" w:hint="default"/>
                <w:sz w:val="18"/>
                <w:szCs w:val="18"/>
              </w:rPr>
              <w:t>减：库存 股</w:t>
            </w:r>
          </w:p>
        </w:tc>
        <w:tc>
          <w:tcPr>
            <w:tcW w:w="798"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102"/>
              <w:ind w:left="214" w:right="31" w:hanging="180"/>
              <w:jc w:val="left"/>
              <w:rPr>
                <w:rFonts w:ascii="宋体" w:hAnsi="宋体" w:cs="宋体" w:eastAsia="宋体" w:hint="default"/>
                <w:sz w:val="18"/>
                <w:szCs w:val="18"/>
              </w:rPr>
            </w:pPr>
            <w:r>
              <w:rPr>
                <w:rFonts w:ascii="宋体" w:hAnsi="宋体" w:cs="宋体" w:eastAsia="宋体" w:hint="default"/>
                <w:sz w:val="18"/>
                <w:szCs w:val="18"/>
              </w:rPr>
              <w:t>其他综合 收益</w:t>
            </w:r>
          </w:p>
        </w:tc>
        <w:tc>
          <w:tcPr>
            <w:tcW w:w="798" w:type="dxa"/>
            <w:tcBorders>
              <w:top w:val="single" w:sz="4" w:space="0" w:color="000000"/>
              <w:left w:val="single" w:sz="4" w:space="0" w:color="000000"/>
              <w:bottom w:val="nil" w:sz="6" w:space="0" w:color="auto"/>
              <w:right w:val="single" w:sz="4" w:space="0" w:color="000000"/>
            </w:tcBorders>
            <w:shd w:val="clear" w:color="auto" w:fill="D2D2D2"/>
          </w:tcPr>
          <w:p>
            <w:pPr/>
          </w:p>
        </w:tc>
        <w:tc>
          <w:tcPr>
            <w:tcW w:w="797" w:type="dxa"/>
            <w:tcBorders>
              <w:top w:val="single" w:sz="4" w:space="0" w:color="000000"/>
              <w:left w:val="single" w:sz="4" w:space="0" w:color="000000"/>
              <w:bottom w:val="nil" w:sz="6" w:space="0" w:color="auto"/>
              <w:right w:val="single" w:sz="4" w:space="0" w:color="000000"/>
            </w:tcBorders>
            <w:shd w:val="clear" w:color="auto" w:fill="D2D2D2"/>
          </w:tcPr>
          <w:p>
            <w:pPr/>
          </w:p>
        </w:tc>
        <w:tc>
          <w:tcPr>
            <w:tcW w:w="676"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102"/>
              <w:ind w:left="152" w:right="61" w:hanging="90"/>
              <w:jc w:val="left"/>
              <w:rPr>
                <w:rFonts w:ascii="宋体" w:hAnsi="宋体" w:cs="宋体" w:eastAsia="宋体" w:hint="default"/>
                <w:sz w:val="18"/>
                <w:szCs w:val="18"/>
              </w:rPr>
            </w:pPr>
            <w:r>
              <w:rPr>
                <w:rFonts w:ascii="宋体" w:hAnsi="宋体" w:cs="宋体" w:eastAsia="宋体" w:hint="default"/>
                <w:sz w:val="18"/>
                <w:szCs w:val="18"/>
              </w:rPr>
              <w:t>未分配 利润</w:t>
            </w:r>
          </w:p>
        </w:tc>
        <w:tc>
          <w:tcPr>
            <w:tcW w:w="781"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102"/>
              <w:ind w:left="115" w:right="24" w:hanging="90"/>
              <w:jc w:val="left"/>
              <w:rPr>
                <w:rFonts w:ascii="宋体" w:hAnsi="宋体" w:cs="宋体" w:eastAsia="宋体" w:hint="default"/>
                <w:sz w:val="18"/>
                <w:szCs w:val="18"/>
              </w:rPr>
            </w:pPr>
            <w:r>
              <w:rPr>
                <w:rFonts w:ascii="宋体" w:hAnsi="宋体" w:cs="宋体" w:eastAsia="宋体" w:hint="default"/>
                <w:sz w:val="18"/>
                <w:szCs w:val="18"/>
              </w:rPr>
              <w:t>所有者权 益合计</w:t>
            </w:r>
          </w:p>
        </w:tc>
      </w:tr>
      <w:tr>
        <w:trPr>
          <w:trHeight w:val="191" w:hRule="exact"/>
        </w:trPr>
        <w:tc>
          <w:tcPr>
            <w:tcW w:w="1442" w:type="dxa"/>
            <w:vMerge/>
            <w:tcBorders>
              <w:left w:val="single" w:sz="4" w:space="0" w:color="000000"/>
              <w:bottom w:val="nil" w:sz="6" w:space="0" w:color="auto"/>
              <w:right w:val="single" w:sz="4" w:space="0" w:color="000000"/>
            </w:tcBorders>
            <w:shd w:val="clear" w:color="auto" w:fill="D2D2D2"/>
          </w:tcPr>
          <w:p>
            <w:pPr/>
          </w:p>
        </w:tc>
        <w:tc>
          <w:tcPr>
            <w:tcW w:w="68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148"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1995" w:type="dxa"/>
            <w:gridSpan w:val="3"/>
            <w:vMerge/>
            <w:tcBorders>
              <w:left w:val="single" w:sz="4" w:space="0" w:color="000000"/>
              <w:bottom w:val="single" w:sz="4" w:space="0" w:color="000000"/>
              <w:right w:val="single" w:sz="4" w:space="0" w:color="000000"/>
            </w:tcBorders>
            <w:shd w:val="clear" w:color="auto" w:fill="D2D2D2"/>
          </w:tcPr>
          <w:p>
            <w:pPr/>
          </w:p>
        </w:tc>
        <w:tc>
          <w:tcPr>
            <w:tcW w:w="79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33"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798" w:type="dxa"/>
            <w:vMerge/>
            <w:tcBorders>
              <w:left w:val="single" w:sz="4" w:space="0" w:color="000000"/>
              <w:right w:val="single" w:sz="4" w:space="0" w:color="000000"/>
            </w:tcBorders>
            <w:shd w:val="clear" w:color="auto" w:fill="D2D2D2"/>
          </w:tcPr>
          <w:p>
            <w:pPr/>
          </w:p>
        </w:tc>
        <w:tc>
          <w:tcPr>
            <w:tcW w:w="798" w:type="dxa"/>
            <w:vMerge/>
            <w:tcBorders>
              <w:left w:val="single" w:sz="4" w:space="0" w:color="000000"/>
              <w:right w:val="single" w:sz="4" w:space="0" w:color="000000"/>
            </w:tcBorders>
            <w:shd w:val="clear" w:color="auto" w:fill="D2D2D2"/>
          </w:tcPr>
          <w:p>
            <w:pPr/>
          </w:p>
        </w:tc>
        <w:tc>
          <w:tcPr>
            <w:tcW w:w="79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33"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79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33"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676" w:type="dxa"/>
            <w:vMerge/>
            <w:tcBorders>
              <w:left w:val="single" w:sz="4" w:space="0" w:color="000000"/>
              <w:right w:val="single" w:sz="4" w:space="0" w:color="000000"/>
            </w:tcBorders>
            <w:shd w:val="clear" w:color="auto" w:fill="D2D2D2"/>
          </w:tcPr>
          <w:p>
            <w:pPr/>
          </w:p>
        </w:tc>
        <w:tc>
          <w:tcPr>
            <w:tcW w:w="781" w:type="dxa"/>
            <w:vMerge/>
            <w:tcBorders>
              <w:left w:val="single" w:sz="4" w:space="0" w:color="000000"/>
              <w:right w:val="single" w:sz="4" w:space="0" w:color="000000"/>
            </w:tcBorders>
            <w:shd w:val="clear" w:color="auto" w:fill="D2D2D2"/>
          </w:tcPr>
          <w:p>
            <w:pPr/>
          </w:p>
        </w:tc>
      </w:tr>
      <w:tr>
        <w:trPr>
          <w:trHeight w:val="200" w:hRule="exact"/>
        </w:trPr>
        <w:tc>
          <w:tcPr>
            <w:tcW w:w="1442" w:type="dxa"/>
            <w:vMerge w:val="restart"/>
            <w:tcBorders>
              <w:top w:val="nil" w:sz="6" w:space="0" w:color="auto"/>
              <w:left w:val="single" w:sz="4" w:space="0" w:color="000000"/>
              <w:right w:val="single" w:sz="4" w:space="0" w:color="000000"/>
            </w:tcBorders>
            <w:shd w:val="clear" w:color="auto" w:fill="D2D2D2"/>
          </w:tcPr>
          <w:p>
            <w:pPr/>
          </w:p>
        </w:tc>
        <w:tc>
          <w:tcPr>
            <w:tcW w:w="680" w:type="dxa"/>
            <w:vMerge/>
            <w:tcBorders>
              <w:left w:val="single" w:sz="4" w:space="0" w:color="000000"/>
              <w:bottom w:val="nil" w:sz="6" w:space="0" w:color="auto"/>
              <w:right w:val="single" w:sz="4" w:space="0" w:color="000000"/>
            </w:tcBorders>
            <w:shd w:val="clear" w:color="auto" w:fill="D2D2D2"/>
          </w:tcPr>
          <w:p>
            <w:pPr/>
          </w:p>
        </w:tc>
        <w:tc>
          <w:tcPr>
            <w:tcW w:w="6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56" w:right="0"/>
              <w:jc w:val="left"/>
              <w:rPr>
                <w:rFonts w:ascii="宋体" w:hAnsi="宋体" w:cs="宋体" w:eastAsia="宋体" w:hint="default"/>
                <w:sz w:val="18"/>
                <w:szCs w:val="18"/>
              </w:rPr>
            </w:pPr>
            <w:r>
              <w:rPr>
                <w:rFonts w:ascii="宋体" w:hAnsi="宋体" w:cs="宋体" w:eastAsia="宋体" w:hint="default"/>
                <w:sz w:val="18"/>
                <w:szCs w:val="18"/>
              </w:rPr>
              <w:t>优先股</w:t>
            </w:r>
          </w:p>
        </w:tc>
        <w:tc>
          <w:tcPr>
            <w:tcW w:w="6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56" w:right="0"/>
              <w:jc w:val="left"/>
              <w:rPr>
                <w:rFonts w:ascii="宋体" w:hAnsi="宋体" w:cs="宋体" w:eastAsia="宋体" w:hint="default"/>
                <w:sz w:val="18"/>
                <w:szCs w:val="18"/>
              </w:rPr>
            </w:pPr>
            <w:r>
              <w:rPr>
                <w:rFonts w:ascii="宋体" w:hAnsi="宋体" w:cs="宋体" w:eastAsia="宋体" w:hint="default"/>
                <w:sz w:val="18"/>
                <w:szCs w:val="18"/>
              </w:rPr>
              <w:t>永续债</w:t>
            </w:r>
          </w:p>
        </w:tc>
        <w:tc>
          <w:tcPr>
            <w:tcW w:w="6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146"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97" w:type="dxa"/>
            <w:vMerge/>
            <w:tcBorders>
              <w:left w:val="single" w:sz="4" w:space="0" w:color="000000"/>
              <w:bottom w:val="nil" w:sz="6" w:space="0" w:color="auto"/>
              <w:right w:val="single" w:sz="4" w:space="0" w:color="000000"/>
            </w:tcBorders>
            <w:shd w:val="clear" w:color="auto" w:fill="D2D2D2"/>
          </w:tcPr>
          <w:p>
            <w:pPr/>
          </w:p>
        </w:tc>
        <w:tc>
          <w:tcPr>
            <w:tcW w:w="798" w:type="dxa"/>
            <w:vMerge/>
            <w:tcBorders>
              <w:left w:val="single" w:sz="4" w:space="0" w:color="000000"/>
              <w:right w:val="single" w:sz="4" w:space="0" w:color="000000"/>
            </w:tcBorders>
            <w:shd w:val="clear" w:color="auto" w:fill="D2D2D2"/>
          </w:tcPr>
          <w:p>
            <w:pPr/>
          </w:p>
        </w:tc>
        <w:tc>
          <w:tcPr>
            <w:tcW w:w="798" w:type="dxa"/>
            <w:vMerge/>
            <w:tcBorders>
              <w:left w:val="single" w:sz="4" w:space="0" w:color="000000"/>
              <w:right w:val="single" w:sz="4" w:space="0" w:color="000000"/>
            </w:tcBorders>
            <w:shd w:val="clear" w:color="auto" w:fill="D2D2D2"/>
          </w:tcPr>
          <w:p>
            <w:pPr/>
          </w:p>
        </w:tc>
        <w:tc>
          <w:tcPr>
            <w:tcW w:w="798" w:type="dxa"/>
            <w:vMerge/>
            <w:tcBorders>
              <w:left w:val="single" w:sz="4" w:space="0" w:color="000000"/>
              <w:bottom w:val="nil" w:sz="6" w:space="0" w:color="auto"/>
              <w:right w:val="single" w:sz="4" w:space="0" w:color="000000"/>
            </w:tcBorders>
            <w:shd w:val="clear" w:color="auto" w:fill="D2D2D2"/>
          </w:tcPr>
          <w:p>
            <w:pPr/>
          </w:p>
        </w:tc>
        <w:tc>
          <w:tcPr>
            <w:tcW w:w="797" w:type="dxa"/>
            <w:vMerge/>
            <w:tcBorders>
              <w:left w:val="single" w:sz="4" w:space="0" w:color="000000"/>
              <w:bottom w:val="nil" w:sz="6" w:space="0" w:color="auto"/>
              <w:right w:val="single" w:sz="4" w:space="0" w:color="000000"/>
            </w:tcBorders>
            <w:shd w:val="clear" w:color="auto" w:fill="D2D2D2"/>
          </w:tcPr>
          <w:p>
            <w:pPr/>
          </w:p>
        </w:tc>
        <w:tc>
          <w:tcPr>
            <w:tcW w:w="676" w:type="dxa"/>
            <w:vMerge/>
            <w:tcBorders>
              <w:left w:val="single" w:sz="4" w:space="0" w:color="000000"/>
              <w:right w:val="single" w:sz="4" w:space="0" w:color="000000"/>
            </w:tcBorders>
            <w:shd w:val="clear" w:color="auto" w:fill="D2D2D2"/>
          </w:tcPr>
          <w:p>
            <w:pPr/>
          </w:p>
        </w:tc>
        <w:tc>
          <w:tcPr>
            <w:tcW w:w="781" w:type="dxa"/>
            <w:vMerge/>
            <w:tcBorders>
              <w:left w:val="single" w:sz="4" w:space="0" w:color="000000"/>
              <w:right w:val="single" w:sz="4" w:space="0" w:color="000000"/>
            </w:tcBorders>
            <w:shd w:val="clear" w:color="auto" w:fill="D2D2D2"/>
          </w:tcPr>
          <w:p>
            <w:pPr/>
          </w:p>
        </w:tc>
      </w:tr>
      <w:tr>
        <w:trPr>
          <w:trHeight w:val="206" w:hRule="exact"/>
        </w:trPr>
        <w:tc>
          <w:tcPr>
            <w:tcW w:w="1442" w:type="dxa"/>
            <w:vMerge/>
            <w:tcBorders>
              <w:left w:val="single" w:sz="4" w:space="0" w:color="000000"/>
              <w:bottom w:val="single" w:sz="4" w:space="0" w:color="000000"/>
              <w:right w:val="single" w:sz="4" w:space="0" w:color="000000"/>
            </w:tcBorders>
            <w:shd w:val="clear" w:color="auto" w:fill="D2D2D2"/>
          </w:tcPr>
          <w:p>
            <w:pPr/>
          </w:p>
        </w:tc>
        <w:tc>
          <w:tcPr>
            <w:tcW w:w="680"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single" w:sz="4" w:space="0" w:color="000000"/>
              <w:right w:val="single" w:sz="4" w:space="0" w:color="000000"/>
            </w:tcBorders>
            <w:shd w:val="clear" w:color="auto" w:fill="D2D2D2"/>
          </w:tcPr>
          <w:p>
            <w:pPr/>
          </w:p>
        </w:tc>
        <w:tc>
          <w:tcPr>
            <w:tcW w:w="797" w:type="dxa"/>
            <w:tcBorders>
              <w:top w:val="nil" w:sz="6" w:space="0" w:color="auto"/>
              <w:left w:val="single" w:sz="4" w:space="0" w:color="000000"/>
              <w:bottom w:val="single" w:sz="4" w:space="0" w:color="000000"/>
              <w:right w:val="single" w:sz="4" w:space="0" w:color="000000"/>
            </w:tcBorders>
            <w:shd w:val="clear" w:color="auto" w:fill="D2D2D2"/>
          </w:tcPr>
          <w:p>
            <w:pPr/>
          </w:p>
        </w:tc>
        <w:tc>
          <w:tcPr>
            <w:tcW w:w="798" w:type="dxa"/>
            <w:vMerge/>
            <w:tcBorders>
              <w:left w:val="single" w:sz="4" w:space="0" w:color="000000"/>
              <w:bottom w:val="single" w:sz="4" w:space="0" w:color="000000"/>
              <w:right w:val="single" w:sz="4" w:space="0" w:color="000000"/>
            </w:tcBorders>
            <w:shd w:val="clear" w:color="auto" w:fill="D2D2D2"/>
          </w:tcPr>
          <w:p>
            <w:pPr/>
          </w:p>
        </w:tc>
        <w:tc>
          <w:tcPr>
            <w:tcW w:w="798" w:type="dxa"/>
            <w:vMerge/>
            <w:tcBorders>
              <w:left w:val="single" w:sz="4" w:space="0" w:color="000000"/>
              <w:bottom w:val="single" w:sz="4" w:space="0" w:color="000000"/>
              <w:right w:val="single" w:sz="4" w:space="0" w:color="000000"/>
            </w:tcBorders>
            <w:shd w:val="clear" w:color="auto" w:fill="D2D2D2"/>
          </w:tcPr>
          <w:p>
            <w:pPr/>
          </w:p>
        </w:tc>
        <w:tc>
          <w:tcPr>
            <w:tcW w:w="798" w:type="dxa"/>
            <w:tcBorders>
              <w:top w:val="nil" w:sz="6" w:space="0" w:color="auto"/>
              <w:left w:val="single" w:sz="4" w:space="0" w:color="000000"/>
              <w:bottom w:val="single" w:sz="4" w:space="0" w:color="000000"/>
              <w:right w:val="single" w:sz="4" w:space="0" w:color="000000"/>
            </w:tcBorders>
            <w:shd w:val="clear" w:color="auto" w:fill="D2D2D2"/>
          </w:tcPr>
          <w:p>
            <w:pPr/>
          </w:p>
        </w:tc>
        <w:tc>
          <w:tcPr>
            <w:tcW w:w="797" w:type="dxa"/>
            <w:tcBorders>
              <w:top w:val="nil" w:sz="6" w:space="0" w:color="auto"/>
              <w:left w:val="single" w:sz="4" w:space="0" w:color="000000"/>
              <w:bottom w:val="single" w:sz="4" w:space="0" w:color="000000"/>
              <w:right w:val="single" w:sz="4" w:space="0" w:color="000000"/>
            </w:tcBorders>
            <w:shd w:val="clear" w:color="auto" w:fill="D2D2D2"/>
          </w:tcPr>
          <w:p>
            <w:pPr/>
          </w:p>
        </w:tc>
        <w:tc>
          <w:tcPr>
            <w:tcW w:w="676" w:type="dxa"/>
            <w:vMerge/>
            <w:tcBorders>
              <w:left w:val="single" w:sz="4" w:space="0" w:color="000000"/>
              <w:bottom w:val="single" w:sz="4" w:space="0" w:color="000000"/>
              <w:right w:val="single" w:sz="4" w:space="0" w:color="000000"/>
            </w:tcBorders>
            <w:shd w:val="clear" w:color="auto" w:fill="D2D2D2"/>
          </w:tcPr>
          <w:p>
            <w:pPr/>
          </w:p>
        </w:tc>
        <w:tc>
          <w:tcPr>
            <w:tcW w:w="781" w:type="dxa"/>
            <w:vMerge/>
            <w:tcBorders>
              <w:left w:val="single" w:sz="4" w:space="0" w:color="000000"/>
              <w:bottom w:val="single" w:sz="4" w:space="0" w:color="000000"/>
              <w:right w:val="single" w:sz="4" w:space="0" w:color="000000"/>
            </w:tcBorders>
            <w:shd w:val="clear" w:color="auto" w:fill="D2D2D2"/>
          </w:tcPr>
          <w:p>
            <w:pPr/>
          </w:p>
        </w:tc>
      </w:tr>
      <w:tr>
        <w:trPr>
          <w:trHeight w:val="161" w:hRule="exact"/>
        </w:trPr>
        <w:tc>
          <w:tcPr>
            <w:tcW w:w="1442" w:type="dxa"/>
            <w:tcBorders>
              <w:top w:val="single" w:sz="4" w:space="0" w:color="000000"/>
              <w:left w:val="single" w:sz="4" w:space="0" w:color="000000"/>
              <w:bottom w:val="nil" w:sz="6" w:space="0" w:color="auto"/>
              <w:right w:val="single" w:sz="4" w:space="0" w:color="000000"/>
            </w:tcBorders>
            <w:shd w:val="clear" w:color="auto" w:fill="D2D2D2"/>
          </w:tcPr>
          <w:p>
            <w:pPr/>
          </w:p>
        </w:tc>
        <w:tc>
          <w:tcPr>
            <w:tcW w:w="680" w:type="dxa"/>
            <w:vMerge w:val="restart"/>
            <w:tcBorders>
              <w:top w:val="single" w:sz="4" w:space="0" w:color="000000"/>
              <w:left w:val="single" w:sz="10" w:space="0" w:color="D2D2D2"/>
              <w:right w:val="single" w:sz="4" w:space="0" w:color="000000"/>
            </w:tcBorders>
          </w:tcPr>
          <w:p>
            <w:pPr>
              <w:pStyle w:val="TableParagraph"/>
              <w:spacing w:line="240" w:lineRule="auto" w:before="91"/>
              <w:ind w:right="12"/>
              <w:jc w:val="center"/>
              <w:rPr>
                <w:rFonts w:ascii="Times New Roman" w:hAnsi="Times New Roman" w:cs="Times New Roman" w:eastAsia="Times New Roman" w:hint="default"/>
                <w:sz w:val="18"/>
                <w:szCs w:val="18"/>
              </w:rPr>
            </w:pPr>
            <w:r>
              <w:rPr>
                <w:rFonts w:ascii="Times New Roman"/>
                <w:sz w:val="18"/>
              </w:rPr>
              <w:t>324,587,</w:t>
            </w:r>
          </w:p>
          <w:p>
            <w:pPr>
              <w:pStyle w:val="TableParagraph"/>
              <w:spacing w:line="240" w:lineRule="auto" w:before="106"/>
              <w:ind w:left="121" w:right="0"/>
              <w:jc w:val="center"/>
              <w:rPr>
                <w:rFonts w:ascii="Times New Roman" w:hAnsi="Times New Roman" w:cs="Times New Roman" w:eastAsia="Times New Roman" w:hint="default"/>
                <w:sz w:val="18"/>
                <w:szCs w:val="18"/>
              </w:rPr>
            </w:pPr>
            <w:r>
              <w:rPr>
                <w:rFonts w:ascii="Times New Roman"/>
                <w:sz w:val="18"/>
              </w:rPr>
              <w:t>301.00</w:t>
            </w: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689,027,6</w:t>
            </w:r>
          </w:p>
          <w:p>
            <w:pPr>
              <w:pStyle w:val="TableParagraph"/>
              <w:spacing w:line="240" w:lineRule="auto" w:before="106"/>
              <w:ind w:left="359" w:right="0"/>
              <w:jc w:val="left"/>
              <w:rPr>
                <w:rFonts w:ascii="Times New Roman" w:hAnsi="Times New Roman" w:cs="Times New Roman" w:eastAsia="Times New Roman" w:hint="default"/>
                <w:sz w:val="18"/>
                <w:szCs w:val="18"/>
              </w:rPr>
            </w:pPr>
            <w:r>
              <w:rPr>
                <w:rFonts w:ascii="Times New Roman"/>
                <w:sz w:val="18"/>
              </w:rPr>
              <w:t>63.38</w:t>
            </w:r>
          </w:p>
        </w:tc>
        <w:tc>
          <w:tcPr>
            <w:tcW w:w="798" w:type="dxa"/>
            <w:vMerge w:val="restart"/>
            <w:tcBorders>
              <w:top w:val="single" w:sz="22" w:space="0" w:color="D2D2D2"/>
              <w:left w:val="single" w:sz="4" w:space="0" w:color="000000"/>
              <w:right w:val="single" w:sz="4" w:space="0" w:color="000000"/>
            </w:tcBorders>
          </w:tcPr>
          <w:p>
            <w:pPr>
              <w:pStyle w:val="TableParagraph"/>
              <w:spacing w:line="240" w:lineRule="auto" w:before="68"/>
              <w:ind w:left="52" w:right="0"/>
              <w:jc w:val="left"/>
              <w:rPr>
                <w:rFonts w:ascii="Times New Roman" w:hAnsi="Times New Roman" w:cs="Times New Roman" w:eastAsia="Times New Roman" w:hint="default"/>
                <w:sz w:val="18"/>
                <w:szCs w:val="18"/>
              </w:rPr>
            </w:pPr>
            <w:r>
              <w:rPr>
                <w:rFonts w:ascii="Times New Roman"/>
                <w:sz w:val="18"/>
              </w:rPr>
              <w:t>117,420,9</w:t>
            </w:r>
          </w:p>
          <w:p>
            <w:pPr>
              <w:pStyle w:val="TableParagraph"/>
              <w:spacing w:line="240" w:lineRule="auto" w:before="106"/>
              <w:ind w:left="361" w:right="0"/>
              <w:jc w:val="left"/>
              <w:rPr>
                <w:rFonts w:ascii="Times New Roman" w:hAnsi="Times New Roman" w:cs="Times New Roman" w:eastAsia="Times New Roman" w:hint="default"/>
                <w:sz w:val="18"/>
                <w:szCs w:val="18"/>
              </w:rPr>
            </w:pPr>
            <w:r>
              <w:rPr>
                <w:rFonts w:ascii="Times New Roman"/>
                <w:sz w:val="18"/>
              </w:rPr>
              <w:t>88.00</w:t>
            </w:r>
          </w:p>
        </w:tc>
        <w:tc>
          <w:tcPr>
            <w:tcW w:w="798" w:type="dxa"/>
            <w:vMerge w:val="restart"/>
            <w:tcBorders>
              <w:top w:val="single" w:sz="22" w:space="0" w:color="D2D2D2"/>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30,018,19</w:t>
            </w:r>
          </w:p>
          <w:p>
            <w:pPr>
              <w:pStyle w:val="TableParagraph"/>
              <w:spacing w:line="240" w:lineRule="auto" w:before="106"/>
              <w:ind w:left="449" w:right="0"/>
              <w:jc w:val="left"/>
              <w:rPr>
                <w:rFonts w:ascii="Times New Roman" w:hAnsi="Times New Roman" w:cs="Times New Roman" w:eastAsia="Times New Roman" w:hint="default"/>
                <w:sz w:val="18"/>
                <w:szCs w:val="18"/>
              </w:rPr>
            </w:pPr>
            <w:r>
              <w:rPr>
                <w:rFonts w:ascii="Times New Roman"/>
                <w:sz w:val="18"/>
              </w:rPr>
              <w:t>6.80</w:t>
            </w:r>
          </w:p>
        </w:tc>
        <w:tc>
          <w:tcPr>
            <w:tcW w:w="676" w:type="dxa"/>
            <w:vMerge w:val="restart"/>
            <w:tcBorders>
              <w:top w:val="single" w:sz="22" w:space="0" w:color="D2D2D2"/>
              <w:left w:val="single" w:sz="4" w:space="0" w:color="000000"/>
              <w:right w:val="single" w:sz="4" w:space="0" w:color="000000"/>
            </w:tcBorders>
          </w:tcPr>
          <w:p>
            <w:pPr>
              <w:pStyle w:val="TableParagraph"/>
              <w:spacing w:line="240" w:lineRule="auto" w:before="68"/>
              <w:ind w:left="58" w:right="0"/>
              <w:jc w:val="left"/>
              <w:rPr>
                <w:rFonts w:ascii="Times New Roman" w:hAnsi="Times New Roman" w:cs="Times New Roman" w:eastAsia="Times New Roman" w:hint="default"/>
                <w:sz w:val="18"/>
                <w:szCs w:val="18"/>
              </w:rPr>
            </w:pPr>
            <w:r>
              <w:rPr>
                <w:rFonts w:ascii="Times New Roman"/>
                <w:sz w:val="18"/>
              </w:rPr>
              <w:t>214,027</w:t>
            </w:r>
          </w:p>
          <w:p>
            <w:pPr>
              <w:pStyle w:val="TableParagraph"/>
              <w:spacing w:line="240" w:lineRule="auto" w:before="106"/>
              <w:ind w:left="103" w:right="0"/>
              <w:jc w:val="left"/>
              <w:rPr>
                <w:rFonts w:ascii="Times New Roman" w:hAnsi="Times New Roman" w:cs="Times New Roman" w:eastAsia="Times New Roman" w:hint="default"/>
                <w:sz w:val="18"/>
                <w:szCs w:val="18"/>
              </w:rPr>
            </w:pPr>
            <w:r>
              <w:rPr>
                <w:rFonts w:ascii="Times New Roman"/>
                <w:sz w:val="18"/>
              </w:rPr>
              <w:t>,026.04</w:t>
            </w:r>
          </w:p>
        </w:tc>
        <w:tc>
          <w:tcPr>
            <w:tcW w:w="781" w:type="dxa"/>
            <w:vMerge w:val="restart"/>
            <w:tcBorders>
              <w:top w:val="single" w:sz="22" w:space="0" w:color="D2D2D2"/>
              <w:left w:val="single" w:sz="4" w:space="0" w:color="000000"/>
              <w:right w:val="single" w:sz="4" w:space="0" w:color="000000"/>
            </w:tcBorders>
          </w:tcPr>
          <w:p>
            <w:pPr>
              <w:pStyle w:val="TableParagraph"/>
              <w:spacing w:line="240" w:lineRule="auto" w:before="68"/>
              <w:ind w:left="4" w:right="0"/>
              <w:jc w:val="center"/>
              <w:rPr>
                <w:rFonts w:ascii="Times New Roman" w:hAnsi="Times New Roman" w:cs="Times New Roman" w:eastAsia="Times New Roman" w:hint="default"/>
                <w:sz w:val="18"/>
                <w:szCs w:val="18"/>
              </w:rPr>
            </w:pPr>
            <w:r>
              <w:rPr>
                <w:rFonts w:ascii="Times New Roman"/>
                <w:sz w:val="18"/>
              </w:rPr>
              <w:t>1,140,239</w:t>
            </w:r>
          </w:p>
          <w:p>
            <w:pPr>
              <w:pStyle w:val="TableParagraph"/>
              <w:spacing w:line="240" w:lineRule="auto" w:before="106"/>
              <w:ind w:left="184" w:right="0"/>
              <w:jc w:val="center"/>
              <w:rPr>
                <w:rFonts w:ascii="Times New Roman" w:hAnsi="Times New Roman" w:cs="Times New Roman" w:eastAsia="Times New Roman" w:hint="default"/>
                <w:sz w:val="18"/>
                <w:szCs w:val="18"/>
              </w:rPr>
            </w:pPr>
            <w:r>
              <w:rPr>
                <w:rFonts w:ascii="Times New Roman"/>
                <w:sz w:val="18"/>
              </w:rPr>
              <w:t>,199.22</w:t>
            </w:r>
          </w:p>
        </w:tc>
      </w:tr>
      <w:tr>
        <w:trPr>
          <w:trHeight w:val="392" w:hRule="exact"/>
        </w:trPr>
        <w:tc>
          <w:tcPr>
            <w:tcW w:w="144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pacing w:val="-7"/>
                <w:sz w:val="18"/>
                <w:szCs w:val="18"/>
              </w:rPr>
              <w:t>一、上年期末余额</w:t>
            </w:r>
          </w:p>
        </w:tc>
        <w:tc>
          <w:tcPr>
            <w:tcW w:w="680" w:type="dxa"/>
            <w:vMerge/>
            <w:tcBorders>
              <w:left w:val="single" w:sz="10" w:space="0" w:color="D2D2D2"/>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676" w:type="dxa"/>
            <w:vMerge/>
            <w:tcBorders>
              <w:left w:val="single" w:sz="4" w:space="0" w:color="000000"/>
              <w:right w:val="single" w:sz="4" w:space="0" w:color="000000"/>
            </w:tcBorders>
          </w:tcPr>
          <w:p>
            <w:pPr/>
          </w:p>
        </w:tc>
        <w:tc>
          <w:tcPr>
            <w:tcW w:w="781" w:type="dxa"/>
            <w:vMerge/>
            <w:tcBorders>
              <w:left w:val="single" w:sz="4" w:space="0" w:color="000000"/>
              <w:right w:val="single" w:sz="4" w:space="0" w:color="000000"/>
            </w:tcBorders>
          </w:tcPr>
          <w:p>
            <w:pPr/>
          </w:p>
        </w:tc>
      </w:tr>
      <w:tr>
        <w:trPr>
          <w:trHeight w:val="161" w:hRule="exact"/>
        </w:trPr>
        <w:tc>
          <w:tcPr>
            <w:tcW w:w="1442" w:type="dxa"/>
            <w:tcBorders>
              <w:top w:val="nil" w:sz="6" w:space="0" w:color="auto"/>
              <w:left w:val="single" w:sz="4" w:space="0" w:color="000000"/>
              <w:bottom w:val="single" w:sz="4" w:space="0" w:color="000000"/>
              <w:right w:val="single" w:sz="4" w:space="0" w:color="000000"/>
            </w:tcBorders>
            <w:shd w:val="clear" w:color="auto" w:fill="D2D2D2"/>
          </w:tcPr>
          <w:p>
            <w:pPr/>
          </w:p>
        </w:tc>
        <w:tc>
          <w:tcPr>
            <w:tcW w:w="680" w:type="dxa"/>
            <w:vMerge/>
            <w:tcBorders>
              <w:left w:val="single" w:sz="10" w:space="0" w:color="D2D2D2"/>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676" w:type="dxa"/>
            <w:vMerge/>
            <w:tcBorders>
              <w:left w:val="single" w:sz="4" w:space="0" w:color="000000"/>
              <w:bottom w:val="single" w:sz="4" w:space="0" w:color="000000"/>
              <w:right w:val="single" w:sz="4" w:space="0" w:color="000000"/>
            </w:tcBorders>
          </w:tcPr>
          <w:p>
            <w:pPr/>
          </w:p>
        </w:tc>
        <w:tc>
          <w:tcPr>
            <w:tcW w:w="781" w:type="dxa"/>
            <w:vMerge/>
            <w:tcBorders>
              <w:left w:val="single" w:sz="4" w:space="0" w:color="000000"/>
              <w:bottom w:val="single" w:sz="4" w:space="0" w:color="000000"/>
              <w:right w:val="single" w:sz="4" w:space="0" w:color="000000"/>
            </w:tcBorders>
          </w:tcPr>
          <w:p>
            <w:pPr/>
          </w:p>
        </w:tc>
      </w:tr>
    </w:tbl>
    <w:p>
      <w:pPr>
        <w:spacing w:after="0"/>
        <w:sectPr>
          <w:pgSz w:w="11910" w:h="16840"/>
          <w:pgMar w:header="87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442"/>
        <w:gridCol w:w="691"/>
        <w:gridCol w:w="665"/>
        <w:gridCol w:w="665"/>
        <w:gridCol w:w="665"/>
        <w:gridCol w:w="797"/>
        <w:gridCol w:w="798"/>
        <w:gridCol w:w="798"/>
        <w:gridCol w:w="798"/>
        <w:gridCol w:w="797"/>
        <w:gridCol w:w="676"/>
        <w:gridCol w:w="781"/>
      </w:tblGrid>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22" w:firstLine="360"/>
              <w:jc w:val="left"/>
              <w:rPr>
                <w:rFonts w:ascii="宋体" w:hAnsi="宋体" w:cs="宋体" w:eastAsia="宋体" w:hint="default"/>
                <w:sz w:val="18"/>
                <w:szCs w:val="18"/>
              </w:rPr>
            </w:pPr>
            <w:r>
              <w:rPr>
                <w:rFonts w:ascii="宋体" w:hAnsi="宋体" w:cs="宋体" w:eastAsia="宋体" w:hint="default"/>
                <w:spacing w:val="-10"/>
                <w:sz w:val="18"/>
                <w:szCs w:val="18"/>
              </w:rPr>
              <w:t>加：会计政策</w:t>
            </w:r>
            <w:r>
              <w:rPr>
                <w:rFonts w:ascii="宋体" w:hAnsi="宋体" w:cs="宋体" w:eastAsia="宋体" w:hint="default"/>
                <w:sz w:val="18"/>
                <w:szCs w:val="18"/>
              </w:rPr>
              <w:t> 变更</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3" w:right="0"/>
              <w:jc w:val="left"/>
              <w:rPr>
                <w:rFonts w:ascii="宋体" w:hAnsi="宋体" w:cs="宋体" w:eastAsia="宋体" w:hint="default"/>
                <w:sz w:val="18"/>
                <w:szCs w:val="18"/>
              </w:rPr>
            </w:pPr>
            <w:r>
              <w:rPr>
                <w:rFonts w:ascii="宋体" w:hAnsi="宋体" w:cs="宋体" w:eastAsia="宋体" w:hint="default"/>
                <w:sz w:val="18"/>
                <w:szCs w:val="18"/>
              </w:rPr>
              <w:t>前期差</w:t>
            </w:r>
          </w:p>
          <w:p>
            <w:pPr>
              <w:pStyle w:val="TableParagraph"/>
              <w:spacing w:line="240" w:lineRule="auto" w:before="77"/>
              <w:ind w:left="22" w:right="0"/>
              <w:jc w:val="left"/>
              <w:rPr>
                <w:rFonts w:ascii="宋体" w:hAnsi="宋体" w:cs="宋体" w:eastAsia="宋体" w:hint="default"/>
                <w:sz w:val="18"/>
                <w:szCs w:val="18"/>
              </w:rPr>
            </w:pPr>
            <w:r>
              <w:rPr>
                <w:rFonts w:ascii="宋体" w:hAnsi="宋体" w:cs="宋体" w:eastAsia="宋体" w:hint="default"/>
                <w:sz w:val="18"/>
                <w:szCs w:val="18"/>
              </w:rPr>
              <w:t>错更正</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pacing w:val="-7"/>
                <w:sz w:val="18"/>
                <w:szCs w:val="18"/>
              </w:rPr>
              <w:t>二、本年期初余额</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 w:right="0"/>
              <w:jc w:val="center"/>
              <w:rPr>
                <w:rFonts w:ascii="Times New Roman" w:hAnsi="Times New Roman" w:cs="Times New Roman" w:eastAsia="Times New Roman" w:hint="default"/>
                <w:sz w:val="18"/>
                <w:szCs w:val="18"/>
              </w:rPr>
            </w:pPr>
            <w:r>
              <w:rPr>
                <w:rFonts w:ascii="Times New Roman"/>
                <w:sz w:val="18"/>
              </w:rPr>
              <w:t>324,587,</w:t>
            </w:r>
          </w:p>
          <w:p>
            <w:pPr>
              <w:pStyle w:val="TableParagraph"/>
              <w:spacing w:line="240" w:lineRule="auto" w:before="106"/>
              <w:ind w:left="140" w:right="0"/>
              <w:jc w:val="center"/>
              <w:rPr>
                <w:rFonts w:ascii="Times New Roman" w:hAnsi="Times New Roman" w:cs="Times New Roman" w:eastAsia="Times New Roman" w:hint="default"/>
                <w:sz w:val="18"/>
                <w:szCs w:val="18"/>
              </w:rPr>
            </w:pPr>
            <w:r>
              <w:rPr>
                <w:rFonts w:ascii="Times New Roman"/>
                <w:sz w:val="18"/>
              </w:rPr>
              <w:t>301.00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689,027,6</w:t>
            </w:r>
          </w:p>
          <w:p>
            <w:pPr>
              <w:pStyle w:val="TableParagraph"/>
              <w:spacing w:line="240" w:lineRule="auto" w:before="106"/>
              <w:ind w:left="359" w:right="0"/>
              <w:jc w:val="left"/>
              <w:rPr>
                <w:rFonts w:ascii="Times New Roman" w:hAnsi="Times New Roman" w:cs="Times New Roman" w:eastAsia="Times New Roman" w:hint="default"/>
                <w:sz w:val="18"/>
                <w:szCs w:val="18"/>
              </w:rPr>
            </w:pPr>
            <w:r>
              <w:rPr>
                <w:rFonts w:ascii="Times New Roman"/>
                <w:sz w:val="18"/>
              </w:rPr>
              <w:t>63.38</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2" w:right="0"/>
              <w:jc w:val="left"/>
              <w:rPr>
                <w:rFonts w:ascii="Times New Roman" w:hAnsi="Times New Roman" w:cs="Times New Roman" w:eastAsia="Times New Roman" w:hint="default"/>
                <w:sz w:val="18"/>
                <w:szCs w:val="18"/>
              </w:rPr>
            </w:pPr>
            <w:r>
              <w:rPr>
                <w:rFonts w:ascii="Times New Roman"/>
                <w:sz w:val="18"/>
              </w:rPr>
              <w:t>117,420,9</w:t>
            </w:r>
          </w:p>
          <w:p>
            <w:pPr>
              <w:pStyle w:val="TableParagraph"/>
              <w:spacing w:line="240" w:lineRule="auto" w:before="106"/>
              <w:ind w:left="361" w:right="0"/>
              <w:jc w:val="left"/>
              <w:rPr>
                <w:rFonts w:ascii="Times New Roman" w:hAnsi="Times New Roman" w:cs="Times New Roman" w:eastAsia="Times New Roman" w:hint="default"/>
                <w:sz w:val="18"/>
                <w:szCs w:val="18"/>
              </w:rPr>
            </w:pPr>
            <w:r>
              <w:rPr>
                <w:rFonts w:ascii="Times New Roman"/>
                <w:sz w:val="18"/>
              </w:rPr>
              <w:t>88.00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30,018,19</w:t>
            </w:r>
          </w:p>
          <w:p>
            <w:pPr>
              <w:pStyle w:val="TableParagraph"/>
              <w:spacing w:line="240" w:lineRule="auto" w:before="106"/>
              <w:ind w:left="449" w:right="0"/>
              <w:jc w:val="left"/>
              <w:rPr>
                <w:rFonts w:ascii="Times New Roman" w:hAnsi="Times New Roman" w:cs="Times New Roman" w:eastAsia="Times New Roman" w:hint="default"/>
                <w:sz w:val="18"/>
                <w:szCs w:val="18"/>
              </w:rPr>
            </w:pPr>
            <w:r>
              <w:rPr>
                <w:rFonts w:ascii="Times New Roman"/>
                <w:sz w:val="18"/>
              </w:rPr>
              <w:t>6.80</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8" w:right="0"/>
              <w:jc w:val="left"/>
              <w:rPr>
                <w:rFonts w:ascii="Times New Roman" w:hAnsi="Times New Roman" w:cs="Times New Roman" w:eastAsia="Times New Roman" w:hint="default"/>
                <w:sz w:val="18"/>
                <w:szCs w:val="18"/>
              </w:rPr>
            </w:pPr>
            <w:r>
              <w:rPr>
                <w:rFonts w:ascii="Times New Roman"/>
                <w:sz w:val="18"/>
              </w:rPr>
              <w:t>214,027</w:t>
            </w:r>
          </w:p>
          <w:p>
            <w:pPr>
              <w:pStyle w:val="TableParagraph"/>
              <w:spacing w:line="240" w:lineRule="auto" w:before="106"/>
              <w:ind w:left="103" w:right="0"/>
              <w:jc w:val="left"/>
              <w:rPr>
                <w:rFonts w:ascii="Times New Roman" w:hAnsi="Times New Roman" w:cs="Times New Roman" w:eastAsia="Times New Roman" w:hint="default"/>
                <w:sz w:val="18"/>
                <w:szCs w:val="18"/>
              </w:rPr>
            </w:pPr>
            <w:r>
              <w:rPr>
                <w:rFonts w:ascii="Times New Roman"/>
                <w:sz w:val="18"/>
              </w:rPr>
              <w:t>,026.04</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 w:right="0"/>
              <w:jc w:val="center"/>
              <w:rPr>
                <w:rFonts w:ascii="Times New Roman" w:hAnsi="Times New Roman" w:cs="Times New Roman" w:eastAsia="Times New Roman" w:hint="default"/>
                <w:sz w:val="18"/>
                <w:szCs w:val="18"/>
              </w:rPr>
            </w:pPr>
            <w:r>
              <w:rPr>
                <w:rFonts w:ascii="Times New Roman"/>
                <w:sz w:val="18"/>
              </w:rPr>
              <w:t>1,140,239</w:t>
            </w:r>
          </w:p>
          <w:p>
            <w:pPr>
              <w:pStyle w:val="TableParagraph"/>
              <w:spacing w:line="240" w:lineRule="auto" w:before="106"/>
              <w:ind w:left="184" w:right="0"/>
              <w:jc w:val="center"/>
              <w:rPr>
                <w:rFonts w:ascii="Times New Roman" w:hAnsi="Times New Roman" w:cs="Times New Roman" w:eastAsia="Times New Roman" w:hint="default"/>
                <w:sz w:val="18"/>
                <w:szCs w:val="18"/>
              </w:rPr>
            </w:pPr>
            <w:r>
              <w:rPr>
                <w:rFonts w:ascii="Times New Roman"/>
                <w:sz w:val="18"/>
              </w:rPr>
              <w:t>,199.22</w:t>
            </w:r>
          </w:p>
        </w:tc>
      </w:tr>
      <w:tr>
        <w:trPr>
          <w:trHeight w:val="1026"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22" w:right="21"/>
              <w:jc w:val="both"/>
              <w:rPr>
                <w:rFonts w:ascii="宋体" w:hAnsi="宋体" w:cs="宋体" w:eastAsia="宋体" w:hint="default"/>
                <w:sz w:val="18"/>
                <w:szCs w:val="18"/>
              </w:rPr>
            </w:pPr>
            <w:r>
              <w:rPr>
                <w:rFonts w:ascii="宋体" w:hAnsi="宋体" w:cs="宋体" w:eastAsia="宋体" w:hint="default"/>
                <w:spacing w:val="-7"/>
                <w:sz w:val="18"/>
                <w:szCs w:val="18"/>
              </w:rPr>
              <w:t>三、本期增减变动</w:t>
            </w:r>
            <w:r>
              <w:rPr>
                <w:rFonts w:ascii="宋体" w:hAnsi="宋体" w:cs="宋体" w:eastAsia="宋体" w:hint="default"/>
                <w:sz w:val="18"/>
                <w:szCs w:val="18"/>
              </w:rPr>
              <w:t> </w:t>
            </w:r>
            <w:r>
              <w:rPr>
                <w:rFonts w:ascii="宋体" w:hAnsi="宋体" w:cs="宋体" w:eastAsia="宋体" w:hint="default"/>
                <w:spacing w:val="-4"/>
                <w:sz w:val="18"/>
                <w:szCs w:val="18"/>
              </w:rPr>
              <w:t>金额（减少以</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w:t>
            </w:r>
            <w:r>
              <w:rPr>
                <w:rFonts w:ascii="Times New Roman" w:hAnsi="Times New Roman" w:cs="Times New Roman" w:eastAsia="Times New Roman" w:hint="default"/>
                <w:w w:val="100"/>
                <w:sz w:val="18"/>
                <w:szCs w:val="18"/>
              </w:rPr>
              <w:t> </w:t>
            </w:r>
            <w:r>
              <w:rPr>
                <w:rFonts w:ascii="宋体" w:hAnsi="宋体" w:cs="宋体" w:eastAsia="宋体" w:hint="default"/>
                <w:sz w:val="18"/>
                <w:szCs w:val="18"/>
              </w:rPr>
              <w:t>号填列）</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26" w:right="0"/>
              <w:jc w:val="left"/>
              <w:rPr>
                <w:rFonts w:ascii="Times New Roman" w:hAnsi="Times New Roman" w:cs="Times New Roman" w:eastAsia="Times New Roman" w:hint="default"/>
                <w:sz w:val="18"/>
                <w:szCs w:val="18"/>
              </w:rPr>
            </w:pPr>
            <w:r>
              <w:rPr>
                <w:rFonts w:ascii="Times New Roman"/>
                <w:sz w:val="18"/>
              </w:rPr>
              <w:t>-111,800</w:t>
            </w:r>
          </w:p>
          <w:p>
            <w:pPr>
              <w:pStyle w:val="TableParagraph"/>
              <w:spacing w:line="240" w:lineRule="auto" w:before="106"/>
              <w:ind w:left="433" w:right="0"/>
              <w:jc w:val="left"/>
              <w:rPr>
                <w:rFonts w:ascii="Times New Roman" w:hAnsi="Times New Roman" w:cs="Times New Roman" w:eastAsia="Times New Roman" w:hint="default"/>
                <w:sz w:val="18"/>
                <w:szCs w:val="18"/>
              </w:rPr>
            </w:pPr>
            <w:r>
              <w:rPr>
                <w:rFonts w:ascii="Times New Roman"/>
                <w:sz w:val="18"/>
              </w:rPr>
              <w:t>.00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4" w:right="0"/>
              <w:jc w:val="left"/>
              <w:rPr>
                <w:rFonts w:ascii="Times New Roman" w:hAnsi="Times New Roman" w:cs="Times New Roman" w:eastAsia="Times New Roman" w:hint="default"/>
                <w:sz w:val="18"/>
                <w:szCs w:val="18"/>
              </w:rPr>
            </w:pPr>
            <w:r>
              <w:rPr>
                <w:rFonts w:ascii="Times New Roman"/>
                <w:sz w:val="18"/>
              </w:rPr>
              <w:t>13,055,40</w:t>
            </w:r>
          </w:p>
          <w:p>
            <w:pPr>
              <w:pStyle w:val="TableParagraph"/>
              <w:spacing w:line="240" w:lineRule="auto" w:before="106"/>
              <w:ind w:left="449" w:right="0"/>
              <w:jc w:val="left"/>
              <w:rPr>
                <w:rFonts w:ascii="Times New Roman" w:hAnsi="Times New Roman" w:cs="Times New Roman" w:eastAsia="Times New Roman" w:hint="default"/>
                <w:sz w:val="18"/>
                <w:szCs w:val="18"/>
              </w:rPr>
            </w:pPr>
            <w:r>
              <w:rPr>
                <w:rFonts w:ascii="Times New Roman"/>
                <w:sz w:val="18"/>
              </w:rPr>
              <w:t>6.60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75" w:right="0"/>
              <w:jc w:val="left"/>
              <w:rPr>
                <w:rFonts w:ascii="Times New Roman" w:hAnsi="Times New Roman" w:cs="Times New Roman" w:eastAsia="Times New Roman" w:hint="default"/>
                <w:sz w:val="18"/>
                <w:szCs w:val="18"/>
              </w:rPr>
            </w:pPr>
            <w:r>
              <w:rPr>
                <w:rFonts w:ascii="Times New Roman"/>
                <w:sz w:val="18"/>
              </w:rPr>
              <w:t>-47,892,4</w:t>
            </w:r>
          </w:p>
          <w:p>
            <w:pPr>
              <w:pStyle w:val="TableParagraph"/>
              <w:spacing w:line="240" w:lineRule="auto" w:before="106"/>
              <w:ind w:left="361" w:right="0"/>
              <w:jc w:val="left"/>
              <w:rPr>
                <w:rFonts w:ascii="Times New Roman" w:hAnsi="Times New Roman" w:cs="Times New Roman" w:eastAsia="Times New Roman" w:hint="default"/>
                <w:sz w:val="18"/>
                <w:szCs w:val="18"/>
              </w:rPr>
            </w:pPr>
            <w:r>
              <w:rPr>
                <w:rFonts w:ascii="Times New Roman"/>
                <w:sz w:val="18"/>
              </w:rPr>
              <w:t>34.20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9,509,370</w:t>
            </w:r>
          </w:p>
          <w:p>
            <w:pPr>
              <w:pStyle w:val="TableParagraph"/>
              <w:spacing w:line="240" w:lineRule="auto" w:before="106"/>
              <w:ind w:right="19"/>
              <w:jc w:val="right"/>
              <w:rPr>
                <w:rFonts w:ascii="Times New Roman" w:hAnsi="Times New Roman" w:cs="Times New Roman" w:eastAsia="Times New Roman" w:hint="default"/>
                <w:sz w:val="18"/>
                <w:szCs w:val="18"/>
              </w:rPr>
            </w:pPr>
            <w:r>
              <w:rPr>
                <w:rFonts w:ascii="Times New Roman"/>
                <w:sz w:val="18"/>
              </w:rPr>
              <w:t>.38</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67,729,</w:t>
            </w:r>
          </w:p>
          <w:p>
            <w:pPr>
              <w:pStyle w:val="TableParagraph"/>
              <w:spacing w:line="240" w:lineRule="auto" w:before="106"/>
              <w:ind w:left="148" w:right="0"/>
              <w:jc w:val="left"/>
              <w:rPr>
                <w:rFonts w:ascii="Times New Roman" w:hAnsi="Times New Roman" w:cs="Times New Roman" w:eastAsia="Times New Roman" w:hint="default"/>
                <w:sz w:val="18"/>
                <w:szCs w:val="18"/>
              </w:rPr>
            </w:pPr>
            <w:r>
              <w:rPr>
                <w:rFonts w:ascii="Times New Roman"/>
                <w:sz w:val="18"/>
              </w:rPr>
              <w:t>996.89</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27" w:right="0"/>
              <w:jc w:val="left"/>
              <w:rPr>
                <w:rFonts w:ascii="Times New Roman" w:hAnsi="Times New Roman" w:cs="Times New Roman" w:eastAsia="Times New Roman" w:hint="default"/>
                <w:sz w:val="18"/>
                <w:szCs w:val="18"/>
              </w:rPr>
            </w:pPr>
            <w:r>
              <w:rPr>
                <w:rFonts w:ascii="Times New Roman"/>
                <w:sz w:val="18"/>
              </w:rPr>
              <w:t>138,075,4</w:t>
            </w:r>
          </w:p>
          <w:p>
            <w:pPr>
              <w:pStyle w:val="TableParagraph"/>
              <w:spacing w:line="240" w:lineRule="auto" w:before="106"/>
              <w:ind w:left="343" w:right="0"/>
              <w:jc w:val="left"/>
              <w:rPr>
                <w:rFonts w:ascii="Times New Roman" w:hAnsi="Times New Roman" w:cs="Times New Roman" w:eastAsia="Times New Roman" w:hint="default"/>
                <w:sz w:val="18"/>
                <w:szCs w:val="18"/>
              </w:rPr>
            </w:pPr>
            <w:r>
              <w:rPr>
                <w:rFonts w:ascii="Times New Roman"/>
                <w:sz w:val="18"/>
              </w:rPr>
              <w:t>08.07</w:t>
            </w: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22"/>
              <w:jc w:val="left"/>
              <w:rPr>
                <w:rFonts w:ascii="宋体" w:hAnsi="宋体" w:cs="宋体" w:eastAsia="宋体" w:hint="default"/>
                <w:sz w:val="18"/>
                <w:szCs w:val="18"/>
              </w:rPr>
            </w:pPr>
            <w:r>
              <w:rPr>
                <w:rFonts w:ascii="宋体" w:hAnsi="宋体" w:cs="宋体" w:eastAsia="宋体" w:hint="default"/>
                <w:spacing w:val="-7"/>
                <w:sz w:val="18"/>
                <w:szCs w:val="18"/>
              </w:rPr>
              <w:t>（一）综合收益总</w:t>
            </w:r>
            <w:r>
              <w:rPr>
                <w:rFonts w:ascii="宋体" w:hAnsi="宋体" w:cs="宋体" w:eastAsia="宋体" w:hint="default"/>
                <w:sz w:val="18"/>
                <w:szCs w:val="18"/>
              </w:rPr>
              <w:t> 额</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95,093,</w:t>
            </w:r>
          </w:p>
          <w:p>
            <w:pPr>
              <w:pStyle w:val="TableParagraph"/>
              <w:spacing w:line="240" w:lineRule="auto" w:before="106"/>
              <w:ind w:left="148" w:right="0"/>
              <w:jc w:val="left"/>
              <w:rPr>
                <w:rFonts w:ascii="Times New Roman" w:hAnsi="Times New Roman" w:cs="Times New Roman" w:eastAsia="Times New Roman" w:hint="default"/>
                <w:sz w:val="18"/>
                <w:szCs w:val="18"/>
              </w:rPr>
            </w:pPr>
            <w:r>
              <w:rPr>
                <w:rFonts w:ascii="Times New Roman"/>
                <w:sz w:val="18"/>
              </w:rPr>
              <w:t>703.83</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7" w:right="0"/>
              <w:jc w:val="left"/>
              <w:rPr>
                <w:rFonts w:ascii="Times New Roman" w:hAnsi="Times New Roman" w:cs="Times New Roman" w:eastAsia="Times New Roman" w:hint="default"/>
                <w:sz w:val="18"/>
                <w:szCs w:val="18"/>
              </w:rPr>
            </w:pPr>
            <w:r>
              <w:rPr>
                <w:rFonts w:ascii="Times New Roman"/>
                <w:sz w:val="18"/>
              </w:rPr>
              <w:t>95,093,70</w:t>
            </w:r>
          </w:p>
          <w:p>
            <w:pPr>
              <w:pStyle w:val="TableParagraph"/>
              <w:spacing w:line="240" w:lineRule="auto" w:before="106"/>
              <w:ind w:left="433" w:right="0"/>
              <w:jc w:val="left"/>
              <w:rPr>
                <w:rFonts w:ascii="Times New Roman" w:hAnsi="Times New Roman" w:cs="Times New Roman" w:eastAsia="Times New Roman" w:hint="default"/>
                <w:sz w:val="18"/>
                <w:szCs w:val="18"/>
              </w:rPr>
            </w:pPr>
            <w:r>
              <w:rPr>
                <w:rFonts w:ascii="Times New Roman"/>
                <w:sz w:val="18"/>
              </w:rPr>
              <w:t>3.83</w:t>
            </w: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22"/>
              <w:jc w:val="left"/>
              <w:rPr>
                <w:rFonts w:ascii="宋体" w:hAnsi="宋体" w:cs="宋体" w:eastAsia="宋体" w:hint="default"/>
                <w:sz w:val="18"/>
                <w:szCs w:val="18"/>
              </w:rPr>
            </w:pPr>
            <w:r>
              <w:rPr>
                <w:rFonts w:ascii="宋体" w:hAnsi="宋体" w:cs="宋体" w:eastAsia="宋体" w:hint="default"/>
                <w:spacing w:val="-7"/>
                <w:sz w:val="18"/>
                <w:szCs w:val="18"/>
              </w:rPr>
              <w:t>（二）所有者投入</w:t>
            </w:r>
            <w:r>
              <w:rPr>
                <w:rFonts w:ascii="宋体" w:hAnsi="宋体" w:cs="宋体" w:eastAsia="宋体" w:hint="default"/>
                <w:sz w:val="18"/>
                <w:szCs w:val="18"/>
              </w:rPr>
              <w:t> 和减少资本</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-111,800</w:t>
            </w:r>
          </w:p>
          <w:p>
            <w:pPr>
              <w:pStyle w:val="TableParagraph"/>
              <w:spacing w:line="240" w:lineRule="auto" w:before="106"/>
              <w:ind w:left="433" w:right="0"/>
              <w:jc w:val="left"/>
              <w:rPr>
                <w:rFonts w:ascii="Times New Roman" w:hAnsi="Times New Roman" w:cs="Times New Roman" w:eastAsia="Times New Roman" w:hint="default"/>
                <w:sz w:val="18"/>
                <w:szCs w:val="18"/>
              </w:rPr>
            </w:pPr>
            <w:r>
              <w:rPr>
                <w:rFonts w:ascii="Times New Roman"/>
                <w:sz w:val="18"/>
              </w:rPr>
              <w:t>.00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13,055,40</w:t>
            </w:r>
          </w:p>
          <w:p>
            <w:pPr>
              <w:pStyle w:val="TableParagraph"/>
              <w:spacing w:line="240" w:lineRule="auto" w:before="106"/>
              <w:ind w:left="449" w:right="0"/>
              <w:jc w:val="left"/>
              <w:rPr>
                <w:rFonts w:ascii="Times New Roman" w:hAnsi="Times New Roman" w:cs="Times New Roman" w:eastAsia="Times New Roman" w:hint="default"/>
                <w:sz w:val="18"/>
                <w:szCs w:val="18"/>
              </w:rPr>
            </w:pPr>
            <w:r>
              <w:rPr>
                <w:rFonts w:ascii="Times New Roman"/>
                <w:sz w:val="18"/>
              </w:rPr>
              <w:t>6.60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5" w:right="0"/>
              <w:jc w:val="left"/>
              <w:rPr>
                <w:rFonts w:ascii="Times New Roman" w:hAnsi="Times New Roman" w:cs="Times New Roman" w:eastAsia="Times New Roman" w:hint="default"/>
                <w:sz w:val="18"/>
                <w:szCs w:val="18"/>
              </w:rPr>
            </w:pPr>
            <w:r>
              <w:rPr>
                <w:rFonts w:ascii="Times New Roman"/>
                <w:sz w:val="18"/>
              </w:rPr>
              <w:t>-47,892,4</w:t>
            </w:r>
          </w:p>
          <w:p>
            <w:pPr>
              <w:pStyle w:val="TableParagraph"/>
              <w:spacing w:line="240" w:lineRule="auto" w:before="106"/>
              <w:ind w:left="361" w:right="0"/>
              <w:jc w:val="left"/>
              <w:rPr>
                <w:rFonts w:ascii="Times New Roman" w:hAnsi="Times New Roman" w:cs="Times New Roman" w:eastAsia="Times New Roman" w:hint="default"/>
                <w:sz w:val="18"/>
                <w:szCs w:val="18"/>
              </w:rPr>
            </w:pPr>
            <w:r>
              <w:rPr>
                <w:rFonts w:ascii="Times New Roman"/>
                <w:sz w:val="18"/>
              </w:rPr>
              <w:t>34.20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7" w:right="0"/>
              <w:jc w:val="left"/>
              <w:rPr>
                <w:rFonts w:ascii="Times New Roman" w:hAnsi="Times New Roman" w:cs="Times New Roman" w:eastAsia="Times New Roman" w:hint="default"/>
                <w:sz w:val="18"/>
                <w:szCs w:val="18"/>
              </w:rPr>
            </w:pPr>
            <w:r>
              <w:rPr>
                <w:rFonts w:ascii="Times New Roman"/>
                <w:sz w:val="18"/>
              </w:rPr>
              <w:t>60,836,04</w:t>
            </w:r>
          </w:p>
          <w:p>
            <w:pPr>
              <w:pStyle w:val="TableParagraph"/>
              <w:spacing w:line="240" w:lineRule="auto" w:before="106"/>
              <w:ind w:left="433" w:right="0"/>
              <w:jc w:val="left"/>
              <w:rPr>
                <w:rFonts w:ascii="Times New Roman" w:hAnsi="Times New Roman" w:cs="Times New Roman" w:eastAsia="Times New Roman" w:hint="default"/>
                <w:sz w:val="18"/>
                <w:szCs w:val="18"/>
              </w:rPr>
            </w:pPr>
            <w:r>
              <w:rPr>
                <w:rFonts w:ascii="Times New Roman"/>
                <w:sz w:val="18"/>
              </w:rPr>
              <w:t>0.80</w:t>
            </w: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．所有者投入的 普通股</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-111,800</w:t>
            </w:r>
          </w:p>
          <w:p>
            <w:pPr>
              <w:pStyle w:val="TableParagraph"/>
              <w:spacing w:line="240" w:lineRule="auto" w:before="106"/>
              <w:ind w:left="433" w:right="0"/>
              <w:jc w:val="left"/>
              <w:rPr>
                <w:rFonts w:ascii="Times New Roman" w:hAnsi="Times New Roman" w:cs="Times New Roman" w:eastAsia="Times New Roman" w:hint="default"/>
                <w:sz w:val="18"/>
                <w:szCs w:val="18"/>
              </w:rPr>
            </w:pPr>
            <w:r>
              <w:rPr>
                <w:rFonts w:ascii="Times New Roman"/>
                <w:sz w:val="18"/>
              </w:rPr>
              <w:t>.00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4" w:right="0"/>
              <w:jc w:val="left"/>
              <w:rPr>
                <w:rFonts w:ascii="Times New Roman" w:hAnsi="Times New Roman" w:cs="Times New Roman" w:eastAsia="Times New Roman" w:hint="default"/>
                <w:sz w:val="18"/>
                <w:szCs w:val="18"/>
              </w:rPr>
            </w:pPr>
            <w:r>
              <w:rPr>
                <w:rFonts w:ascii="Times New Roman"/>
                <w:sz w:val="18"/>
              </w:rPr>
              <w:t>-1,271,16</w:t>
            </w:r>
          </w:p>
          <w:p>
            <w:pPr>
              <w:pStyle w:val="TableParagraph"/>
              <w:spacing w:line="240" w:lineRule="auto" w:before="106"/>
              <w:ind w:left="449" w:right="0"/>
              <w:jc w:val="left"/>
              <w:rPr>
                <w:rFonts w:ascii="Times New Roman" w:hAnsi="Times New Roman" w:cs="Times New Roman" w:eastAsia="Times New Roman" w:hint="default"/>
                <w:sz w:val="18"/>
                <w:szCs w:val="18"/>
              </w:rPr>
            </w:pPr>
            <w:r>
              <w:rPr>
                <w:rFonts w:ascii="Times New Roman"/>
                <w:sz w:val="18"/>
              </w:rPr>
              <w:t>6.00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7" w:right="0"/>
              <w:jc w:val="left"/>
              <w:rPr>
                <w:rFonts w:ascii="Times New Roman" w:hAnsi="Times New Roman" w:cs="Times New Roman" w:eastAsia="Times New Roman" w:hint="default"/>
                <w:sz w:val="18"/>
                <w:szCs w:val="18"/>
              </w:rPr>
            </w:pPr>
            <w:r>
              <w:rPr>
                <w:rFonts w:ascii="Times New Roman"/>
                <w:sz w:val="18"/>
              </w:rPr>
              <w:t>-1,382,96</w:t>
            </w:r>
          </w:p>
          <w:p>
            <w:pPr>
              <w:pStyle w:val="TableParagraph"/>
              <w:spacing w:line="240" w:lineRule="auto" w:before="106"/>
              <w:ind w:left="433" w:right="0"/>
              <w:jc w:val="left"/>
              <w:rPr>
                <w:rFonts w:ascii="Times New Roman" w:hAnsi="Times New Roman" w:cs="Times New Roman" w:eastAsia="Times New Roman" w:hint="default"/>
                <w:sz w:val="18"/>
                <w:szCs w:val="18"/>
              </w:rPr>
            </w:pPr>
            <w:r>
              <w:rPr>
                <w:rFonts w:ascii="Times New Roman"/>
                <w:sz w:val="18"/>
              </w:rPr>
              <w:t>6.00</w:t>
            </w: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．其他权益工具 持有者投入资本</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．股份支付计入 所有者权益的金 额</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4" w:right="0"/>
              <w:jc w:val="left"/>
              <w:rPr>
                <w:rFonts w:ascii="Times New Roman" w:hAnsi="Times New Roman" w:cs="Times New Roman" w:eastAsia="Times New Roman" w:hint="default"/>
                <w:sz w:val="18"/>
                <w:szCs w:val="18"/>
              </w:rPr>
            </w:pPr>
            <w:r>
              <w:rPr>
                <w:rFonts w:ascii="Times New Roman"/>
                <w:sz w:val="18"/>
              </w:rPr>
              <w:t>14,326,57</w:t>
            </w:r>
          </w:p>
          <w:p>
            <w:pPr>
              <w:pStyle w:val="TableParagraph"/>
              <w:spacing w:line="240" w:lineRule="auto" w:before="106"/>
              <w:ind w:left="449" w:right="0"/>
              <w:jc w:val="left"/>
              <w:rPr>
                <w:rFonts w:ascii="Times New Roman" w:hAnsi="Times New Roman" w:cs="Times New Roman" w:eastAsia="Times New Roman" w:hint="default"/>
                <w:sz w:val="18"/>
                <w:szCs w:val="18"/>
              </w:rPr>
            </w:pPr>
            <w:r>
              <w:rPr>
                <w:rFonts w:ascii="Times New Roman"/>
                <w:sz w:val="18"/>
              </w:rPr>
              <w:t>2.60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75" w:right="0"/>
              <w:jc w:val="left"/>
              <w:rPr>
                <w:rFonts w:ascii="Times New Roman" w:hAnsi="Times New Roman" w:cs="Times New Roman" w:eastAsia="Times New Roman" w:hint="default"/>
                <w:sz w:val="18"/>
                <w:szCs w:val="18"/>
              </w:rPr>
            </w:pPr>
            <w:r>
              <w:rPr>
                <w:rFonts w:ascii="Times New Roman"/>
                <w:sz w:val="18"/>
              </w:rPr>
              <w:t>-47,892,4</w:t>
            </w:r>
          </w:p>
          <w:p>
            <w:pPr>
              <w:pStyle w:val="TableParagraph"/>
              <w:spacing w:line="240" w:lineRule="auto" w:before="106"/>
              <w:ind w:left="361" w:right="0"/>
              <w:jc w:val="left"/>
              <w:rPr>
                <w:rFonts w:ascii="Times New Roman" w:hAnsi="Times New Roman" w:cs="Times New Roman" w:eastAsia="Times New Roman" w:hint="default"/>
                <w:sz w:val="18"/>
                <w:szCs w:val="18"/>
              </w:rPr>
            </w:pPr>
            <w:r>
              <w:rPr>
                <w:rFonts w:ascii="Times New Roman"/>
                <w:sz w:val="18"/>
              </w:rPr>
              <w:t>34.20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27" w:right="0"/>
              <w:jc w:val="left"/>
              <w:rPr>
                <w:rFonts w:ascii="Times New Roman" w:hAnsi="Times New Roman" w:cs="Times New Roman" w:eastAsia="Times New Roman" w:hint="default"/>
                <w:sz w:val="18"/>
                <w:szCs w:val="18"/>
              </w:rPr>
            </w:pPr>
            <w:r>
              <w:rPr>
                <w:rFonts w:ascii="Times New Roman"/>
                <w:sz w:val="18"/>
              </w:rPr>
              <w:t>62,219,00</w:t>
            </w:r>
          </w:p>
          <w:p>
            <w:pPr>
              <w:pStyle w:val="TableParagraph"/>
              <w:spacing w:line="240" w:lineRule="auto" w:before="106"/>
              <w:ind w:left="433" w:right="0"/>
              <w:jc w:val="left"/>
              <w:rPr>
                <w:rFonts w:ascii="Times New Roman" w:hAnsi="Times New Roman" w:cs="Times New Roman" w:eastAsia="Times New Roman" w:hint="default"/>
                <w:sz w:val="18"/>
                <w:szCs w:val="18"/>
              </w:rPr>
            </w:pPr>
            <w:r>
              <w:rPr>
                <w:rFonts w:ascii="Times New Roman"/>
                <w:sz w:val="18"/>
              </w:rPr>
              <w:t>6.80</w:t>
            </w: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（三）利润分配</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9,509,370</w:t>
            </w:r>
          </w:p>
          <w:p>
            <w:pPr>
              <w:pStyle w:val="TableParagraph"/>
              <w:spacing w:line="240" w:lineRule="auto" w:before="106"/>
              <w:ind w:right="19"/>
              <w:jc w:val="right"/>
              <w:rPr>
                <w:rFonts w:ascii="Times New Roman" w:hAnsi="Times New Roman" w:cs="Times New Roman" w:eastAsia="Times New Roman" w:hint="default"/>
                <w:sz w:val="18"/>
                <w:szCs w:val="18"/>
              </w:rPr>
            </w:pPr>
            <w:r>
              <w:rPr>
                <w:rFonts w:ascii="Times New Roman"/>
                <w:sz w:val="18"/>
              </w:rPr>
              <w:t>.38</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 w:right="0"/>
              <w:jc w:val="center"/>
              <w:rPr>
                <w:rFonts w:ascii="Times New Roman" w:hAnsi="Times New Roman" w:cs="Times New Roman" w:eastAsia="Times New Roman" w:hint="default"/>
                <w:sz w:val="18"/>
                <w:szCs w:val="18"/>
              </w:rPr>
            </w:pPr>
            <w:r>
              <w:rPr>
                <w:rFonts w:ascii="Times New Roman"/>
                <w:sz w:val="18"/>
              </w:rPr>
              <w:t>-27,363,</w:t>
            </w:r>
          </w:p>
          <w:p>
            <w:pPr>
              <w:pStyle w:val="TableParagraph"/>
              <w:spacing w:line="240" w:lineRule="auto" w:before="106"/>
              <w:ind w:left="126" w:right="0"/>
              <w:jc w:val="center"/>
              <w:rPr>
                <w:rFonts w:ascii="Times New Roman" w:hAnsi="Times New Roman" w:cs="Times New Roman" w:eastAsia="Times New Roman" w:hint="default"/>
                <w:sz w:val="18"/>
                <w:szCs w:val="18"/>
              </w:rPr>
            </w:pPr>
            <w:r>
              <w:rPr>
                <w:rFonts w:ascii="Times New Roman"/>
                <w:sz w:val="18"/>
              </w:rPr>
              <w:t>706.94</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7" w:right="0"/>
              <w:jc w:val="left"/>
              <w:rPr>
                <w:rFonts w:ascii="Times New Roman" w:hAnsi="Times New Roman" w:cs="Times New Roman" w:eastAsia="Times New Roman" w:hint="default"/>
                <w:sz w:val="18"/>
                <w:szCs w:val="18"/>
              </w:rPr>
            </w:pPr>
            <w:r>
              <w:rPr>
                <w:rFonts w:ascii="Times New Roman"/>
                <w:sz w:val="18"/>
              </w:rPr>
              <w:t>-17,854,3</w:t>
            </w:r>
          </w:p>
          <w:p>
            <w:pPr>
              <w:pStyle w:val="TableParagraph"/>
              <w:spacing w:line="240" w:lineRule="auto" w:before="106"/>
              <w:ind w:left="343" w:right="0"/>
              <w:jc w:val="left"/>
              <w:rPr>
                <w:rFonts w:ascii="Times New Roman" w:hAnsi="Times New Roman" w:cs="Times New Roman" w:eastAsia="Times New Roman" w:hint="default"/>
                <w:sz w:val="18"/>
                <w:szCs w:val="18"/>
              </w:rPr>
            </w:pPr>
            <w:r>
              <w:rPr>
                <w:rFonts w:ascii="Times New Roman"/>
                <w:sz w:val="18"/>
              </w:rPr>
              <w:t>36.56</w:t>
            </w: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9,509,370</w:t>
            </w:r>
          </w:p>
          <w:p>
            <w:pPr>
              <w:pStyle w:val="TableParagraph"/>
              <w:spacing w:line="240" w:lineRule="auto" w:before="106"/>
              <w:ind w:right="19"/>
              <w:jc w:val="right"/>
              <w:rPr>
                <w:rFonts w:ascii="Times New Roman" w:hAnsi="Times New Roman" w:cs="Times New Roman" w:eastAsia="Times New Roman" w:hint="default"/>
                <w:sz w:val="18"/>
                <w:szCs w:val="18"/>
              </w:rPr>
            </w:pPr>
            <w:r>
              <w:rPr>
                <w:rFonts w:ascii="Times New Roman"/>
                <w:sz w:val="18"/>
              </w:rPr>
              <w:t>.38</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1" w:right="0"/>
              <w:jc w:val="center"/>
              <w:rPr>
                <w:rFonts w:ascii="Times New Roman" w:hAnsi="Times New Roman" w:cs="Times New Roman" w:eastAsia="Times New Roman" w:hint="default"/>
                <w:sz w:val="18"/>
                <w:szCs w:val="18"/>
              </w:rPr>
            </w:pPr>
            <w:r>
              <w:rPr>
                <w:rFonts w:ascii="Times New Roman"/>
                <w:sz w:val="18"/>
              </w:rPr>
              <w:t>-9,509,3</w:t>
            </w:r>
          </w:p>
          <w:p>
            <w:pPr>
              <w:pStyle w:val="TableParagraph"/>
              <w:spacing w:line="240" w:lineRule="auto" w:before="106"/>
              <w:ind w:left="216" w:right="0"/>
              <w:jc w:val="center"/>
              <w:rPr>
                <w:rFonts w:ascii="Times New Roman" w:hAnsi="Times New Roman" w:cs="Times New Roman" w:eastAsia="Times New Roman" w:hint="default"/>
                <w:sz w:val="18"/>
                <w:szCs w:val="18"/>
              </w:rPr>
            </w:pPr>
            <w:r>
              <w:rPr>
                <w:rFonts w:ascii="Times New Roman"/>
                <w:sz w:val="18"/>
              </w:rPr>
              <w:t>70.38</w:t>
            </w: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．对所有者（或 股东）的分配</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 w:right="0"/>
              <w:jc w:val="center"/>
              <w:rPr>
                <w:rFonts w:ascii="Times New Roman" w:hAnsi="Times New Roman" w:cs="Times New Roman" w:eastAsia="Times New Roman" w:hint="default"/>
                <w:sz w:val="18"/>
                <w:szCs w:val="18"/>
              </w:rPr>
            </w:pPr>
            <w:r>
              <w:rPr>
                <w:rFonts w:ascii="Times New Roman"/>
                <w:sz w:val="18"/>
              </w:rPr>
              <w:t>-17,854,</w:t>
            </w:r>
          </w:p>
          <w:p>
            <w:pPr>
              <w:pStyle w:val="TableParagraph"/>
              <w:spacing w:line="240" w:lineRule="auto" w:before="106"/>
              <w:ind w:left="126" w:right="0"/>
              <w:jc w:val="center"/>
              <w:rPr>
                <w:rFonts w:ascii="Times New Roman" w:hAnsi="Times New Roman" w:cs="Times New Roman" w:eastAsia="Times New Roman" w:hint="default"/>
                <w:sz w:val="18"/>
                <w:szCs w:val="18"/>
              </w:rPr>
            </w:pPr>
            <w:r>
              <w:rPr>
                <w:rFonts w:ascii="Times New Roman"/>
                <w:sz w:val="18"/>
              </w:rPr>
              <w:t>336.56</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7" w:right="0"/>
              <w:jc w:val="left"/>
              <w:rPr>
                <w:rFonts w:ascii="Times New Roman" w:hAnsi="Times New Roman" w:cs="Times New Roman" w:eastAsia="Times New Roman" w:hint="default"/>
                <w:sz w:val="18"/>
                <w:szCs w:val="18"/>
              </w:rPr>
            </w:pPr>
            <w:r>
              <w:rPr>
                <w:rFonts w:ascii="Times New Roman"/>
                <w:sz w:val="18"/>
              </w:rPr>
              <w:t>-17,854,3</w:t>
            </w:r>
          </w:p>
          <w:p>
            <w:pPr>
              <w:pStyle w:val="TableParagraph"/>
              <w:spacing w:line="240" w:lineRule="auto" w:before="106"/>
              <w:ind w:left="343" w:right="0"/>
              <w:jc w:val="left"/>
              <w:rPr>
                <w:rFonts w:ascii="Times New Roman" w:hAnsi="Times New Roman" w:cs="Times New Roman" w:eastAsia="Times New Roman" w:hint="default"/>
                <w:sz w:val="18"/>
                <w:szCs w:val="18"/>
              </w:rPr>
            </w:pPr>
            <w:r>
              <w:rPr>
                <w:rFonts w:ascii="Times New Roman"/>
                <w:sz w:val="18"/>
              </w:rPr>
              <w:t>36.56</w:t>
            </w: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22"/>
              <w:jc w:val="left"/>
              <w:rPr>
                <w:rFonts w:ascii="宋体" w:hAnsi="宋体" w:cs="宋体" w:eastAsia="宋体" w:hint="default"/>
                <w:sz w:val="18"/>
                <w:szCs w:val="18"/>
              </w:rPr>
            </w:pPr>
            <w:r>
              <w:rPr>
                <w:rFonts w:ascii="宋体" w:hAnsi="宋体" w:cs="宋体" w:eastAsia="宋体" w:hint="default"/>
                <w:spacing w:val="-7"/>
                <w:sz w:val="18"/>
                <w:szCs w:val="18"/>
              </w:rPr>
              <w:t>（四）所有者权益</w:t>
            </w:r>
            <w:r>
              <w:rPr>
                <w:rFonts w:ascii="宋体" w:hAnsi="宋体" w:cs="宋体" w:eastAsia="宋体" w:hint="default"/>
                <w:sz w:val="18"/>
                <w:szCs w:val="18"/>
              </w:rPr>
              <w:t> 内部结转</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．资本公积转增 资本（或股本）</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．盈余公积转增 资本（或股本）</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 亏损</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67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．设定受益计划 变动额结转留存</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7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442"/>
        <w:gridCol w:w="691"/>
        <w:gridCol w:w="665"/>
        <w:gridCol w:w="665"/>
        <w:gridCol w:w="665"/>
        <w:gridCol w:w="797"/>
        <w:gridCol w:w="798"/>
        <w:gridCol w:w="798"/>
        <w:gridCol w:w="798"/>
        <w:gridCol w:w="797"/>
        <w:gridCol w:w="676"/>
        <w:gridCol w:w="781"/>
      </w:tblGrid>
      <w:tr>
        <w:trPr>
          <w:trHeight w:val="36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收益</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（五）专项储备</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pacing w:val="-7"/>
                <w:sz w:val="18"/>
                <w:szCs w:val="18"/>
              </w:rPr>
              <w:t>四、本期期末余额</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 w:right="0"/>
              <w:jc w:val="center"/>
              <w:rPr>
                <w:rFonts w:ascii="Times New Roman" w:hAnsi="Times New Roman" w:cs="Times New Roman" w:eastAsia="Times New Roman" w:hint="default"/>
                <w:sz w:val="18"/>
                <w:szCs w:val="18"/>
              </w:rPr>
            </w:pPr>
            <w:r>
              <w:rPr>
                <w:rFonts w:ascii="Times New Roman"/>
                <w:sz w:val="18"/>
              </w:rPr>
              <w:t>324,475,</w:t>
            </w:r>
          </w:p>
          <w:p>
            <w:pPr>
              <w:pStyle w:val="TableParagraph"/>
              <w:spacing w:line="240" w:lineRule="auto" w:before="105"/>
              <w:ind w:left="140" w:right="0"/>
              <w:jc w:val="center"/>
              <w:rPr>
                <w:rFonts w:ascii="Times New Roman" w:hAnsi="Times New Roman" w:cs="Times New Roman" w:eastAsia="Times New Roman" w:hint="default"/>
                <w:sz w:val="18"/>
                <w:szCs w:val="18"/>
              </w:rPr>
            </w:pPr>
            <w:r>
              <w:rPr>
                <w:rFonts w:ascii="Times New Roman"/>
                <w:sz w:val="18"/>
              </w:rPr>
              <w:t>501.00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702,083,0</w:t>
            </w:r>
          </w:p>
          <w:p>
            <w:pPr>
              <w:pStyle w:val="TableParagraph"/>
              <w:spacing w:line="240" w:lineRule="auto" w:before="105"/>
              <w:ind w:left="359" w:right="0"/>
              <w:jc w:val="left"/>
              <w:rPr>
                <w:rFonts w:ascii="Times New Roman" w:hAnsi="Times New Roman" w:cs="Times New Roman" w:eastAsia="Times New Roman" w:hint="default"/>
                <w:sz w:val="18"/>
                <w:szCs w:val="18"/>
              </w:rPr>
            </w:pPr>
            <w:r>
              <w:rPr>
                <w:rFonts w:ascii="Times New Roman"/>
                <w:sz w:val="18"/>
              </w:rPr>
              <w:t>69.98</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69,528,55</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3.80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39,527,56</w:t>
            </w:r>
          </w:p>
          <w:p>
            <w:pPr>
              <w:pStyle w:val="TableParagraph"/>
              <w:spacing w:line="240" w:lineRule="auto" w:before="105"/>
              <w:ind w:left="449" w:right="0"/>
              <w:jc w:val="left"/>
              <w:rPr>
                <w:rFonts w:ascii="Times New Roman" w:hAnsi="Times New Roman" w:cs="Times New Roman" w:eastAsia="Times New Roman" w:hint="default"/>
                <w:sz w:val="18"/>
                <w:szCs w:val="18"/>
              </w:rPr>
            </w:pPr>
            <w:r>
              <w:rPr>
                <w:rFonts w:ascii="Times New Roman"/>
                <w:sz w:val="18"/>
              </w:rPr>
              <w:t>7.18</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8" w:right="0"/>
              <w:jc w:val="left"/>
              <w:rPr>
                <w:rFonts w:ascii="Times New Roman" w:hAnsi="Times New Roman" w:cs="Times New Roman" w:eastAsia="Times New Roman" w:hint="default"/>
                <w:sz w:val="18"/>
                <w:szCs w:val="18"/>
              </w:rPr>
            </w:pPr>
            <w:r>
              <w:rPr>
                <w:rFonts w:ascii="Times New Roman"/>
                <w:sz w:val="18"/>
              </w:rPr>
              <w:t>281,757</w:t>
            </w:r>
          </w:p>
          <w:p>
            <w:pPr>
              <w:pStyle w:val="TableParagraph"/>
              <w:spacing w:line="240" w:lineRule="auto" w:before="105"/>
              <w:ind w:left="103" w:right="0"/>
              <w:jc w:val="left"/>
              <w:rPr>
                <w:rFonts w:ascii="Times New Roman" w:hAnsi="Times New Roman" w:cs="Times New Roman" w:eastAsia="Times New Roman" w:hint="default"/>
                <w:sz w:val="18"/>
                <w:szCs w:val="18"/>
              </w:rPr>
            </w:pPr>
            <w:r>
              <w:rPr>
                <w:rFonts w:ascii="Times New Roman"/>
                <w:sz w:val="18"/>
              </w:rPr>
              <w:t>,022.93</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 w:right="0"/>
              <w:jc w:val="center"/>
              <w:rPr>
                <w:rFonts w:ascii="Times New Roman" w:hAnsi="Times New Roman" w:cs="Times New Roman" w:eastAsia="Times New Roman" w:hint="default"/>
                <w:sz w:val="18"/>
                <w:szCs w:val="18"/>
              </w:rPr>
            </w:pPr>
            <w:r>
              <w:rPr>
                <w:rFonts w:ascii="Times New Roman"/>
                <w:sz w:val="18"/>
              </w:rPr>
              <w:t>1,278,314</w:t>
            </w:r>
          </w:p>
          <w:p>
            <w:pPr>
              <w:pStyle w:val="TableParagraph"/>
              <w:spacing w:line="240" w:lineRule="auto" w:before="105"/>
              <w:ind w:left="184" w:right="0"/>
              <w:jc w:val="center"/>
              <w:rPr>
                <w:rFonts w:ascii="Times New Roman" w:hAnsi="Times New Roman" w:cs="Times New Roman" w:eastAsia="Times New Roman" w:hint="default"/>
                <w:sz w:val="18"/>
                <w:szCs w:val="18"/>
              </w:rPr>
            </w:pPr>
            <w:r>
              <w:rPr>
                <w:rFonts w:ascii="Times New Roman"/>
                <w:sz w:val="18"/>
              </w:rPr>
              <w:t>,607.29</w:t>
            </w:r>
          </w:p>
        </w:tc>
      </w:tr>
    </w:tbl>
    <w:p>
      <w:pPr>
        <w:spacing w:line="240" w:lineRule="auto" w:before="7"/>
        <w:rPr>
          <w:rFonts w:ascii="Times New Roman" w:hAnsi="Times New Roman" w:cs="Times New Roman" w:eastAsia="Times New Roman" w:hint="default"/>
          <w:sz w:val="20"/>
          <w:szCs w:val="20"/>
        </w:rPr>
      </w:pPr>
    </w:p>
    <w:p>
      <w:pPr>
        <w:pStyle w:val="Heading2"/>
        <w:spacing w:line="240" w:lineRule="auto" w:before="26"/>
        <w:ind w:right="1117"/>
        <w:jc w:val="left"/>
        <w:rPr>
          <w:b w:val="0"/>
          <w:bCs w:val="0"/>
        </w:rPr>
      </w:pPr>
      <w:bookmarkStart w:name="三、公司基本情况" w:id="166"/>
      <w:bookmarkEnd w:id="166"/>
      <w:r>
        <w:rPr>
          <w:b w:val="0"/>
          <w:bCs w:val="0"/>
        </w:rPr>
      </w:r>
      <w:r>
        <w:rPr/>
        <w:t>三、公司基本情况</w:t>
      </w:r>
      <w:r>
        <w:rPr>
          <w:b w:val="0"/>
          <w:bCs w:val="0"/>
        </w:rPr>
      </w:r>
    </w:p>
    <w:p>
      <w:pPr>
        <w:spacing w:line="240" w:lineRule="auto" w:before="6"/>
        <w:rPr>
          <w:rFonts w:ascii="宋体" w:hAnsi="宋体" w:cs="宋体" w:eastAsia="宋体" w:hint="default"/>
          <w:b/>
          <w:bCs/>
          <w:sz w:val="30"/>
          <w:szCs w:val="30"/>
        </w:rPr>
      </w:pPr>
    </w:p>
    <w:p>
      <w:pPr>
        <w:pStyle w:val="BodyText"/>
        <w:spacing w:line="386" w:lineRule="auto" w:before="0"/>
        <w:ind w:right="1133" w:firstLine="423"/>
        <w:jc w:val="both"/>
      </w:pPr>
      <w:r>
        <w:rPr/>
        <w:t>新开普电子股份有限公司（以下简称</w:t>
      </w:r>
      <w:r>
        <w:rPr>
          <w:rFonts w:ascii="Times New Roman" w:hAnsi="Times New Roman" w:cs="Times New Roman" w:eastAsia="Times New Roman" w:hint="default"/>
        </w:rPr>
        <w:t>“</w:t>
      </w:r>
      <w:r>
        <w:rPr/>
        <w:t>公司</w:t>
      </w:r>
      <w:r>
        <w:rPr>
          <w:rFonts w:ascii="Times New Roman" w:hAnsi="Times New Roman" w:cs="Times New Roman" w:eastAsia="Times New Roman" w:hint="default"/>
        </w:rPr>
        <w:t>”</w:t>
      </w:r>
      <w:r>
        <w:rPr/>
        <w:t>、</w:t>
      </w:r>
      <w:r>
        <w:rPr>
          <w:rFonts w:ascii="Times New Roman" w:hAnsi="Times New Roman" w:cs="Times New Roman" w:eastAsia="Times New Roman" w:hint="default"/>
        </w:rPr>
        <w:t>“</w:t>
      </w:r>
      <w:r>
        <w:rPr/>
        <w:t>本公司</w:t>
      </w:r>
      <w:r>
        <w:rPr>
          <w:rFonts w:ascii="Times New Roman" w:hAnsi="Times New Roman" w:cs="Times New Roman" w:eastAsia="Times New Roman" w:hint="default"/>
        </w:rPr>
        <w:t>”</w:t>
      </w:r>
      <w:r>
        <w:rPr/>
        <w:t>或</w:t>
      </w:r>
      <w:r>
        <w:rPr>
          <w:rFonts w:ascii="Times New Roman" w:hAnsi="Times New Roman" w:cs="Times New Roman" w:eastAsia="Times New Roman" w:hint="default"/>
        </w:rPr>
        <w:t>“</w:t>
      </w:r>
      <w:r>
        <w:rPr/>
        <w:t>新开普</w:t>
      </w:r>
      <w:r>
        <w:rPr>
          <w:rFonts w:ascii="Times New Roman" w:hAnsi="Times New Roman" w:cs="Times New Roman" w:eastAsia="Times New Roman" w:hint="default"/>
        </w:rPr>
        <w:t>”</w:t>
      </w:r>
      <w:r>
        <w:rPr/>
        <w:t>）系由郑州新开普电子技术有限公 司（以下简称</w:t>
      </w:r>
      <w:r>
        <w:rPr>
          <w:rFonts w:ascii="Times New Roman" w:hAnsi="Times New Roman" w:cs="Times New Roman" w:eastAsia="Times New Roman" w:hint="default"/>
        </w:rPr>
        <w:t>“</w:t>
      </w:r>
      <w:r>
        <w:rPr/>
        <w:t>有限公司</w:t>
      </w:r>
      <w:r>
        <w:rPr>
          <w:rFonts w:ascii="Times New Roman" w:hAnsi="Times New Roman" w:cs="Times New Roman" w:eastAsia="Times New Roman" w:hint="default"/>
        </w:rPr>
        <w:t>”</w:t>
      </w:r>
      <w:r>
        <w:rPr/>
        <w:t>）于</w:t>
      </w:r>
      <w:r>
        <w:rPr>
          <w:rFonts w:ascii="Times New Roman" w:hAnsi="Times New Roman" w:cs="Times New Roman" w:eastAsia="Times New Roman" w:hint="default"/>
        </w:rPr>
        <w:t>2008</w:t>
      </w:r>
      <w:r>
        <w:rPr/>
        <w:t>年</w:t>
      </w:r>
      <w:r>
        <w:rPr>
          <w:rFonts w:ascii="Times New Roman" w:hAnsi="Times New Roman" w:cs="Times New Roman" w:eastAsia="Times New Roman" w:hint="default"/>
        </w:rPr>
        <w:t>5</w:t>
      </w:r>
      <w:r>
        <w:rPr/>
        <w:t>月整体变更设立的股份有限公司，</w:t>
      </w:r>
      <w:r>
        <w:rPr>
          <w:rFonts w:ascii="Times New Roman" w:hAnsi="Times New Roman" w:cs="Times New Roman" w:eastAsia="Times New Roman" w:hint="default"/>
        </w:rPr>
        <w:t>2014</w:t>
      </w:r>
      <w:r>
        <w:rPr/>
        <w:t>年</w:t>
      </w:r>
      <w:r>
        <w:rPr>
          <w:rFonts w:ascii="Times New Roman" w:hAnsi="Times New Roman" w:cs="Times New Roman" w:eastAsia="Times New Roman" w:hint="default"/>
        </w:rPr>
        <w:t>3</w:t>
      </w:r>
      <w:r>
        <w:rPr/>
        <w:t>月</w:t>
      </w:r>
      <w:r>
        <w:rPr>
          <w:rFonts w:ascii="Times New Roman" w:hAnsi="Times New Roman" w:cs="Times New Roman" w:eastAsia="Times New Roman" w:hint="default"/>
        </w:rPr>
        <w:t>20</w:t>
      </w:r>
      <w:r>
        <w:rPr/>
        <w:t>日更名为新开普电子 股份有限公司。统一社会信用代码</w:t>
      </w:r>
      <w:r>
        <w:rPr>
          <w:rFonts w:ascii="Times New Roman" w:hAnsi="Times New Roman" w:cs="Times New Roman" w:eastAsia="Times New Roman" w:hint="default"/>
        </w:rPr>
        <w:t>91410100721832659Y</w:t>
      </w:r>
      <w:r>
        <w:rPr/>
        <w:t>。</w:t>
      </w:r>
      <w:r>
        <w:rPr>
          <w:rFonts w:ascii="Times New Roman" w:hAnsi="Times New Roman" w:cs="Times New Roman" w:eastAsia="Times New Roman" w:hint="default"/>
        </w:rPr>
        <w:t>2011</w:t>
      </w:r>
      <w:r>
        <w:rPr/>
        <w:t>年</w:t>
      </w:r>
      <w:r>
        <w:rPr>
          <w:rFonts w:ascii="Times New Roman" w:hAnsi="Times New Roman" w:cs="Times New Roman" w:eastAsia="Times New Roman" w:hint="default"/>
        </w:rPr>
        <w:t>7</w:t>
      </w:r>
      <w:r>
        <w:rPr/>
        <w:t>月在深圳证券交易所上市。所属行业为 软件和信息技术服务业类。</w:t>
      </w:r>
    </w:p>
    <w:p>
      <w:pPr>
        <w:pStyle w:val="BodyText"/>
        <w:spacing w:line="386" w:lineRule="auto" w:before="65"/>
        <w:ind w:right="0" w:firstLine="423"/>
        <w:jc w:val="left"/>
      </w:pPr>
      <w:r>
        <w:rPr>
          <w:rFonts w:ascii="Times New Roman" w:hAnsi="Times New Roman" w:cs="Times New Roman" w:eastAsia="Times New Roman" w:hint="default"/>
          <w:spacing w:val="-3"/>
        </w:rPr>
        <w:t>2018</w:t>
      </w:r>
      <w:r>
        <w:rPr>
          <w:spacing w:val="-3"/>
        </w:rPr>
        <w:t>年</w:t>
      </w:r>
      <w:r>
        <w:rPr>
          <w:rFonts w:ascii="Times New Roman" w:hAnsi="Times New Roman" w:cs="Times New Roman" w:eastAsia="Times New Roman" w:hint="default"/>
          <w:spacing w:val="-3"/>
        </w:rPr>
        <w:t>3</w:t>
      </w:r>
      <w:r>
        <w:rPr>
          <w:spacing w:val="-3"/>
        </w:rPr>
        <w:t>月</w:t>
      </w:r>
      <w:r>
        <w:rPr>
          <w:rFonts w:ascii="Times New Roman" w:hAnsi="Times New Roman" w:cs="Times New Roman" w:eastAsia="Times New Roman" w:hint="default"/>
          <w:spacing w:val="-3"/>
        </w:rPr>
        <w:t>1</w:t>
      </w:r>
      <w:r>
        <w:rPr>
          <w:spacing w:val="-3"/>
        </w:rPr>
        <w:t>日，因公司回购注销限制性股票事项，公司注册资本由</w:t>
      </w:r>
      <w:r>
        <w:rPr>
          <w:rFonts w:ascii="Times New Roman" w:hAnsi="Times New Roman" w:cs="Times New Roman" w:eastAsia="Times New Roman" w:hint="default"/>
          <w:spacing w:val="-3"/>
        </w:rPr>
        <w:t>324,475,501</w:t>
      </w:r>
      <w:r>
        <w:rPr>
          <w:spacing w:val="-3"/>
        </w:rPr>
        <w:t>元减少至</w:t>
      </w:r>
      <w:r>
        <w:rPr>
          <w:rFonts w:ascii="Times New Roman" w:hAnsi="Times New Roman" w:cs="Times New Roman" w:eastAsia="Times New Roman" w:hint="default"/>
          <w:spacing w:val="-3"/>
        </w:rPr>
        <w:t>318,854,761</w:t>
      </w:r>
      <w:r>
        <w:rPr>
          <w:spacing w:val="-3"/>
        </w:rPr>
        <w:t>元，</w:t>
      </w:r>
      <w:r>
        <w:rPr>
          <w:spacing w:val="1"/>
        </w:rPr>
        <w:t> </w:t>
      </w:r>
      <w:r>
        <w:rPr/>
        <w:t>公司总股本由</w:t>
      </w:r>
      <w:r>
        <w:rPr>
          <w:rFonts w:ascii="Times New Roman" w:hAnsi="Times New Roman" w:cs="Times New Roman" w:eastAsia="Times New Roman" w:hint="default"/>
        </w:rPr>
        <w:t>324,475,501</w:t>
      </w:r>
      <w:r>
        <w:rPr/>
        <w:t>股减少至</w:t>
      </w:r>
      <w:r>
        <w:rPr>
          <w:rFonts w:ascii="Times New Roman" w:hAnsi="Times New Roman" w:cs="Times New Roman" w:eastAsia="Times New Roman" w:hint="default"/>
        </w:rPr>
        <w:t>318,854,761</w:t>
      </w:r>
      <w:r>
        <w:rPr/>
        <w:t>股。</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8</w:t>
      </w:r>
      <w:r>
        <w:rPr/>
        <w:t>月</w:t>
      </w:r>
      <w:r>
        <w:rPr>
          <w:rFonts w:ascii="Times New Roman" w:hAnsi="Times New Roman" w:cs="Times New Roman" w:eastAsia="Times New Roman" w:hint="default"/>
        </w:rPr>
        <w:t>23</w:t>
      </w:r>
      <w:r>
        <w:rPr/>
        <w:t>日召开了</w:t>
      </w:r>
      <w:r>
        <w:rPr>
          <w:rFonts w:ascii="Times New Roman" w:hAnsi="Times New Roman" w:cs="Times New Roman" w:eastAsia="Times New Roman" w:hint="default"/>
        </w:rPr>
        <w:t>2018</w:t>
      </w:r>
      <w:r>
        <w:rPr/>
        <w:t>年第二次临时股东大会，审 议通过了《关于修改新开普电子股份有限公司注册资本的议案》等相关议案，公司注册资本由</w:t>
      </w:r>
      <w:r>
        <w:rPr>
          <w:rFonts w:ascii="Times New Roman" w:hAnsi="Times New Roman" w:cs="Times New Roman" w:eastAsia="Times New Roman" w:hint="default"/>
        </w:rPr>
        <w:t>318,854,761 </w:t>
      </w:r>
      <w:r>
        <w:rPr/>
        <w:t>元增加至</w:t>
      </w:r>
      <w:r>
        <w:rPr>
          <w:rFonts w:ascii="Times New Roman" w:hAnsi="Times New Roman" w:cs="Times New Roman" w:eastAsia="Times New Roman" w:hint="default"/>
        </w:rPr>
        <w:t>481,092,495</w:t>
      </w:r>
      <w:r>
        <w:rPr/>
        <w:t>元，公司总股本由</w:t>
      </w:r>
      <w:r>
        <w:rPr>
          <w:rFonts w:ascii="Times New Roman" w:hAnsi="Times New Roman" w:cs="Times New Roman" w:eastAsia="Times New Roman" w:hint="default"/>
        </w:rPr>
        <w:t>318,854,761</w:t>
      </w:r>
      <w:r>
        <w:rPr/>
        <w:t>股增加至</w:t>
      </w:r>
      <w:r>
        <w:rPr>
          <w:rFonts w:ascii="Times New Roman" w:hAnsi="Times New Roman" w:cs="Times New Roman" w:eastAsia="Times New Roman" w:hint="default"/>
        </w:rPr>
        <w:t>481,092,495</w:t>
      </w:r>
      <w:r>
        <w:rPr/>
        <w:t>股，公司于</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8</w:t>
      </w:r>
      <w:r>
        <w:rPr/>
        <w:t>月</w:t>
      </w:r>
      <w:r>
        <w:rPr>
          <w:rFonts w:ascii="Times New Roman" w:hAnsi="Times New Roman" w:cs="Times New Roman" w:eastAsia="Times New Roman" w:hint="default"/>
        </w:rPr>
        <w:t>28</w:t>
      </w:r>
      <w:r>
        <w:rPr/>
        <w:t>日完成了 相关工商变更登记手续，取得了由郑州市工商行政管理局换发的《营业执照》。</w:t>
      </w:r>
    </w:p>
    <w:p>
      <w:pPr>
        <w:pStyle w:val="BodyText"/>
        <w:spacing w:line="386" w:lineRule="auto" w:before="65"/>
        <w:ind w:right="1132" w:firstLine="423"/>
        <w:jc w:val="both"/>
      </w:pPr>
      <w:r>
        <w:rPr>
          <w:spacing w:val="-1"/>
        </w:rPr>
        <w:t>截至</w:t>
      </w:r>
      <w:r>
        <w:rPr>
          <w:rFonts w:ascii="Times New Roman" w:hAnsi="Times New Roman" w:cs="Times New Roman" w:eastAsia="Times New Roman" w:hint="default"/>
          <w:spacing w:val="-1"/>
        </w:rPr>
        <w:t>2018</w:t>
      </w:r>
      <w:r>
        <w:rPr>
          <w:spacing w:val="-1"/>
        </w:rPr>
        <w:t>年</w:t>
      </w:r>
      <w:r>
        <w:rPr>
          <w:rFonts w:ascii="Times New Roman" w:hAnsi="Times New Roman" w:cs="Times New Roman" w:eastAsia="Times New Roman" w:hint="default"/>
          <w:spacing w:val="-1"/>
        </w:rPr>
        <w:t>12</w:t>
      </w:r>
      <w:r>
        <w:rPr>
          <w:spacing w:val="-1"/>
        </w:rPr>
        <w:t>月</w:t>
      </w:r>
      <w:r>
        <w:rPr>
          <w:rFonts w:ascii="Times New Roman" w:hAnsi="Times New Roman" w:cs="Times New Roman" w:eastAsia="Times New Roman" w:hint="default"/>
          <w:spacing w:val="-1"/>
        </w:rPr>
        <w:t>31</w:t>
      </w:r>
      <w:r>
        <w:rPr>
          <w:spacing w:val="-1"/>
        </w:rPr>
        <w:t>日止，本公司累计发行股本总数</w:t>
      </w:r>
      <w:r>
        <w:rPr>
          <w:rFonts w:ascii="Times New Roman" w:hAnsi="Times New Roman" w:cs="Times New Roman" w:eastAsia="Times New Roman" w:hint="default"/>
          <w:spacing w:val="-1"/>
        </w:rPr>
        <w:t>48,109.2495</w:t>
      </w:r>
      <w:r>
        <w:rPr>
          <w:spacing w:val="-1"/>
        </w:rPr>
        <w:t>万股，注册资本为</w:t>
      </w:r>
      <w:r>
        <w:rPr>
          <w:rFonts w:ascii="Times New Roman" w:hAnsi="Times New Roman" w:cs="Times New Roman" w:eastAsia="Times New Roman" w:hint="default"/>
          <w:spacing w:val="-1"/>
        </w:rPr>
        <w:t>48,109.2495</w:t>
      </w:r>
      <w:r>
        <w:rPr>
          <w:spacing w:val="-1"/>
        </w:rPr>
        <w:t>万元，公</w:t>
      </w:r>
      <w:r>
        <w:rPr/>
        <w:t> </w:t>
      </w:r>
      <w:r>
        <w:rPr>
          <w:spacing w:val="-1"/>
        </w:rPr>
        <w:t>司类型：股份有限公司（上市），公司注册地：郑州市高新技术产业开发区迎春街</w:t>
      </w:r>
      <w:r>
        <w:rPr>
          <w:rFonts w:ascii="Times New Roman" w:hAnsi="Times New Roman" w:cs="Times New Roman" w:eastAsia="Times New Roman" w:hint="default"/>
          <w:spacing w:val="-1"/>
        </w:rPr>
        <w:t>18</w:t>
      </w:r>
      <w:r>
        <w:rPr>
          <w:spacing w:val="-1"/>
        </w:rPr>
        <w:t>号，总部地址：郑州</w:t>
      </w:r>
      <w:r>
        <w:rPr>
          <w:spacing w:val="-85"/>
        </w:rPr>
        <w:t> </w:t>
      </w:r>
      <w:r>
        <w:rPr>
          <w:spacing w:val="-85"/>
        </w:rPr>
      </w:r>
      <w:r>
        <w:rPr/>
        <w:t>市高新技术产业开发区迎春街</w:t>
      </w:r>
      <w:r>
        <w:rPr>
          <w:rFonts w:ascii="Times New Roman" w:hAnsi="Times New Roman" w:cs="Times New Roman" w:eastAsia="Times New Roman" w:hint="default"/>
        </w:rPr>
        <w:t>18</w:t>
      </w:r>
      <w:r>
        <w:rPr/>
        <w:t>号，法人代表：杨维国，营业期限：长期。</w:t>
      </w:r>
    </w:p>
    <w:p>
      <w:pPr>
        <w:pStyle w:val="BodyText"/>
        <w:spacing w:line="408" w:lineRule="auto" w:before="35"/>
        <w:ind w:right="0" w:firstLine="423"/>
        <w:jc w:val="left"/>
      </w:pPr>
      <w:r>
        <w:rPr/>
        <w:t>本公司主要经营活动为：计算机系统集成、开发及运营维护，软件、智能卡机具、智能终端、电子仪 器仪表、电力电子产品、能源电子产品的设计、开发、生产、销售、维护；商用密码产品的生产与销售；</w:t>
      </w:r>
      <w:r>
        <w:rPr>
          <w:spacing w:val="-38"/>
        </w:rPr>
        <w:t> </w:t>
      </w:r>
      <w:r>
        <w:rPr>
          <w:spacing w:val="-38"/>
        </w:rPr>
      </w:r>
      <w:r>
        <w:rPr/>
        <w:t>互联网信息技术和计算机技术的咨询、服务；电信业务经营；货物和技术的进出口业务（国家法律、法规</w:t>
      </w:r>
      <w:r>
        <w:rPr/>
        <w:t> 规定应经审批方可经营或禁止进出口的货物和技术除外）；电子设备安装与服务；房屋租赁；文化艺术交 流活动策划；设计、制作、代理、发布国内广告业务；教学设备、教学软件的技术开发、技术咨询、技术 服务；集成电路设计与销售。（依法须经批准的项目，经相关部门批准后方可开展经营活动），本公司的 实际控制人为杨维国。</w:t>
      </w:r>
    </w:p>
    <w:p>
      <w:pPr>
        <w:pStyle w:val="BodyText"/>
        <w:spacing w:line="240" w:lineRule="auto"/>
        <w:ind w:left="577" w:right="1117"/>
        <w:jc w:val="left"/>
      </w:pPr>
      <w:r>
        <w:rPr/>
        <w:t>本财务报表业经公司全体董事（董事会）于</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3</w:t>
      </w:r>
      <w:r>
        <w:rPr/>
        <w:t>月</w:t>
      </w:r>
      <w:r>
        <w:rPr>
          <w:rFonts w:ascii="Times New Roman" w:hAnsi="Times New Roman" w:cs="Times New Roman" w:eastAsia="Times New Roman" w:hint="default"/>
        </w:rPr>
        <w:t>28</w:t>
      </w:r>
      <w:r>
        <w:rPr/>
        <w:t>日批准报出。</w:t>
      </w:r>
    </w:p>
    <w:p>
      <w:pPr>
        <w:spacing w:after="0" w:line="240" w:lineRule="auto"/>
        <w:jc w:val="left"/>
        <w:sectPr>
          <w:pgSz w:w="11910" w:h="16840"/>
          <w:pgMar w:header="877" w:footer="979" w:top="1060" w:bottom="1160" w:left="980" w:right="0"/>
        </w:sectPr>
      </w:pPr>
    </w:p>
    <w:p>
      <w:pPr>
        <w:spacing w:line="240" w:lineRule="auto" w:before="9"/>
        <w:rPr>
          <w:rFonts w:ascii="宋体" w:hAnsi="宋体" w:cs="宋体" w:eastAsia="宋体" w:hint="default"/>
          <w:sz w:val="24"/>
          <w:szCs w:val="24"/>
        </w:rPr>
      </w:pPr>
    </w:p>
    <w:p>
      <w:pPr>
        <w:pStyle w:val="BodyText"/>
        <w:spacing w:line="240" w:lineRule="auto" w:before="35"/>
        <w:ind w:left="868" w:right="1117"/>
        <w:jc w:val="left"/>
      </w:pPr>
      <w:r>
        <w:rPr/>
        <w:t>截至</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日止，本公司合并财务报表范围内子公司如下：</w:t>
      </w:r>
    </w:p>
    <w:p>
      <w:pPr>
        <w:spacing w:line="240" w:lineRule="auto" w:before="9"/>
        <w:rPr>
          <w:rFonts w:ascii="宋体" w:hAnsi="宋体" w:cs="宋体" w:eastAsia="宋体" w:hint="default"/>
          <w:sz w:val="14"/>
          <w:szCs w:val="14"/>
        </w:rPr>
      </w:pPr>
    </w:p>
    <w:tbl>
      <w:tblPr>
        <w:tblW w:w="0" w:type="auto"/>
        <w:jc w:val="left"/>
        <w:tblInd w:w="755" w:type="dxa"/>
        <w:tblLayout w:type="fixed"/>
        <w:tblCellMar>
          <w:top w:w="0" w:type="dxa"/>
          <w:left w:w="0" w:type="dxa"/>
          <w:bottom w:w="0" w:type="dxa"/>
          <w:right w:w="0" w:type="dxa"/>
        </w:tblCellMar>
        <w:tblLook w:val="01E0"/>
      </w:tblPr>
      <w:tblGrid>
        <w:gridCol w:w="4498"/>
        <w:gridCol w:w="2127"/>
        <w:gridCol w:w="1417"/>
      </w:tblGrid>
      <w:tr>
        <w:trPr>
          <w:trHeight w:val="342" w:hRule="exact"/>
        </w:trPr>
        <w:tc>
          <w:tcPr>
            <w:tcW w:w="449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1" w:lineRule="exact"/>
              <w:ind w:right="1"/>
              <w:jc w:val="center"/>
              <w:rPr>
                <w:rFonts w:ascii="宋体" w:hAnsi="宋体" w:cs="宋体" w:eastAsia="宋体" w:hint="default"/>
                <w:sz w:val="21"/>
                <w:szCs w:val="21"/>
              </w:rPr>
            </w:pPr>
            <w:r>
              <w:rPr>
                <w:rFonts w:ascii="宋体" w:hAnsi="宋体" w:cs="宋体" w:eastAsia="宋体" w:hint="default"/>
                <w:b/>
                <w:bCs/>
                <w:sz w:val="21"/>
                <w:szCs w:val="21"/>
              </w:rPr>
              <w:t>子公司名称</w:t>
            </w:r>
            <w:r>
              <w:rPr>
                <w:rFonts w:ascii="宋体" w:hAnsi="宋体" w:cs="宋体" w:eastAsia="宋体" w:hint="default"/>
                <w:sz w:val="21"/>
                <w:szCs w:val="21"/>
              </w:rPr>
            </w:r>
          </w:p>
        </w:tc>
        <w:tc>
          <w:tcPr>
            <w:tcW w:w="212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1" w:lineRule="exact"/>
              <w:ind w:right="0"/>
              <w:jc w:val="center"/>
              <w:rPr>
                <w:rFonts w:ascii="宋体" w:hAnsi="宋体" w:cs="宋体" w:eastAsia="宋体" w:hint="default"/>
                <w:sz w:val="21"/>
                <w:szCs w:val="21"/>
              </w:rPr>
            </w:pPr>
            <w:r>
              <w:rPr>
                <w:rFonts w:ascii="宋体" w:hAnsi="宋体" w:cs="宋体" w:eastAsia="宋体" w:hint="default"/>
                <w:b/>
                <w:bCs/>
                <w:sz w:val="21"/>
                <w:szCs w:val="21"/>
              </w:rPr>
              <w:t>子公司类型</w:t>
            </w:r>
            <w:r>
              <w:rPr>
                <w:rFonts w:ascii="宋体" w:hAnsi="宋体" w:cs="宋体" w:eastAsia="宋体" w:hint="default"/>
                <w:sz w:val="21"/>
                <w:szCs w:val="21"/>
              </w:rPr>
            </w:r>
          </w:p>
        </w:tc>
        <w:tc>
          <w:tcPr>
            <w:tcW w:w="141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1" w:lineRule="exact"/>
              <w:ind w:right="1"/>
              <w:jc w:val="center"/>
              <w:rPr>
                <w:rFonts w:ascii="宋体" w:hAnsi="宋体" w:cs="宋体" w:eastAsia="宋体" w:hint="default"/>
                <w:sz w:val="21"/>
                <w:szCs w:val="21"/>
              </w:rPr>
            </w:pPr>
            <w:r>
              <w:rPr>
                <w:rFonts w:ascii="宋体" w:hAnsi="宋体" w:cs="宋体" w:eastAsia="宋体" w:hint="default"/>
                <w:b/>
                <w:bCs/>
                <w:sz w:val="21"/>
                <w:szCs w:val="21"/>
              </w:rPr>
              <w:t>级次</w:t>
            </w:r>
            <w:r>
              <w:rPr>
                <w:rFonts w:ascii="宋体" w:hAnsi="宋体" w:cs="宋体" w:eastAsia="宋体" w:hint="default"/>
                <w:sz w:val="21"/>
                <w:szCs w:val="21"/>
              </w:rPr>
            </w:r>
          </w:p>
        </w:tc>
      </w:tr>
      <w:tr>
        <w:trPr>
          <w:trHeight w:val="342" w:hRule="exact"/>
        </w:trPr>
        <w:tc>
          <w:tcPr>
            <w:tcW w:w="4498"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left="7" w:right="0"/>
              <w:jc w:val="left"/>
              <w:rPr>
                <w:rFonts w:ascii="宋体" w:hAnsi="宋体" w:cs="宋体" w:eastAsia="宋体" w:hint="default"/>
                <w:sz w:val="21"/>
                <w:szCs w:val="21"/>
              </w:rPr>
            </w:pPr>
            <w:r>
              <w:rPr>
                <w:rFonts w:ascii="宋体" w:hAnsi="宋体" w:cs="宋体" w:eastAsia="宋体" w:hint="default"/>
                <w:sz w:val="21"/>
                <w:szCs w:val="21"/>
              </w:rPr>
              <w:t>北京迪科远望科技有限公司</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1"/>
              <w:jc w:val="center"/>
              <w:rPr>
                <w:rFonts w:ascii="宋体" w:hAnsi="宋体" w:cs="宋体" w:eastAsia="宋体" w:hint="default"/>
                <w:sz w:val="21"/>
                <w:szCs w:val="21"/>
              </w:rPr>
            </w:pPr>
            <w:r>
              <w:rPr>
                <w:rFonts w:ascii="宋体" w:hAnsi="宋体" w:cs="宋体" w:eastAsia="宋体" w:hint="default"/>
                <w:sz w:val="21"/>
                <w:szCs w:val="21"/>
              </w:rPr>
              <w:t>全资子公司</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1"/>
              <w:jc w:val="center"/>
              <w:rPr>
                <w:rFonts w:ascii="宋体" w:hAnsi="宋体" w:cs="宋体" w:eastAsia="宋体" w:hint="default"/>
                <w:sz w:val="21"/>
                <w:szCs w:val="21"/>
              </w:rPr>
            </w:pPr>
            <w:r>
              <w:rPr>
                <w:rFonts w:ascii="宋体" w:hAnsi="宋体" w:cs="宋体" w:eastAsia="宋体" w:hint="default"/>
                <w:sz w:val="21"/>
                <w:szCs w:val="21"/>
              </w:rPr>
              <w:t>二级</w:t>
            </w:r>
          </w:p>
        </w:tc>
      </w:tr>
      <w:tr>
        <w:trPr>
          <w:trHeight w:val="342" w:hRule="exact"/>
        </w:trPr>
        <w:tc>
          <w:tcPr>
            <w:tcW w:w="4498"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left="7" w:right="0"/>
              <w:jc w:val="left"/>
              <w:rPr>
                <w:rFonts w:ascii="宋体" w:hAnsi="宋体" w:cs="宋体" w:eastAsia="宋体" w:hint="default"/>
                <w:sz w:val="21"/>
                <w:szCs w:val="21"/>
              </w:rPr>
            </w:pPr>
            <w:r>
              <w:rPr>
                <w:rFonts w:ascii="宋体" w:hAnsi="宋体" w:cs="宋体" w:eastAsia="宋体" w:hint="default"/>
                <w:sz w:val="21"/>
                <w:szCs w:val="21"/>
              </w:rPr>
              <w:t>上海树维信息科技有限公司</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1"/>
              <w:jc w:val="center"/>
              <w:rPr>
                <w:rFonts w:ascii="宋体" w:hAnsi="宋体" w:cs="宋体" w:eastAsia="宋体" w:hint="default"/>
                <w:sz w:val="21"/>
                <w:szCs w:val="21"/>
              </w:rPr>
            </w:pPr>
            <w:r>
              <w:rPr>
                <w:rFonts w:ascii="宋体" w:hAnsi="宋体" w:cs="宋体" w:eastAsia="宋体" w:hint="default"/>
                <w:sz w:val="21"/>
                <w:szCs w:val="21"/>
              </w:rPr>
              <w:t>全资子公司</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1"/>
              <w:jc w:val="center"/>
              <w:rPr>
                <w:rFonts w:ascii="宋体" w:hAnsi="宋体" w:cs="宋体" w:eastAsia="宋体" w:hint="default"/>
                <w:sz w:val="21"/>
                <w:szCs w:val="21"/>
              </w:rPr>
            </w:pPr>
            <w:r>
              <w:rPr>
                <w:rFonts w:ascii="宋体" w:hAnsi="宋体" w:cs="宋体" w:eastAsia="宋体" w:hint="default"/>
                <w:sz w:val="21"/>
                <w:szCs w:val="21"/>
              </w:rPr>
              <w:t>二级</w:t>
            </w:r>
          </w:p>
        </w:tc>
      </w:tr>
      <w:tr>
        <w:trPr>
          <w:trHeight w:val="342" w:hRule="exact"/>
        </w:trPr>
        <w:tc>
          <w:tcPr>
            <w:tcW w:w="4498"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left="7" w:right="0"/>
              <w:jc w:val="left"/>
              <w:rPr>
                <w:rFonts w:ascii="宋体" w:hAnsi="宋体" w:cs="宋体" w:eastAsia="宋体" w:hint="default"/>
                <w:sz w:val="21"/>
                <w:szCs w:val="21"/>
              </w:rPr>
            </w:pPr>
            <w:r>
              <w:rPr>
                <w:rFonts w:ascii="宋体" w:hAnsi="宋体" w:cs="宋体" w:eastAsia="宋体" w:hint="default"/>
                <w:sz w:val="21"/>
                <w:szCs w:val="21"/>
              </w:rPr>
              <w:t>福建新开普信息科技有限公司</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1"/>
              <w:jc w:val="center"/>
              <w:rPr>
                <w:rFonts w:ascii="宋体" w:hAnsi="宋体" w:cs="宋体" w:eastAsia="宋体" w:hint="default"/>
                <w:sz w:val="21"/>
                <w:szCs w:val="21"/>
              </w:rPr>
            </w:pPr>
            <w:r>
              <w:rPr>
                <w:rFonts w:ascii="宋体" w:hAnsi="宋体" w:cs="宋体" w:eastAsia="宋体" w:hint="default"/>
                <w:sz w:val="21"/>
                <w:szCs w:val="21"/>
              </w:rPr>
              <w:t>控股子公司</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1"/>
              <w:jc w:val="center"/>
              <w:rPr>
                <w:rFonts w:ascii="宋体" w:hAnsi="宋体" w:cs="宋体" w:eastAsia="宋体" w:hint="default"/>
                <w:sz w:val="21"/>
                <w:szCs w:val="21"/>
              </w:rPr>
            </w:pPr>
            <w:r>
              <w:rPr>
                <w:rFonts w:ascii="宋体" w:hAnsi="宋体" w:cs="宋体" w:eastAsia="宋体" w:hint="default"/>
                <w:sz w:val="21"/>
                <w:szCs w:val="21"/>
              </w:rPr>
              <w:t>二级</w:t>
            </w:r>
          </w:p>
        </w:tc>
      </w:tr>
      <w:tr>
        <w:trPr>
          <w:trHeight w:val="342" w:hRule="exact"/>
        </w:trPr>
        <w:tc>
          <w:tcPr>
            <w:tcW w:w="4498"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left="7" w:right="0"/>
              <w:jc w:val="left"/>
              <w:rPr>
                <w:rFonts w:ascii="宋体" w:hAnsi="宋体" w:cs="宋体" w:eastAsia="宋体" w:hint="default"/>
                <w:sz w:val="21"/>
                <w:szCs w:val="21"/>
              </w:rPr>
            </w:pPr>
            <w:r>
              <w:rPr>
                <w:rFonts w:ascii="宋体" w:hAnsi="宋体" w:cs="宋体" w:eastAsia="宋体" w:hint="default"/>
                <w:sz w:val="21"/>
                <w:szCs w:val="21"/>
              </w:rPr>
              <w:t>山西新开普信息科技有限公司</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1"/>
              <w:jc w:val="center"/>
              <w:rPr>
                <w:rFonts w:ascii="宋体" w:hAnsi="宋体" w:cs="宋体" w:eastAsia="宋体" w:hint="default"/>
                <w:sz w:val="21"/>
                <w:szCs w:val="21"/>
              </w:rPr>
            </w:pPr>
            <w:r>
              <w:rPr>
                <w:rFonts w:ascii="宋体" w:hAnsi="宋体" w:cs="宋体" w:eastAsia="宋体" w:hint="default"/>
                <w:sz w:val="21"/>
                <w:szCs w:val="21"/>
              </w:rPr>
              <w:t>全资子公司</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1"/>
              <w:jc w:val="center"/>
              <w:rPr>
                <w:rFonts w:ascii="宋体" w:hAnsi="宋体" w:cs="宋体" w:eastAsia="宋体" w:hint="default"/>
                <w:sz w:val="21"/>
                <w:szCs w:val="21"/>
              </w:rPr>
            </w:pPr>
            <w:r>
              <w:rPr>
                <w:rFonts w:ascii="宋体" w:hAnsi="宋体" w:cs="宋体" w:eastAsia="宋体" w:hint="default"/>
                <w:sz w:val="21"/>
                <w:szCs w:val="21"/>
              </w:rPr>
              <w:t>二级</w:t>
            </w:r>
          </w:p>
        </w:tc>
      </w:tr>
      <w:tr>
        <w:trPr>
          <w:trHeight w:val="342" w:hRule="exact"/>
        </w:trPr>
        <w:tc>
          <w:tcPr>
            <w:tcW w:w="4498"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left="7" w:right="0"/>
              <w:jc w:val="left"/>
              <w:rPr>
                <w:rFonts w:ascii="宋体" w:hAnsi="宋体" w:cs="宋体" w:eastAsia="宋体" w:hint="default"/>
                <w:sz w:val="21"/>
                <w:szCs w:val="21"/>
              </w:rPr>
            </w:pPr>
            <w:r>
              <w:rPr>
                <w:rFonts w:ascii="宋体" w:hAnsi="宋体" w:cs="宋体" w:eastAsia="宋体" w:hint="default"/>
                <w:sz w:val="21"/>
                <w:szCs w:val="21"/>
              </w:rPr>
              <w:t>郑州新开普科技有限公司</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1"/>
              <w:jc w:val="center"/>
              <w:rPr>
                <w:rFonts w:ascii="宋体" w:hAnsi="宋体" w:cs="宋体" w:eastAsia="宋体" w:hint="default"/>
                <w:sz w:val="21"/>
                <w:szCs w:val="21"/>
              </w:rPr>
            </w:pPr>
            <w:r>
              <w:rPr>
                <w:rFonts w:ascii="宋体" w:hAnsi="宋体" w:cs="宋体" w:eastAsia="宋体" w:hint="default"/>
                <w:sz w:val="21"/>
                <w:szCs w:val="21"/>
              </w:rPr>
              <w:t>全资子公司</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1"/>
              <w:jc w:val="center"/>
              <w:rPr>
                <w:rFonts w:ascii="宋体" w:hAnsi="宋体" w:cs="宋体" w:eastAsia="宋体" w:hint="default"/>
                <w:sz w:val="21"/>
                <w:szCs w:val="21"/>
              </w:rPr>
            </w:pPr>
            <w:r>
              <w:rPr>
                <w:rFonts w:ascii="宋体" w:hAnsi="宋体" w:cs="宋体" w:eastAsia="宋体" w:hint="default"/>
                <w:sz w:val="21"/>
                <w:szCs w:val="21"/>
              </w:rPr>
              <w:t>二级</w:t>
            </w:r>
          </w:p>
        </w:tc>
      </w:tr>
      <w:tr>
        <w:trPr>
          <w:trHeight w:val="342" w:hRule="exact"/>
        </w:trPr>
        <w:tc>
          <w:tcPr>
            <w:tcW w:w="4498"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left="7" w:right="0"/>
              <w:jc w:val="left"/>
              <w:rPr>
                <w:rFonts w:ascii="宋体" w:hAnsi="宋体" w:cs="宋体" w:eastAsia="宋体" w:hint="default"/>
                <w:sz w:val="21"/>
                <w:szCs w:val="21"/>
              </w:rPr>
            </w:pPr>
            <w:r>
              <w:rPr>
                <w:rFonts w:ascii="宋体" w:hAnsi="宋体" w:cs="宋体" w:eastAsia="宋体" w:hint="default"/>
                <w:sz w:val="21"/>
                <w:szCs w:val="21"/>
              </w:rPr>
              <w:t>郑州惠品优购商贸有限公司</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1"/>
              <w:jc w:val="center"/>
              <w:rPr>
                <w:rFonts w:ascii="宋体" w:hAnsi="宋体" w:cs="宋体" w:eastAsia="宋体" w:hint="default"/>
                <w:sz w:val="21"/>
                <w:szCs w:val="21"/>
              </w:rPr>
            </w:pPr>
            <w:r>
              <w:rPr>
                <w:rFonts w:ascii="宋体" w:hAnsi="宋体" w:cs="宋体" w:eastAsia="宋体" w:hint="default"/>
                <w:sz w:val="21"/>
                <w:szCs w:val="21"/>
              </w:rPr>
              <w:t>全资子公司</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1"/>
              <w:jc w:val="center"/>
              <w:rPr>
                <w:rFonts w:ascii="宋体" w:hAnsi="宋体" w:cs="宋体" w:eastAsia="宋体" w:hint="default"/>
                <w:sz w:val="21"/>
                <w:szCs w:val="21"/>
              </w:rPr>
            </w:pPr>
            <w:r>
              <w:rPr>
                <w:rFonts w:ascii="宋体" w:hAnsi="宋体" w:cs="宋体" w:eastAsia="宋体" w:hint="default"/>
                <w:sz w:val="21"/>
                <w:szCs w:val="21"/>
              </w:rPr>
              <w:t>三级</w:t>
            </w:r>
          </w:p>
        </w:tc>
      </w:tr>
      <w:tr>
        <w:trPr>
          <w:trHeight w:val="342" w:hRule="exact"/>
        </w:trPr>
        <w:tc>
          <w:tcPr>
            <w:tcW w:w="4498"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left="7" w:right="0"/>
              <w:jc w:val="left"/>
              <w:rPr>
                <w:rFonts w:ascii="宋体" w:hAnsi="宋体" w:cs="宋体" w:eastAsia="宋体" w:hint="default"/>
                <w:sz w:val="21"/>
                <w:szCs w:val="21"/>
              </w:rPr>
            </w:pPr>
            <w:r>
              <w:rPr>
                <w:rFonts w:ascii="宋体" w:hAnsi="宋体" w:cs="宋体" w:eastAsia="宋体" w:hint="default"/>
                <w:sz w:val="21"/>
                <w:szCs w:val="21"/>
              </w:rPr>
              <w:t>完美数联（北京）科技有限公司</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1"/>
              <w:jc w:val="center"/>
              <w:rPr>
                <w:rFonts w:ascii="宋体" w:hAnsi="宋体" w:cs="宋体" w:eastAsia="宋体" w:hint="default"/>
                <w:sz w:val="21"/>
                <w:szCs w:val="21"/>
              </w:rPr>
            </w:pPr>
            <w:r>
              <w:rPr>
                <w:rFonts w:ascii="宋体" w:hAnsi="宋体" w:cs="宋体" w:eastAsia="宋体" w:hint="default"/>
                <w:sz w:val="21"/>
                <w:szCs w:val="21"/>
              </w:rPr>
              <w:t>控股子公司</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1"/>
              <w:jc w:val="center"/>
              <w:rPr>
                <w:rFonts w:ascii="宋体" w:hAnsi="宋体" w:cs="宋体" w:eastAsia="宋体" w:hint="default"/>
                <w:sz w:val="21"/>
                <w:szCs w:val="21"/>
              </w:rPr>
            </w:pPr>
            <w:r>
              <w:rPr>
                <w:rFonts w:ascii="宋体" w:hAnsi="宋体" w:cs="宋体" w:eastAsia="宋体" w:hint="default"/>
                <w:sz w:val="21"/>
                <w:szCs w:val="21"/>
              </w:rPr>
              <w:t>二级</w:t>
            </w:r>
          </w:p>
        </w:tc>
      </w:tr>
      <w:tr>
        <w:trPr>
          <w:trHeight w:val="342" w:hRule="exact"/>
        </w:trPr>
        <w:tc>
          <w:tcPr>
            <w:tcW w:w="4498"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left="7" w:right="0"/>
              <w:jc w:val="left"/>
              <w:rPr>
                <w:rFonts w:ascii="宋体" w:hAnsi="宋体" w:cs="宋体" w:eastAsia="宋体" w:hint="default"/>
                <w:sz w:val="21"/>
                <w:szCs w:val="21"/>
              </w:rPr>
            </w:pPr>
            <w:r>
              <w:rPr>
                <w:rFonts w:ascii="宋体" w:hAnsi="宋体" w:cs="宋体" w:eastAsia="宋体" w:hint="default"/>
                <w:sz w:val="21"/>
                <w:szCs w:val="21"/>
              </w:rPr>
              <w:t>北京开普力维科技有限公司</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1"/>
              <w:jc w:val="center"/>
              <w:rPr>
                <w:rFonts w:ascii="宋体" w:hAnsi="宋体" w:cs="宋体" w:eastAsia="宋体" w:hint="default"/>
                <w:sz w:val="21"/>
                <w:szCs w:val="21"/>
              </w:rPr>
            </w:pPr>
            <w:r>
              <w:rPr>
                <w:rFonts w:ascii="宋体" w:hAnsi="宋体" w:cs="宋体" w:eastAsia="宋体" w:hint="default"/>
                <w:sz w:val="21"/>
                <w:szCs w:val="21"/>
              </w:rPr>
              <w:t>控股子公司</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1"/>
              <w:jc w:val="center"/>
              <w:rPr>
                <w:rFonts w:ascii="宋体" w:hAnsi="宋体" w:cs="宋体" w:eastAsia="宋体" w:hint="default"/>
                <w:sz w:val="21"/>
                <w:szCs w:val="21"/>
              </w:rPr>
            </w:pPr>
            <w:r>
              <w:rPr>
                <w:rFonts w:ascii="宋体" w:hAnsi="宋体" w:cs="宋体" w:eastAsia="宋体" w:hint="default"/>
                <w:sz w:val="21"/>
                <w:szCs w:val="21"/>
              </w:rPr>
              <w:t>二级</w:t>
            </w:r>
          </w:p>
        </w:tc>
      </w:tr>
    </w:tbl>
    <w:p>
      <w:pPr>
        <w:spacing w:line="240" w:lineRule="auto" w:before="13"/>
        <w:rPr>
          <w:rFonts w:ascii="宋体" w:hAnsi="宋体" w:cs="宋体" w:eastAsia="宋体" w:hint="default"/>
          <w:sz w:val="25"/>
          <w:szCs w:val="25"/>
        </w:rPr>
      </w:pPr>
    </w:p>
    <w:p>
      <w:pPr>
        <w:pStyle w:val="BodyText"/>
        <w:spacing w:line="386" w:lineRule="auto" w:before="35"/>
        <w:ind w:left="868" w:right="1148"/>
        <w:jc w:val="left"/>
      </w:pPr>
      <w:r>
        <w:rPr/>
        <w:t>本期合并财务报表范围及其变化情况详见本附注</w:t>
      </w:r>
      <w:r>
        <w:rPr>
          <w:rFonts w:ascii="Times New Roman" w:hAnsi="Times New Roman" w:cs="Times New Roman" w:eastAsia="Times New Roman" w:hint="default"/>
        </w:rPr>
        <w:t>“</w:t>
      </w:r>
      <w:r>
        <w:rPr/>
        <w:t>八、合并范围的变更</w:t>
      </w:r>
      <w:r>
        <w:rPr>
          <w:rFonts w:ascii="Times New Roman" w:hAnsi="Times New Roman" w:cs="Times New Roman" w:eastAsia="Times New Roman" w:hint="default"/>
        </w:rPr>
        <w:t>”</w:t>
      </w:r>
      <w:r>
        <w:rPr/>
        <w:t>和</w:t>
      </w:r>
      <w:r>
        <w:rPr>
          <w:rFonts w:ascii="Times New Roman" w:hAnsi="Times New Roman" w:cs="Times New Roman" w:eastAsia="Times New Roman" w:hint="default"/>
        </w:rPr>
        <w:t>“</w:t>
      </w:r>
      <w:r>
        <w:rPr/>
        <w:t>九、在其他主体中的权 益</w:t>
      </w:r>
      <w:r>
        <w:rPr>
          <w:rFonts w:ascii="Times New Roman" w:hAnsi="Times New Roman" w:cs="Times New Roman" w:eastAsia="Times New Roman" w:hint="default"/>
        </w:rPr>
        <w:t>”</w:t>
      </w:r>
      <w:r>
        <w:rPr/>
        <w:t>。</w:t>
      </w:r>
    </w:p>
    <w:p>
      <w:pPr>
        <w:spacing w:line="240" w:lineRule="auto" w:before="0"/>
        <w:rPr>
          <w:rFonts w:ascii="宋体" w:hAnsi="宋体" w:cs="宋体" w:eastAsia="宋体" w:hint="default"/>
          <w:sz w:val="18"/>
          <w:szCs w:val="18"/>
        </w:rPr>
      </w:pPr>
    </w:p>
    <w:p>
      <w:pPr>
        <w:pStyle w:val="Heading2"/>
        <w:spacing w:line="240" w:lineRule="auto"/>
        <w:ind w:right="1117"/>
        <w:jc w:val="left"/>
        <w:rPr>
          <w:b w:val="0"/>
          <w:bCs w:val="0"/>
        </w:rPr>
      </w:pPr>
      <w:bookmarkStart w:name="四、财务报表的编制基础" w:id="167"/>
      <w:bookmarkEnd w:id="167"/>
      <w:r>
        <w:rPr>
          <w:b w:val="0"/>
          <w:bCs w:val="0"/>
        </w:rPr>
      </w:r>
      <w:r>
        <w:rPr/>
        <w:t>四、财务报表的编制基础</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1117"/>
        <w:jc w:val="left"/>
        <w:rPr>
          <w:b w:val="0"/>
          <w:bCs w:val="0"/>
        </w:rPr>
      </w:pPr>
      <w:bookmarkStart w:name="1、编制基础" w:id="168"/>
      <w:bookmarkEnd w:id="168"/>
      <w:r>
        <w:rPr>
          <w:b w:val="0"/>
          <w:bCs w:val="0"/>
        </w:rPr>
      </w:r>
      <w:r>
        <w:rPr>
          <w:rFonts w:ascii="Times New Roman" w:hAnsi="Times New Roman" w:cs="Times New Roman" w:eastAsia="Times New Roman" w:hint="default"/>
        </w:rPr>
        <w:t>1</w:t>
      </w:r>
      <w:r>
        <w:rPr/>
        <w:t>、编制基础</w:t>
      </w:r>
      <w:r>
        <w:rPr>
          <w:b w:val="0"/>
          <w:bCs w:val="0"/>
        </w:rPr>
      </w:r>
    </w:p>
    <w:p>
      <w:pPr>
        <w:spacing w:line="240" w:lineRule="auto" w:before="7"/>
        <w:rPr>
          <w:rFonts w:ascii="宋体" w:hAnsi="宋体" w:cs="宋体" w:eastAsia="宋体" w:hint="default"/>
          <w:b/>
          <w:bCs/>
          <w:sz w:val="30"/>
          <w:szCs w:val="30"/>
        </w:rPr>
      </w:pPr>
    </w:p>
    <w:p>
      <w:pPr>
        <w:pStyle w:val="BodyText"/>
        <w:spacing w:line="386" w:lineRule="auto" w:before="0"/>
        <w:ind w:right="1117" w:firstLine="423"/>
        <w:jc w:val="left"/>
      </w:pPr>
      <w:r>
        <w:rPr>
          <w:spacing w:val="-1"/>
        </w:rPr>
        <w:t>公司以持续经营为基础，根据实际发生的交易和事项，按照财政部颁布的《企业会计准则</w:t>
      </w:r>
      <w:r>
        <w:rPr>
          <w:rFonts w:ascii="Times New Roman" w:hAnsi="Times New Roman" w:cs="Times New Roman" w:eastAsia="Times New Roman" w:hint="default"/>
          <w:spacing w:val="-1"/>
        </w:rPr>
        <w:t>——</w:t>
      </w:r>
      <w:r>
        <w:rPr>
          <w:spacing w:val="-1"/>
        </w:rPr>
        <w:t>基本准</w:t>
      </w:r>
      <w:r>
        <w:rPr/>
        <w:t> 则》和各项具体会计准则、企业会计准则应用指南、企业会计准则解释及其他相关规定（以下合称</w:t>
      </w:r>
      <w:r>
        <w:rPr>
          <w:rFonts w:ascii="Times New Roman" w:hAnsi="Times New Roman" w:cs="Times New Roman" w:eastAsia="Times New Roman" w:hint="default"/>
        </w:rPr>
        <w:t>“</w:t>
      </w:r>
      <w:r>
        <w:rPr/>
        <w:t>企业 会计准则</w:t>
      </w:r>
      <w:r>
        <w:rPr>
          <w:rFonts w:ascii="Times New Roman" w:hAnsi="Times New Roman" w:cs="Times New Roman" w:eastAsia="Times New Roman" w:hint="default"/>
        </w:rPr>
        <w:t>”</w:t>
      </w:r>
      <w:r>
        <w:rPr/>
        <w:t>），以及中国证券监督管理委员会《公开发行证券的公司信息披露编报规则第</w:t>
      </w:r>
      <w:r>
        <w:rPr>
          <w:rFonts w:ascii="Times New Roman" w:hAnsi="Times New Roman" w:cs="Times New Roman" w:eastAsia="Times New Roman" w:hint="default"/>
        </w:rPr>
        <w:t>15</w:t>
      </w:r>
      <w:r>
        <w:rPr/>
        <w:t>号</w:t>
      </w:r>
      <w:r>
        <w:rPr>
          <w:rFonts w:ascii="Times New Roman" w:hAnsi="Times New Roman" w:cs="Times New Roman" w:eastAsia="Times New Roman" w:hint="default"/>
        </w:rPr>
        <w:t>——</w:t>
      </w:r>
      <w:r>
        <w:rPr/>
        <w:t>财务报 告的一般规定》的披露规定编制财务报表。</w:t>
      </w:r>
    </w:p>
    <w:p>
      <w:pPr>
        <w:spacing w:line="240" w:lineRule="auto" w:before="0"/>
        <w:rPr>
          <w:rFonts w:ascii="宋体" w:hAnsi="宋体" w:cs="宋体" w:eastAsia="宋体" w:hint="default"/>
          <w:sz w:val="22"/>
          <w:szCs w:val="22"/>
        </w:rPr>
      </w:pPr>
    </w:p>
    <w:p>
      <w:pPr>
        <w:spacing w:line="511" w:lineRule="auto" w:before="0"/>
        <w:ind w:left="154" w:right="7392" w:firstLine="0"/>
        <w:jc w:val="left"/>
        <w:rPr>
          <w:rFonts w:ascii="宋体" w:hAnsi="宋体" w:cs="宋体" w:eastAsia="宋体" w:hint="default"/>
          <w:sz w:val="24"/>
          <w:szCs w:val="24"/>
        </w:rPr>
      </w:pPr>
      <w:bookmarkStart w:name="2、持续经营" w:id="169"/>
      <w:bookmarkEnd w:id="169"/>
      <w:r>
        <w:rPr/>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、持续经营</w:t>
      </w:r>
      <w:r>
        <w:rPr>
          <w:rFonts w:ascii="宋体" w:hAnsi="宋体" w:cs="宋体" w:eastAsia="宋体" w:hint="default"/>
          <w:b/>
          <w:bCs/>
          <w:w w:val="99"/>
          <w:sz w:val="21"/>
          <w:szCs w:val="21"/>
        </w:rPr>
        <w:t> </w:t>
      </w:r>
      <w:r>
        <w:rPr>
          <w:rFonts w:ascii="宋体" w:hAnsi="宋体" w:cs="宋体" w:eastAsia="宋体" w:hint="default"/>
          <w:sz w:val="21"/>
          <w:szCs w:val="21"/>
        </w:rPr>
        <w:t>本财务报表以持续经营为基础编制。 </w:t>
      </w:r>
      <w:bookmarkStart w:name="五、重要会计政策及会计估计" w:id="170"/>
      <w:bookmarkEnd w:id="170"/>
      <w:r>
        <w:rPr>
          <w:rFonts w:ascii="宋体" w:hAnsi="宋体" w:cs="宋体" w:eastAsia="宋体" w:hint="default"/>
          <w:sz w:val="21"/>
          <w:szCs w:val="21"/>
        </w:rPr>
      </w:r>
      <w:r>
        <w:rPr>
          <w:rFonts w:ascii="宋体" w:hAnsi="宋体" w:cs="宋体" w:eastAsia="宋体" w:hint="default"/>
          <w:b/>
          <w:bCs/>
          <w:sz w:val="24"/>
          <w:szCs w:val="24"/>
        </w:rPr>
        <w:t>五、重要会计政策及会计估计</w:t>
      </w:r>
      <w:r>
        <w:rPr>
          <w:rFonts w:ascii="宋体" w:hAnsi="宋体" w:cs="宋体" w:eastAsia="宋体" w:hint="default"/>
          <w:sz w:val="24"/>
          <w:szCs w:val="24"/>
        </w:rPr>
      </w:r>
    </w:p>
    <w:p>
      <w:pPr>
        <w:spacing w:line="357" w:lineRule="auto" w:before="76"/>
        <w:ind w:left="154" w:right="7692" w:firstLine="0"/>
        <w:jc w:val="left"/>
        <w:rPr>
          <w:rFonts w:ascii="宋体" w:hAnsi="宋体" w:cs="宋体" w:eastAsia="宋体" w:hint="default"/>
          <w:sz w:val="18"/>
          <w:szCs w:val="18"/>
        </w:rPr>
      </w:pPr>
      <w:r>
        <w:rPr>
          <w:rFonts w:ascii="宋体" w:hAnsi="宋体" w:cs="宋体" w:eastAsia="宋体" w:hint="default"/>
          <w:sz w:val="18"/>
          <w:szCs w:val="18"/>
        </w:rPr>
        <w:t>公司是否需要遵守特殊行业的披露要求 否</w:t>
      </w:r>
    </w:p>
    <w:p>
      <w:pPr>
        <w:spacing w:before="28"/>
        <w:ind w:left="154" w:right="1117" w:firstLine="0"/>
        <w:jc w:val="left"/>
        <w:rPr>
          <w:rFonts w:ascii="宋体" w:hAnsi="宋体" w:cs="宋体" w:eastAsia="宋体" w:hint="default"/>
          <w:sz w:val="18"/>
          <w:szCs w:val="18"/>
        </w:rPr>
      </w:pPr>
      <w:r>
        <w:rPr>
          <w:rFonts w:ascii="宋体" w:hAnsi="宋体" w:cs="宋体" w:eastAsia="宋体" w:hint="default"/>
          <w:sz w:val="18"/>
          <w:szCs w:val="18"/>
        </w:rPr>
        <w:t>具体会计政策和会计估计提示：</w:t>
      </w:r>
    </w:p>
    <w:p>
      <w:pPr>
        <w:pStyle w:val="BodyText"/>
        <w:spacing w:line="340" w:lineRule="auto" w:before="90"/>
        <w:ind w:left="577" w:right="1299" w:hanging="424"/>
        <w:jc w:val="left"/>
      </w:pPr>
      <w:r>
        <w:rPr/>
        <w:t>具体会计政策和会计估计提示： 以下披露内容已涵盖了本公司根据实际生产经营特点制定的具体会计政策和会计估计。详见本附注</w:t>
      </w:r>
    </w:p>
    <w:p>
      <w:pPr>
        <w:pStyle w:val="BodyText"/>
        <w:spacing w:line="240" w:lineRule="auto" w:before="105"/>
        <w:ind w:right="1117"/>
        <w:jc w:val="left"/>
      </w:pPr>
      <w:r>
        <w:rPr/>
        <w:t>“五、（十一）应收账款坏账准备”、“五、（十六）固定资产”、“五、（二十五）收入”。</w:t>
      </w:r>
    </w:p>
    <w:p>
      <w:pPr>
        <w:spacing w:line="670" w:lineRule="atLeast" w:before="37"/>
        <w:ind w:left="577" w:right="1117" w:hanging="424"/>
        <w:jc w:val="left"/>
        <w:rPr>
          <w:rFonts w:ascii="宋体" w:hAnsi="宋体" w:cs="宋体" w:eastAsia="宋体" w:hint="default"/>
          <w:sz w:val="21"/>
          <w:szCs w:val="21"/>
        </w:rPr>
      </w:pPr>
      <w:bookmarkStart w:name="1、遵循企业会计准则的声明" w:id="171"/>
      <w:bookmarkEnd w:id="171"/>
      <w:r>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、遵循企业会计准则的声明</w:t>
      </w:r>
      <w:r>
        <w:rPr>
          <w:rFonts w:ascii="宋体" w:hAnsi="宋体" w:cs="宋体" w:eastAsia="宋体" w:hint="default"/>
          <w:b/>
          <w:bCs/>
          <w:w w:val="99"/>
          <w:sz w:val="21"/>
          <w:szCs w:val="21"/>
        </w:rPr>
        <w:t> </w:t>
      </w:r>
      <w:r>
        <w:rPr>
          <w:rFonts w:ascii="宋体" w:hAnsi="宋体" w:cs="宋体" w:eastAsia="宋体" w:hint="default"/>
          <w:spacing w:val="-1"/>
          <w:sz w:val="21"/>
          <w:szCs w:val="21"/>
        </w:rPr>
        <w:t>公司所编制的财务报表符合企业会计准则的要求，真实、完整地反映了报告期公司的财务状况、经营</w:t>
      </w:r>
    </w:p>
    <w:p>
      <w:pPr>
        <w:spacing w:after="0" w:line="670" w:lineRule="atLeast"/>
        <w:jc w:val="left"/>
        <w:rPr>
          <w:rFonts w:ascii="宋体" w:hAnsi="宋体" w:cs="宋体" w:eastAsia="宋体" w:hint="default"/>
          <w:sz w:val="21"/>
          <w:szCs w:val="21"/>
        </w:rPr>
        <w:sectPr>
          <w:footerReference w:type="default" r:id="rId43"/>
          <w:pgSz w:w="11910" w:h="16840"/>
          <w:pgMar w:footer="979" w:header="877" w:top="1060" w:bottom="1160" w:left="980" w:right="0"/>
          <w:pgNumType w:start="167"/>
        </w:sectPr>
      </w:pPr>
    </w:p>
    <w:p>
      <w:pPr>
        <w:spacing w:line="240" w:lineRule="auto" w:before="0"/>
        <w:rPr>
          <w:rFonts w:ascii="宋体" w:hAnsi="宋体" w:cs="宋体" w:eastAsia="宋体" w:hint="default"/>
          <w:sz w:val="20"/>
          <w:szCs w:val="20"/>
        </w:rPr>
      </w:pPr>
    </w:p>
    <w:p>
      <w:pPr>
        <w:pStyle w:val="BodyText"/>
        <w:spacing w:line="240" w:lineRule="auto" w:before="174"/>
        <w:ind w:right="1117"/>
        <w:jc w:val="left"/>
      </w:pPr>
      <w:r>
        <w:rPr/>
        <w:t>成果、现金流量等有关信息。</w:t>
      </w:r>
    </w:p>
    <w:p>
      <w:pPr>
        <w:spacing w:line="240" w:lineRule="auto" w:before="0"/>
        <w:rPr>
          <w:rFonts w:ascii="宋体" w:hAnsi="宋体" w:cs="宋体" w:eastAsia="宋体" w:hint="default"/>
          <w:sz w:val="20"/>
          <w:szCs w:val="20"/>
        </w:rPr>
      </w:pPr>
    </w:p>
    <w:p>
      <w:pPr>
        <w:spacing w:line="506" w:lineRule="auto" w:before="154"/>
        <w:ind w:left="154" w:right="6552" w:firstLine="0"/>
        <w:jc w:val="left"/>
        <w:rPr>
          <w:rFonts w:ascii="宋体" w:hAnsi="宋体" w:cs="宋体" w:eastAsia="宋体" w:hint="default"/>
          <w:sz w:val="21"/>
          <w:szCs w:val="21"/>
        </w:rPr>
      </w:pPr>
      <w:bookmarkStart w:name="2、会计期间" w:id="172"/>
      <w:bookmarkEnd w:id="172"/>
      <w:r>
        <w:rPr/>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、会计期间</w:t>
      </w:r>
      <w:r>
        <w:rPr>
          <w:rFonts w:ascii="宋体" w:hAnsi="宋体" w:cs="宋体" w:eastAsia="宋体" w:hint="default"/>
          <w:b/>
          <w:bCs/>
          <w:w w:val="99"/>
          <w:sz w:val="21"/>
          <w:szCs w:val="21"/>
        </w:rPr>
        <w:t> </w:t>
      </w:r>
      <w:r>
        <w:rPr>
          <w:rFonts w:ascii="宋体" w:hAnsi="宋体" w:cs="宋体" w:eastAsia="宋体" w:hint="default"/>
          <w:sz w:val="21"/>
          <w:szCs w:val="21"/>
        </w:rPr>
        <w:t>自公历</w:t>
      </w:r>
      <w:r>
        <w:rPr>
          <w:rFonts w:ascii="Times New Roman" w:hAnsi="Times New Roman" w:cs="Times New Roman" w:eastAsia="Times New Roman" w:hint="default"/>
          <w:sz w:val="21"/>
          <w:szCs w:val="21"/>
        </w:rPr>
        <w:t>1</w:t>
      </w:r>
      <w:r>
        <w:rPr>
          <w:rFonts w:ascii="宋体" w:hAnsi="宋体" w:cs="宋体" w:eastAsia="宋体" w:hint="default"/>
          <w:sz w:val="21"/>
          <w:szCs w:val="21"/>
        </w:rPr>
        <w:t>月</w:t>
      </w:r>
      <w:r>
        <w:rPr>
          <w:rFonts w:ascii="Times New Roman" w:hAnsi="Times New Roman" w:cs="Times New Roman" w:eastAsia="Times New Roman" w:hint="default"/>
          <w:sz w:val="21"/>
          <w:szCs w:val="21"/>
        </w:rPr>
        <w:t>1</w:t>
      </w:r>
      <w:r>
        <w:rPr>
          <w:rFonts w:ascii="宋体" w:hAnsi="宋体" w:cs="宋体" w:eastAsia="宋体" w:hint="default"/>
          <w:sz w:val="21"/>
          <w:szCs w:val="21"/>
        </w:rPr>
        <w:t>日至</w:t>
      </w:r>
      <w:r>
        <w:rPr>
          <w:rFonts w:ascii="Times New Roman" w:hAnsi="Times New Roman" w:cs="Times New Roman" w:eastAsia="Times New Roman" w:hint="default"/>
          <w:sz w:val="21"/>
          <w:szCs w:val="21"/>
        </w:rPr>
        <w:t>12</w:t>
      </w:r>
      <w:r>
        <w:rPr>
          <w:rFonts w:ascii="宋体" w:hAnsi="宋体" w:cs="宋体" w:eastAsia="宋体" w:hint="default"/>
          <w:sz w:val="21"/>
          <w:szCs w:val="21"/>
        </w:rPr>
        <w:t>月</w:t>
      </w:r>
      <w:r>
        <w:rPr>
          <w:rFonts w:ascii="Times New Roman" w:hAnsi="Times New Roman" w:cs="Times New Roman" w:eastAsia="Times New Roman" w:hint="default"/>
          <w:sz w:val="21"/>
          <w:szCs w:val="21"/>
        </w:rPr>
        <w:t>31</w:t>
      </w:r>
      <w:r>
        <w:rPr>
          <w:rFonts w:ascii="宋体" w:hAnsi="宋体" w:cs="宋体" w:eastAsia="宋体" w:hint="default"/>
          <w:sz w:val="21"/>
          <w:szCs w:val="21"/>
        </w:rPr>
        <w:t>日止为一个会计年度。 </w:t>
      </w:r>
      <w:bookmarkStart w:name="3、营业周期" w:id="173"/>
      <w:bookmarkEnd w:id="173"/>
      <w:r>
        <w:rPr>
          <w:rFonts w:ascii="宋体" w:hAnsi="宋体" w:cs="宋体" w:eastAsia="宋体" w:hint="default"/>
          <w:sz w:val="21"/>
          <w:szCs w:val="21"/>
        </w:rPr>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、营业周期</w:t>
      </w:r>
      <w:r>
        <w:rPr>
          <w:rFonts w:ascii="宋体" w:hAnsi="宋体" w:cs="宋体" w:eastAsia="宋体" w:hint="default"/>
          <w:sz w:val="21"/>
          <w:szCs w:val="21"/>
        </w:rPr>
      </w:r>
    </w:p>
    <w:p>
      <w:pPr>
        <w:spacing w:line="506" w:lineRule="auto" w:before="63"/>
        <w:ind w:left="154" w:right="7602" w:firstLine="0"/>
        <w:jc w:val="left"/>
        <w:rPr>
          <w:rFonts w:ascii="宋体" w:hAnsi="宋体" w:cs="宋体" w:eastAsia="宋体" w:hint="default"/>
          <w:sz w:val="21"/>
          <w:szCs w:val="21"/>
        </w:rPr>
      </w:pPr>
      <w:r>
        <w:rPr>
          <w:rFonts w:ascii="宋体" w:hAnsi="宋体" w:cs="宋体" w:eastAsia="宋体" w:hint="default"/>
          <w:sz w:val="21"/>
          <w:szCs w:val="21"/>
        </w:rPr>
        <w:t>本公司营业周期为</w:t>
      </w:r>
      <w:r>
        <w:rPr>
          <w:rFonts w:ascii="Times New Roman" w:hAnsi="Times New Roman" w:cs="Times New Roman" w:eastAsia="Times New Roman" w:hint="default"/>
          <w:sz w:val="21"/>
          <w:szCs w:val="21"/>
        </w:rPr>
        <w:t>12</w:t>
      </w:r>
      <w:r>
        <w:rPr>
          <w:rFonts w:ascii="宋体" w:hAnsi="宋体" w:cs="宋体" w:eastAsia="宋体" w:hint="default"/>
          <w:sz w:val="21"/>
          <w:szCs w:val="21"/>
        </w:rPr>
        <w:t>个月。 </w:t>
      </w:r>
      <w:bookmarkStart w:name="4、记账本位币" w:id="174"/>
      <w:bookmarkEnd w:id="174"/>
      <w:r>
        <w:rPr>
          <w:rFonts w:ascii="宋体" w:hAnsi="宋体" w:cs="宋体" w:eastAsia="宋体" w:hint="default"/>
          <w:sz w:val="21"/>
          <w:szCs w:val="21"/>
        </w:rPr>
      </w: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、记账本位币</w:t>
      </w:r>
      <w:r>
        <w:rPr>
          <w:rFonts w:ascii="宋体" w:hAnsi="宋体" w:cs="宋体" w:eastAsia="宋体" w:hint="default"/>
          <w:b/>
          <w:bCs/>
          <w:w w:val="99"/>
          <w:sz w:val="21"/>
          <w:szCs w:val="21"/>
        </w:rPr>
        <w:t> </w:t>
      </w:r>
      <w:r>
        <w:rPr>
          <w:rFonts w:ascii="宋体" w:hAnsi="宋体" w:cs="宋体" w:eastAsia="宋体" w:hint="default"/>
          <w:sz w:val="21"/>
          <w:szCs w:val="21"/>
        </w:rPr>
        <w:t>本公司采用人民币为记账本位币。</w:t>
      </w:r>
    </w:p>
    <w:p>
      <w:pPr>
        <w:pStyle w:val="Heading4"/>
        <w:spacing w:line="240" w:lineRule="auto" w:before="105"/>
        <w:ind w:right="1117"/>
        <w:jc w:val="left"/>
        <w:rPr>
          <w:b w:val="0"/>
          <w:bCs w:val="0"/>
        </w:rPr>
      </w:pPr>
      <w:bookmarkStart w:name="5、同一控制下和非同一控制下企业合并的会计处理方法" w:id="175"/>
      <w:bookmarkEnd w:id="175"/>
      <w:r>
        <w:rPr>
          <w:b w:val="0"/>
          <w:bCs w:val="0"/>
        </w:rPr>
      </w:r>
      <w:r>
        <w:rPr>
          <w:rFonts w:ascii="Times New Roman" w:hAnsi="Times New Roman" w:cs="Times New Roman" w:eastAsia="Times New Roman" w:hint="default"/>
        </w:rPr>
        <w:t>5</w:t>
      </w:r>
      <w:r>
        <w:rPr/>
        <w:t>、同一控制下和非同一控制下企业合并的会计处理方法</w:t>
      </w:r>
      <w:r>
        <w:rPr>
          <w:b w:val="0"/>
          <w:bCs w:val="0"/>
        </w:rPr>
      </w:r>
    </w:p>
    <w:p>
      <w:pPr>
        <w:spacing w:line="240" w:lineRule="auto" w:before="7"/>
        <w:rPr>
          <w:rFonts w:ascii="宋体" w:hAnsi="宋体" w:cs="宋体" w:eastAsia="宋体" w:hint="default"/>
          <w:b/>
          <w:bCs/>
          <w:sz w:val="30"/>
          <w:szCs w:val="30"/>
        </w:rPr>
      </w:pPr>
    </w:p>
    <w:p>
      <w:pPr>
        <w:pStyle w:val="BodyText"/>
        <w:spacing w:line="408" w:lineRule="auto" w:before="0"/>
        <w:ind w:right="1131" w:firstLine="423"/>
        <w:jc w:val="both"/>
      </w:pPr>
      <w:r>
        <w:rPr>
          <w:spacing w:val="-1"/>
        </w:rPr>
        <w:t>同一控制下企业合并：本公司在企业合并中取得的资产和负债，按照合并日被合并方资产、负债（包</w:t>
      </w:r>
      <w:r>
        <w:rPr/>
        <w:t> </w:t>
      </w:r>
      <w:r>
        <w:rPr>
          <w:spacing w:val="-1"/>
        </w:rPr>
        <w:t>括最终控制方收购被合并方而形成的商誉）在最终控制方合并财务报表中的账面价值计量。在合并中取得</w:t>
      </w:r>
      <w:r>
        <w:rPr>
          <w:spacing w:val="-81"/>
        </w:rPr>
        <w:t> </w:t>
      </w:r>
      <w:r>
        <w:rPr>
          <w:spacing w:val="-81"/>
        </w:rPr>
      </w:r>
      <w:r>
        <w:rPr>
          <w:spacing w:val="-1"/>
        </w:rPr>
        <w:t>的净资产账面价值与支付的合并对价账面价值（或发行股份面值总额）的差额，调整资本公积中的股本溢</w:t>
      </w:r>
      <w:r>
        <w:rPr>
          <w:spacing w:val="-83"/>
        </w:rPr>
        <w:t> </w:t>
      </w:r>
      <w:r>
        <w:rPr>
          <w:spacing w:val="-83"/>
        </w:rPr>
      </w:r>
      <w:r>
        <w:rPr/>
        <w:t>价，资本公积中的股本溢价不足冲减的，调整留存收益。</w:t>
      </w:r>
    </w:p>
    <w:p>
      <w:pPr>
        <w:pStyle w:val="BodyText"/>
        <w:spacing w:line="408" w:lineRule="auto"/>
        <w:ind w:right="1131" w:firstLine="423"/>
        <w:jc w:val="both"/>
      </w:pPr>
      <w:r>
        <w:rPr>
          <w:spacing w:val="-1"/>
        </w:rPr>
        <w:t>非同一控制下企业合并：本公司在购买日对作为企业合并对价付出的资产、发生或承担的负债按照公</w:t>
      </w:r>
      <w:r>
        <w:rPr/>
        <w:t> </w:t>
      </w:r>
      <w:r>
        <w:rPr>
          <w:spacing w:val="-1"/>
        </w:rPr>
        <w:t>允价值计量，公允价值与其账面价值的差额，计入当期损益。本公司对合并成本大于合并中取得的被购买</w:t>
      </w:r>
      <w:r>
        <w:rPr>
          <w:spacing w:val="-83"/>
        </w:rPr>
        <w:t> </w:t>
      </w:r>
      <w:r>
        <w:rPr>
          <w:spacing w:val="-83"/>
        </w:rPr>
      </w:r>
      <w:r>
        <w:rPr>
          <w:spacing w:val="-1"/>
        </w:rPr>
        <w:t>方可辨认净资产公允价值份额的差额，确认为商誉；合并成本小于合并中取得的被购买方可辨认净资产公</w:t>
      </w:r>
      <w:r>
        <w:rPr>
          <w:spacing w:val="-81"/>
        </w:rPr>
        <w:t> </w:t>
      </w:r>
      <w:r>
        <w:rPr>
          <w:spacing w:val="-81"/>
        </w:rPr>
      </w:r>
      <w:r>
        <w:rPr/>
        <w:t>允价值份额的差额，经复核后，计入当期损益。</w:t>
      </w:r>
    </w:p>
    <w:p>
      <w:pPr>
        <w:pStyle w:val="BodyText"/>
        <w:spacing w:line="408" w:lineRule="auto"/>
        <w:ind w:right="1133" w:firstLine="423"/>
        <w:jc w:val="both"/>
      </w:pPr>
      <w:r>
        <w:rPr>
          <w:spacing w:val="-1"/>
        </w:rPr>
        <w:t>为企业合并发生的审计、法律服务、评估咨询等中介费用以及其他直接相关费用，于发生时计入当期</w:t>
      </w:r>
      <w:r>
        <w:rPr/>
        <w:t> 损益；为企业合并而发行权益性证券的交易费用，冲减权益。</w:t>
      </w:r>
    </w:p>
    <w:p>
      <w:pPr>
        <w:spacing w:line="240" w:lineRule="auto" w:before="8"/>
        <w:rPr>
          <w:rFonts w:ascii="宋体" w:hAnsi="宋体" w:cs="宋体" w:eastAsia="宋体" w:hint="default"/>
          <w:sz w:val="20"/>
          <w:szCs w:val="20"/>
        </w:rPr>
      </w:pPr>
    </w:p>
    <w:p>
      <w:pPr>
        <w:pStyle w:val="Heading4"/>
        <w:spacing w:line="240" w:lineRule="auto"/>
        <w:ind w:right="1117"/>
        <w:jc w:val="left"/>
        <w:rPr>
          <w:b w:val="0"/>
          <w:bCs w:val="0"/>
        </w:rPr>
      </w:pPr>
      <w:bookmarkStart w:name="6、 合并财务报表的编制方法" w:id="176"/>
      <w:bookmarkEnd w:id="176"/>
      <w:r>
        <w:rPr>
          <w:b w:val="0"/>
          <w:bCs w:val="0"/>
        </w:rPr>
      </w:r>
      <w:r>
        <w:rPr>
          <w:rFonts w:ascii="Times New Roman" w:hAnsi="Times New Roman" w:cs="Times New Roman" w:eastAsia="Times New Roman" w:hint="default"/>
        </w:rPr>
        <w:t>6</w:t>
      </w:r>
      <w:r>
        <w:rPr/>
        <w:t>、</w:t>
      </w:r>
      <w:r>
        <w:rPr>
          <w:spacing w:val="-66"/>
        </w:rPr>
        <w:t> </w:t>
      </w:r>
      <w:r>
        <w:rPr/>
        <w:t>合并财务报表的编制方法</w:t>
      </w:r>
      <w:r>
        <w:rPr>
          <w:b w:val="0"/>
          <w:bCs w:val="0"/>
        </w:rPr>
      </w:r>
    </w:p>
    <w:p>
      <w:pPr>
        <w:spacing w:line="240" w:lineRule="auto" w:before="7"/>
        <w:rPr>
          <w:rFonts w:ascii="宋体" w:hAnsi="宋体" w:cs="宋体" w:eastAsia="宋体" w:hint="default"/>
          <w:b/>
          <w:bCs/>
          <w:sz w:val="30"/>
          <w:szCs w:val="30"/>
        </w:rPr>
      </w:pPr>
    </w:p>
    <w:p>
      <w:pPr>
        <w:pStyle w:val="BodyText"/>
        <w:spacing w:line="408" w:lineRule="auto" w:before="0"/>
        <w:ind w:left="580" w:right="1130" w:hanging="6"/>
        <w:jc w:val="left"/>
      </w:pPr>
      <w:r>
        <w:rPr>
          <w:rFonts w:ascii="宋体" w:hAnsi="宋体" w:cs="宋体" w:eastAsia="宋体" w:hint="default"/>
        </w:rPr>
        <w:t>1.</w:t>
      </w:r>
      <w:r>
        <w:rPr/>
        <w:t>合并范围 </w:t>
      </w:r>
      <w:r>
        <w:rPr>
          <w:spacing w:val="-1"/>
        </w:rPr>
        <w:t>本公司合并财务报表的合并范围以控制为基础确定，所有子公司（包括本公司所控制的被投资方可分</w:t>
      </w:r>
    </w:p>
    <w:p>
      <w:pPr>
        <w:pStyle w:val="BodyText"/>
        <w:spacing w:line="408" w:lineRule="auto"/>
        <w:ind w:left="580" w:right="7602" w:hanging="426"/>
        <w:jc w:val="left"/>
      </w:pPr>
      <w:r>
        <w:rPr/>
        <w:t>割的部分）均纳入合并财务报表。 </w:t>
      </w:r>
      <w:r>
        <w:rPr>
          <w:rFonts w:ascii="宋体" w:hAnsi="宋体" w:cs="宋体" w:eastAsia="宋体" w:hint="default"/>
        </w:rPr>
        <w:t>2.</w:t>
      </w:r>
      <w:r>
        <w:rPr/>
        <w:t>合并程序</w:t>
      </w:r>
    </w:p>
    <w:p>
      <w:pPr>
        <w:pStyle w:val="BodyText"/>
        <w:spacing w:line="408" w:lineRule="auto"/>
        <w:ind w:right="1133" w:firstLine="426"/>
        <w:jc w:val="both"/>
      </w:pPr>
      <w:r>
        <w:rPr>
          <w:spacing w:val="-1"/>
        </w:rPr>
        <w:t>本公司以自身和各子公司的财务报表为基础，根据其他有关资料，编制合并财务报表。本公司编制合</w:t>
      </w:r>
      <w:r>
        <w:rPr/>
        <w:t> </w:t>
      </w:r>
      <w:r>
        <w:rPr>
          <w:spacing w:val="-1"/>
        </w:rPr>
        <w:t>并财务报表，将整个企业集团视为一个会计主体，依据相关企业会计准则的确认、计量和列报要求，按照</w:t>
      </w:r>
      <w:r>
        <w:rPr>
          <w:spacing w:val="-86"/>
        </w:rPr>
        <w:t> </w:t>
      </w:r>
      <w:r>
        <w:rPr>
          <w:spacing w:val="-86"/>
        </w:rPr>
      </w:r>
      <w:r>
        <w:rPr/>
        <w:t>统一的会计政策，反映本企业集团整体财务状况、经营成果和现金流量。</w:t>
      </w:r>
    </w:p>
    <w:p>
      <w:pPr>
        <w:spacing w:after="0" w:line="408" w:lineRule="auto"/>
        <w:jc w:val="both"/>
        <w:sectPr>
          <w:pgSz w:w="11910" w:h="16840"/>
          <w:pgMar w:header="877" w:footer="979" w:top="1060" w:bottom="1160" w:left="980" w:right="0"/>
        </w:sectPr>
      </w:pPr>
    </w:p>
    <w:p>
      <w:pPr>
        <w:spacing w:line="240" w:lineRule="auto" w:before="0"/>
        <w:rPr>
          <w:rFonts w:ascii="宋体" w:hAnsi="宋体" w:cs="宋体" w:eastAsia="宋体" w:hint="default"/>
          <w:sz w:val="20"/>
          <w:szCs w:val="20"/>
        </w:rPr>
      </w:pPr>
    </w:p>
    <w:p>
      <w:pPr>
        <w:pStyle w:val="BodyText"/>
        <w:spacing w:line="408" w:lineRule="auto" w:before="174"/>
        <w:ind w:right="1130" w:firstLine="426"/>
        <w:jc w:val="both"/>
      </w:pPr>
      <w:r>
        <w:rPr>
          <w:spacing w:val="-1"/>
        </w:rPr>
        <w:t>所有纳入合并财务报表合并范围的子公司所采用的会计政策、会计期间与本公司一致，如子公司采用</w:t>
      </w:r>
      <w:r>
        <w:rPr/>
        <w:t> </w:t>
      </w:r>
      <w:r>
        <w:rPr>
          <w:spacing w:val="-1"/>
        </w:rPr>
        <w:t>的会计政策、会计期间与本公司不一致的，在编制合并财务报表时，按本公司的会计政策、会计期间进行</w:t>
      </w:r>
      <w:r>
        <w:rPr>
          <w:spacing w:val="-86"/>
        </w:rPr>
        <w:t> </w:t>
      </w:r>
      <w:r>
        <w:rPr>
          <w:spacing w:val="-86"/>
        </w:rPr>
      </w:r>
      <w:r>
        <w:rPr>
          <w:spacing w:val="-1"/>
        </w:rPr>
        <w:t>必要的调整。对于非同一控制下企业合并取得的子公司，以购买日可辨认净资产公允价值为基础对其财务</w:t>
      </w:r>
      <w:r>
        <w:rPr>
          <w:spacing w:val="-80"/>
        </w:rPr>
        <w:t> </w:t>
      </w:r>
      <w:r>
        <w:rPr>
          <w:spacing w:val="-80"/>
        </w:rPr>
      </w:r>
      <w:r>
        <w:rPr>
          <w:spacing w:val="-1"/>
        </w:rPr>
        <w:t>报表进行调整。对于同一控制下企业合并取得的子公司，以其资产、负债（包括最终控制方收购该子公司</w:t>
      </w:r>
      <w:r>
        <w:rPr>
          <w:spacing w:val="-86"/>
        </w:rPr>
        <w:t> </w:t>
      </w:r>
      <w:r>
        <w:rPr>
          <w:spacing w:val="-86"/>
        </w:rPr>
      </w:r>
      <w:r>
        <w:rPr/>
        <w:t>而形成的商誉）在最终控制方财务报表中的账面价值为基础对其财务报表进行调整。</w:t>
      </w:r>
    </w:p>
    <w:p>
      <w:pPr>
        <w:pStyle w:val="BodyText"/>
        <w:spacing w:line="408" w:lineRule="auto"/>
        <w:ind w:right="1131" w:firstLine="426"/>
        <w:jc w:val="both"/>
      </w:pPr>
      <w:r>
        <w:rPr>
          <w:spacing w:val="-1"/>
        </w:rPr>
        <w:t>子公司所有者权益、当期净损益和当期综合收益中属于少数股东的份额分别在合并资产负债表中所有</w:t>
      </w:r>
      <w:r>
        <w:rPr/>
        <w:t> </w:t>
      </w:r>
      <w:r>
        <w:rPr>
          <w:spacing w:val="-1"/>
        </w:rPr>
        <w:t>者权益项目下、合并利润表中净利润项目下和综合收益总额项目下单独列示。子公司少数股东分担的当期</w:t>
      </w:r>
      <w:r>
        <w:rPr>
          <w:spacing w:val="-81"/>
        </w:rPr>
        <w:t> </w:t>
      </w:r>
      <w:r>
        <w:rPr>
          <w:spacing w:val="-81"/>
        </w:rPr>
      </w:r>
      <w:r>
        <w:rPr/>
        <w:t>亏损超过了少数股东在该子公司期初所有者权益中所享有份额而形成的余额，冲减少数股东权益。</w:t>
      </w:r>
    </w:p>
    <w:p>
      <w:pPr>
        <w:pStyle w:val="BodyText"/>
        <w:spacing w:line="408" w:lineRule="auto"/>
        <w:ind w:left="580" w:right="1130"/>
        <w:jc w:val="left"/>
      </w:pPr>
      <w:r>
        <w:rPr/>
        <w:t>（</w:t>
      </w:r>
      <w:r>
        <w:rPr>
          <w:rFonts w:ascii="宋体" w:hAnsi="宋体" w:cs="宋体" w:eastAsia="宋体" w:hint="default"/>
        </w:rPr>
        <w:t>1</w:t>
      </w:r>
      <w:r>
        <w:rPr/>
        <w:t>）增加子公司或业务 </w:t>
      </w:r>
      <w:r>
        <w:rPr>
          <w:spacing w:val="-1"/>
        </w:rPr>
        <w:t>在报告期内，若因同一控制下企业合并增加子公司或业务的，则调整合并资产负债表的期初数；将子</w:t>
      </w:r>
    </w:p>
    <w:p>
      <w:pPr>
        <w:pStyle w:val="BodyText"/>
        <w:spacing w:line="408" w:lineRule="auto"/>
        <w:ind w:right="1131"/>
        <w:jc w:val="both"/>
      </w:pPr>
      <w:r>
        <w:rPr>
          <w:spacing w:val="-1"/>
        </w:rPr>
        <w:t>公司或业务合并当期期初至报告期末的收入、费用、利润纳入合并利润表；将子公司或业务合并当期期初</w:t>
      </w:r>
      <w:r>
        <w:rPr>
          <w:spacing w:val="-83"/>
        </w:rPr>
        <w:t> </w:t>
      </w:r>
      <w:r>
        <w:rPr>
          <w:spacing w:val="-83"/>
        </w:rPr>
      </w:r>
      <w:r>
        <w:rPr>
          <w:spacing w:val="-1"/>
        </w:rPr>
        <w:t>至报告期末的现金流量纳入合并现金流量表，同时对比较报表的相关项目进行调整，视同合并后的报告主</w:t>
      </w:r>
      <w:r>
        <w:rPr>
          <w:spacing w:val="-81"/>
        </w:rPr>
        <w:t> </w:t>
      </w:r>
      <w:r>
        <w:rPr>
          <w:spacing w:val="-81"/>
        </w:rPr>
      </w:r>
      <w:r>
        <w:rPr/>
        <w:t>体自最终控制方开始控制时点起一直存在。</w:t>
      </w:r>
    </w:p>
    <w:p>
      <w:pPr>
        <w:pStyle w:val="BodyText"/>
        <w:spacing w:line="408" w:lineRule="auto"/>
        <w:ind w:right="1131" w:firstLine="426"/>
        <w:jc w:val="both"/>
      </w:pPr>
      <w:r>
        <w:rPr>
          <w:spacing w:val="-1"/>
        </w:rPr>
        <w:t>因追加投资等原因能够对同一控制下的被投资方实施控制的，视同参与合并的各方在最终控制方开始</w:t>
      </w:r>
      <w:r>
        <w:rPr/>
        <w:t> </w:t>
      </w:r>
      <w:r>
        <w:rPr>
          <w:spacing w:val="-1"/>
        </w:rPr>
        <w:t>控制时即以目前的状态存在进行调整。在取得被合并方控制权之前持有的股权投资，在取得原股权之日与</w:t>
      </w:r>
      <w:r>
        <w:rPr>
          <w:spacing w:val="-81"/>
        </w:rPr>
        <w:t> </w:t>
      </w:r>
      <w:r>
        <w:rPr>
          <w:spacing w:val="-81"/>
        </w:rPr>
      </w:r>
      <w:r>
        <w:rPr>
          <w:spacing w:val="-1"/>
        </w:rPr>
        <w:t>合并方和被合并方同处于同一控制之日孰晚日起至合并日之间已确认有关损益、其他综合收益以及其他净</w:t>
      </w:r>
      <w:r>
        <w:rPr>
          <w:spacing w:val="-81"/>
        </w:rPr>
        <w:t> </w:t>
      </w:r>
      <w:r>
        <w:rPr>
          <w:spacing w:val="-81"/>
        </w:rPr>
      </w:r>
      <w:r>
        <w:rPr/>
        <w:t>资产变动，分别冲减比较报表期间的期初留存收益或当期损益。</w:t>
      </w:r>
    </w:p>
    <w:p>
      <w:pPr>
        <w:pStyle w:val="BodyText"/>
        <w:spacing w:line="408" w:lineRule="auto"/>
        <w:ind w:right="1131" w:firstLine="426"/>
        <w:jc w:val="both"/>
      </w:pPr>
      <w:r>
        <w:rPr>
          <w:spacing w:val="-1"/>
        </w:rPr>
        <w:t>在报告期内，若因非同一控制下企业合并增加子公司或业务的，则不调整合并资产负债表期初数；将</w:t>
      </w:r>
      <w:r>
        <w:rPr/>
        <w:t> </w:t>
      </w:r>
      <w:r>
        <w:rPr>
          <w:spacing w:val="-1"/>
        </w:rPr>
        <w:t>该子公司或业务自购买日至报告期末的收入、费用、利润纳入合并利润表；该子公司或业务自购买日至报</w:t>
      </w:r>
      <w:r>
        <w:rPr>
          <w:spacing w:val="-83"/>
        </w:rPr>
        <w:t> </w:t>
      </w:r>
      <w:r>
        <w:rPr>
          <w:spacing w:val="-83"/>
        </w:rPr>
      </w:r>
      <w:r>
        <w:rPr/>
        <w:t>告期末的现金流量纳入合并现金流量表。</w:t>
      </w:r>
    </w:p>
    <w:p>
      <w:pPr>
        <w:pStyle w:val="BodyText"/>
        <w:spacing w:line="408" w:lineRule="auto"/>
        <w:ind w:right="1131" w:firstLine="426"/>
        <w:jc w:val="both"/>
      </w:pPr>
      <w:r>
        <w:rPr>
          <w:spacing w:val="-1"/>
        </w:rPr>
        <w:t>因追加投资等原因能够对非同一控制下的被投资方实施控制的，对于购买日之前持有的被购买方的股</w:t>
      </w:r>
      <w:r>
        <w:rPr/>
        <w:t> </w:t>
      </w:r>
      <w:r>
        <w:rPr>
          <w:spacing w:val="-1"/>
        </w:rPr>
        <w:t>权，本公司按照该股权在购买日的公允价值进行重新计量，公允价值与其账面价值的差额计入当期投资收</w:t>
      </w:r>
      <w:r>
        <w:rPr>
          <w:spacing w:val="-81"/>
        </w:rPr>
        <w:t> </w:t>
      </w:r>
      <w:r>
        <w:rPr>
          <w:spacing w:val="-81"/>
        </w:rPr>
      </w:r>
      <w:r>
        <w:rPr>
          <w:spacing w:val="-1"/>
        </w:rPr>
        <w:t>益。购买日之前持有的被购买方的股权涉及权益法核算下的其他综合收益以及除净损益、其他综合收益和</w:t>
      </w:r>
      <w:r>
        <w:rPr>
          <w:spacing w:val="-81"/>
        </w:rPr>
        <w:t> </w:t>
      </w:r>
      <w:r>
        <w:rPr>
          <w:spacing w:val="-81"/>
        </w:rPr>
      </w:r>
      <w:r>
        <w:rPr>
          <w:spacing w:val="-1"/>
        </w:rPr>
        <w:t>利润分配之外的其他所有者权益变动的，与其相关的其他综合收益、其他所有者权益变动转为购买日所属</w:t>
      </w:r>
      <w:r>
        <w:rPr>
          <w:spacing w:val="-81"/>
        </w:rPr>
        <w:t> </w:t>
      </w:r>
      <w:r>
        <w:rPr>
          <w:spacing w:val="-81"/>
        </w:rPr>
      </w:r>
      <w:r>
        <w:rPr/>
        <w:t>当期投资收益，由于被投资方重新计量设定受益计划净负债或净资产变动而产生的其他综合收益除外。</w:t>
      </w:r>
    </w:p>
    <w:p>
      <w:pPr>
        <w:pStyle w:val="BodyText"/>
        <w:spacing w:line="240" w:lineRule="auto"/>
        <w:ind w:left="580" w:right="1117"/>
        <w:jc w:val="left"/>
      </w:pPr>
      <w:r>
        <w:rPr/>
        <w:t>（</w:t>
      </w:r>
      <w:r>
        <w:rPr>
          <w:rFonts w:ascii="宋体" w:hAnsi="宋体" w:cs="宋体" w:eastAsia="宋体" w:hint="default"/>
        </w:rPr>
        <w:t>2</w:t>
      </w:r>
      <w:r>
        <w:rPr/>
        <w:t>）处置子公司或业务</w:t>
      </w:r>
    </w:p>
    <w:p>
      <w:pPr>
        <w:spacing w:line="240" w:lineRule="auto" w:before="10"/>
        <w:rPr>
          <w:rFonts w:ascii="宋体" w:hAnsi="宋体" w:cs="宋体" w:eastAsia="宋体" w:hint="default"/>
          <w:sz w:val="14"/>
          <w:szCs w:val="14"/>
        </w:rPr>
      </w:pPr>
    </w:p>
    <w:p>
      <w:pPr>
        <w:pStyle w:val="BodyText"/>
        <w:spacing w:line="408" w:lineRule="auto" w:before="0"/>
        <w:ind w:left="580" w:right="1130"/>
        <w:jc w:val="left"/>
      </w:pPr>
      <w:r>
        <w:rPr/>
        <w:t>①一般处理方法 </w:t>
      </w:r>
      <w:r>
        <w:rPr>
          <w:spacing w:val="-1"/>
        </w:rPr>
        <w:t>在报告期内，本公司处置子公司或业务，则该子公司或业务期初至处置日的收入、费用、利润纳入合</w:t>
      </w:r>
    </w:p>
    <w:p>
      <w:pPr>
        <w:pStyle w:val="BodyText"/>
        <w:spacing w:line="408" w:lineRule="auto"/>
        <w:ind w:left="580" w:right="1130" w:hanging="426"/>
        <w:jc w:val="left"/>
      </w:pPr>
      <w:r>
        <w:rPr/>
        <w:t>并利润表；该子公司或业务期初至处置日的现金流量纳入合并现金流量表。 </w:t>
      </w:r>
      <w:r>
        <w:rPr>
          <w:spacing w:val="-1"/>
        </w:rPr>
        <w:t>因处置部分股权投资或其他原因丧失了对被投资方控制权时，对于处置后的剩余股权投资，本公司按</w:t>
      </w:r>
    </w:p>
    <w:p>
      <w:pPr>
        <w:spacing w:after="0" w:line="408" w:lineRule="auto"/>
        <w:jc w:val="left"/>
        <w:sectPr>
          <w:pgSz w:w="11910" w:h="16840"/>
          <w:pgMar w:header="877" w:footer="979" w:top="1060" w:bottom="1160" w:left="980" w:right="0"/>
        </w:sectPr>
      </w:pPr>
    </w:p>
    <w:p>
      <w:pPr>
        <w:spacing w:line="240" w:lineRule="auto" w:before="0"/>
        <w:rPr>
          <w:rFonts w:ascii="宋体" w:hAnsi="宋体" w:cs="宋体" w:eastAsia="宋体" w:hint="default"/>
          <w:sz w:val="20"/>
          <w:szCs w:val="20"/>
        </w:rPr>
      </w:pPr>
    </w:p>
    <w:p>
      <w:pPr>
        <w:pStyle w:val="BodyText"/>
        <w:spacing w:line="408" w:lineRule="auto" w:before="174"/>
        <w:ind w:right="1131"/>
        <w:jc w:val="both"/>
      </w:pPr>
      <w:r>
        <w:rPr>
          <w:spacing w:val="-1"/>
        </w:rPr>
        <w:t>照其在丧失控制权日的公允价值进行重新计量。处置股权取得的对价与剩余股权公允价值之和，减去按原</w:t>
      </w:r>
      <w:r>
        <w:rPr>
          <w:spacing w:val="-81"/>
        </w:rPr>
        <w:t> </w:t>
      </w:r>
      <w:r>
        <w:rPr>
          <w:spacing w:val="-81"/>
        </w:rPr>
      </w:r>
      <w:r>
        <w:rPr>
          <w:spacing w:val="-1"/>
        </w:rPr>
        <w:t>持股比例计算应享有原有子公司自购买日或合并日开始持续计算的净资产的份额与商誉之和的差额，计入</w:t>
      </w:r>
      <w:r>
        <w:rPr>
          <w:spacing w:val="-81"/>
        </w:rPr>
        <w:t> </w:t>
      </w:r>
      <w:r>
        <w:rPr>
          <w:spacing w:val="-81"/>
        </w:rPr>
      </w:r>
      <w:r>
        <w:rPr>
          <w:spacing w:val="-1"/>
        </w:rPr>
        <w:t>丧失控制权当期的投资收益。与原有子公司股权投资相关的其他综合收益或除净损益、其他综合收益及利</w:t>
      </w:r>
      <w:r>
        <w:rPr>
          <w:spacing w:val="-81"/>
        </w:rPr>
        <w:t> </w:t>
      </w:r>
      <w:r>
        <w:rPr>
          <w:spacing w:val="-81"/>
        </w:rPr>
      </w:r>
      <w:r>
        <w:rPr>
          <w:spacing w:val="-1"/>
        </w:rPr>
        <w:t>润分配之外的其他所有者权益变动，在丧失控制权时转为当期投资收益，由于被投资方重新计量设定受益</w:t>
      </w:r>
      <w:r>
        <w:rPr>
          <w:spacing w:val="-81"/>
        </w:rPr>
        <w:t> </w:t>
      </w:r>
      <w:r>
        <w:rPr>
          <w:spacing w:val="-81"/>
        </w:rPr>
      </w:r>
      <w:r>
        <w:rPr/>
        <w:t>计划净负债或净资产变动而产生的其他综合收益除外。</w:t>
      </w:r>
    </w:p>
    <w:p>
      <w:pPr>
        <w:pStyle w:val="BodyText"/>
        <w:spacing w:line="240" w:lineRule="auto"/>
        <w:ind w:left="580" w:right="0"/>
        <w:jc w:val="left"/>
      </w:pPr>
      <w:r>
        <w:rPr/>
        <w:t>因其他投资方对子公司增资而导致本公司持股比例下降从而丧失控制权的，按照上述原则进行会计处</w:t>
      </w:r>
    </w:p>
    <w:p>
      <w:pPr>
        <w:spacing w:line="240" w:lineRule="auto" w:before="10"/>
        <w:rPr>
          <w:rFonts w:ascii="宋体" w:hAnsi="宋体" w:cs="宋体" w:eastAsia="宋体" w:hint="default"/>
          <w:sz w:val="14"/>
          <w:szCs w:val="14"/>
        </w:rPr>
      </w:pPr>
    </w:p>
    <w:p>
      <w:pPr>
        <w:pStyle w:val="BodyText"/>
        <w:spacing w:line="240" w:lineRule="auto" w:before="0"/>
        <w:ind w:right="0"/>
        <w:jc w:val="both"/>
      </w:pPr>
      <w:r>
        <w:rPr/>
        <w:t>理。</w:t>
      </w:r>
    </w:p>
    <w:p>
      <w:pPr>
        <w:spacing w:line="240" w:lineRule="auto" w:before="10"/>
        <w:rPr>
          <w:rFonts w:ascii="宋体" w:hAnsi="宋体" w:cs="宋体" w:eastAsia="宋体" w:hint="default"/>
          <w:sz w:val="14"/>
          <w:szCs w:val="14"/>
        </w:rPr>
      </w:pPr>
    </w:p>
    <w:p>
      <w:pPr>
        <w:pStyle w:val="BodyText"/>
        <w:spacing w:line="408" w:lineRule="auto" w:before="0"/>
        <w:ind w:left="580" w:right="1130"/>
        <w:jc w:val="left"/>
      </w:pPr>
      <w:r>
        <w:rPr/>
        <w:t>②分步处置子公司 </w:t>
      </w:r>
      <w:r>
        <w:rPr>
          <w:spacing w:val="-1"/>
        </w:rPr>
        <w:t>通过多次交易分步处置对子公司股权投资直至丧失控制权的，处置对子公司股权投资的各项交易的条</w:t>
      </w:r>
    </w:p>
    <w:p>
      <w:pPr>
        <w:pStyle w:val="BodyText"/>
        <w:spacing w:line="408" w:lineRule="auto"/>
        <w:ind w:right="1131"/>
        <w:jc w:val="both"/>
      </w:pPr>
      <w:r>
        <w:rPr>
          <w:spacing w:val="-1"/>
        </w:rPr>
        <w:t>款、条件以及经济影响符合以下一种或多种情况，通常表明应将多次交易事项作为一揽子交易进行会计处</w:t>
      </w:r>
      <w:r>
        <w:rPr>
          <w:spacing w:val="-81"/>
        </w:rPr>
        <w:t> </w:t>
      </w:r>
      <w:r>
        <w:rPr>
          <w:spacing w:val="-81"/>
        </w:rPr>
      </w:r>
      <w:r>
        <w:rPr/>
        <w:t>理：</w:t>
      </w:r>
    </w:p>
    <w:p>
      <w:pPr>
        <w:pStyle w:val="BodyText"/>
        <w:spacing w:line="408" w:lineRule="auto"/>
        <w:ind w:left="580" w:right="1130"/>
        <w:jc w:val="left"/>
      </w:pPr>
      <w:r>
        <w:rPr/>
        <w:t>ⅰ．这些交易是同时或者在考虑了彼此影响的情况下订立的； ⅱ．这些交易整体才能达成一项完整的商业结果； ⅲ．一项交易的发生取决于其他至少一项交易的发生； ⅳ．一项交易单独看是不经济的，但是和其他交易一并考虑时是经济的。 </w:t>
      </w:r>
      <w:r>
        <w:rPr>
          <w:spacing w:val="-1"/>
        </w:rPr>
        <w:t>处置对子公司股权投资直至丧失控制权的各项交易属于一揽子交易的，本公司将各项交易作为一项处</w:t>
      </w:r>
    </w:p>
    <w:p>
      <w:pPr>
        <w:pStyle w:val="BodyText"/>
        <w:spacing w:line="408" w:lineRule="auto"/>
        <w:ind w:right="1131"/>
        <w:jc w:val="both"/>
      </w:pPr>
      <w:r>
        <w:rPr>
          <w:spacing w:val="-1"/>
        </w:rPr>
        <w:t>置子公司并丧失控制权的交易进行会计处理；但是，在丧失控制权之前每一次处置价款与处置投资对应的</w:t>
      </w:r>
      <w:r>
        <w:rPr>
          <w:spacing w:val="-81"/>
        </w:rPr>
        <w:t> </w:t>
      </w:r>
      <w:r>
        <w:rPr>
          <w:spacing w:val="-81"/>
        </w:rPr>
      </w:r>
      <w:r>
        <w:rPr>
          <w:spacing w:val="-1"/>
        </w:rPr>
        <w:t>享有该子公司净资产份额的差额，在合并财务报表中确认为其他综合收益，在丧失控制权时一并转入丧失</w:t>
      </w:r>
      <w:r>
        <w:rPr>
          <w:spacing w:val="-81"/>
        </w:rPr>
        <w:t> </w:t>
      </w:r>
      <w:r>
        <w:rPr>
          <w:spacing w:val="-81"/>
        </w:rPr>
      </w:r>
      <w:r>
        <w:rPr/>
        <w:t>控制权当期的损益。</w:t>
      </w:r>
    </w:p>
    <w:p>
      <w:pPr>
        <w:pStyle w:val="BodyText"/>
        <w:spacing w:line="408" w:lineRule="auto"/>
        <w:ind w:right="1131" w:firstLine="426"/>
        <w:jc w:val="both"/>
      </w:pPr>
      <w:r>
        <w:rPr>
          <w:spacing w:val="-1"/>
        </w:rPr>
        <w:t>处置对子公司股权投资直至丧失控制权的各项交易不属于一揽子交易的，在丧失控制权之前，按不丧</w:t>
      </w:r>
      <w:r>
        <w:rPr/>
        <w:t> </w:t>
      </w:r>
      <w:r>
        <w:rPr>
          <w:spacing w:val="-1"/>
        </w:rPr>
        <w:t>失控制权的情况下部分处置对子公司的股权投资的相关政策进行会计处理；在丧失控制权时，按处置子公</w:t>
      </w:r>
      <w:r>
        <w:rPr>
          <w:spacing w:val="-81"/>
        </w:rPr>
        <w:t> </w:t>
      </w:r>
      <w:r>
        <w:rPr>
          <w:spacing w:val="-81"/>
        </w:rPr>
      </w:r>
      <w:r>
        <w:rPr/>
        <w:t>司一般处理方法进行会计处理。</w:t>
      </w:r>
    </w:p>
    <w:p>
      <w:pPr>
        <w:pStyle w:val="BodyText"/>
        <w:spacing w:line="408" w:lineRule="auto"/>
        <w:ind w:left="580" w:right="1130"/>
        <w:jc w:val="left"/>
      </w:pPr>
      <w:r>
        <w:rPr/>
        <w:t>（</w:t>
      </w:r>
      <w:r>
        <w:rPr>
          <w:rFonts w:ascii="宋体" w:hAnsi="宋体" w:cs="宋体" w:eastAsia="宋体" w:hint="default"/>
        </w:rPr>
        <w:t>3</w:t>
      </w:r>
      <w:r>
        <w:rPr/>
        <w:t>）购买子公司少数股权 </w:t>
      </w:r>
      <w:r>
        <w:rPr>
          <w:spacing w:val="-1"/>
        </w:rPr>
        <w:t>本公司因购买少数股权新取得的长期股权投资与按照新增持股比例计算应享有子公司自购买日（或合</w:t>
      </w:r>
    </w:p>
    <w:p>
      <w:pPr>
        <w:pStyle w:val="BodyText"/>
        <w:spacing w:line="408" w:lineRule="auto"/>
        <w:ind w:right="1131"/>
        <w:jc w:val="both"/>
      </w:pPr>
      <w:r>
        <w:rPr>
          <w:spacing w:val="-1"/>
        </w:rPr>
        <w:t>并日）开始持续计算的净资产份额之间的差额，调整合并资产负债表中的资本公积中的股本溢价，资本公</w:t>
      </w:r>
      <w:r>
        <w:rPr>
          <w:spacing w:val="-83"/>
        </w:rPr>
        <w:t> </w:t>
      </w:r>
      <w:r>
        <w:rPr>
          <w:spacing w:val="-83"/>
        </w:rPr>
      </w:r>
      <w:r>
        <w:rPr/>
        <w:t>积中的股本溢价不足冲减的，调整留存收益。</w:t>
      </w:r>
    </w:p>
    <w:p>
      <w:pPr>
        <w:pStyle w:val="BodyText"/>
        <w:spacing w:line="408" w:lineRule="auto"/>
        <w:ind w:left="580" w:right="1296"/>
        <w:jc w:val="left"/>
      </w:pPr>
      <w:r>
        <w:rPr/>
        <w:t>（</w:t>
      </w:r>
      <w:r>
        <w:rPr>
          <w:rFonts w:ascii="宋体" w:hAnsi="宋体" w:cs="宋体" w:eastAsia="宋体" w:hint="default"/>
        </w:rPr>
        <w:t>4</w:t>
      </w:r>
      <w:r>
        <w:rPr/>
        <w:t>）不丧失控制权的情况下部分处置对子公司的股权投资 在不丧失控制权的情况下因部分处置对子公司的长期股权投资而取得的处置价款与处置长期股权投</w:t>
      </w:r>
    </w:p>
    <w:p>
      <w:pPr>
        <w:pStyle w:val="BodyText"/>
        <w:spacing w:line="408" w:lineRule="auto"/>
        <w:ind w:right="1132"/>
        <w:jc w:val="both"/>
      </w:pPr>
      <w:r>
        <w:rPr>
          <w:spacing w:val="-1"/>
        </w:rPr>
        <w:t>资相对应享有子公司自购买日或合并日开始持续计算的净资产份额之间的差额，调整合并资产负债表中的</w:t>
      </w:r>
      <w:r>
        <w:rPr>
          <w:spacing w:val="-81"/>
        </w:rPr>
        <w:t> </w:t>
      </w:r>
      <w:r>
        <w:rPr>
          <w:spacing w:val="-81"/>
        </w:rPr>
      </w:r>
      <w:r>
        <w:rPr/>
        <w:t>资本公积中的股本溢价，资本公积中的股本溢价不足冲减的，调整留存收益。</w:t>
      </w:r>
    </w:p>
    <w:p>
      <w:pPr>
        <w:spacing w:after="0" w:line="408" w:lineRule="auto"/>
        <w:jc w:val="both"/>
        <w:sectPr>
          <w:pgSz w:w="11910" w:h="16840"/>
          <w:pgMar w:header="877" w:footer="979" w:top="1060" w:bottom="1160" w:left="980" w:right="0"/>
        </w:sectPr>
      </w:pPr>
    </w:p>
    <w:p>
      <w:pPr>
        <w:spacing w:line="240" w:lineRule="auto" w:before="10"/>
        <w:rPr>
          <w:rFonts w:ascii="宋体" w:hAnsi="宋体" w:cs="宋体" w:eastAsia="宋体" w:hint="default"/>
          <w:sz w:val="24"/>
          <w:szCs w:val="24"/>
        </w:rPr>
      </w:pPr>
    </w:p>
    <w:p>
      <w:pPr>
        <w:pStyle w:val="Heading4"/>
        <w:spacing w:line="240" w:lineRule="auto" w:before="35"/>
        <w:ind w:right="1117"/>
        <w:jc w:val="left"/>
        <w:rPr>
          <w:b w:val="0"/>
          <w:bCs w:val="0"/>
        </w:rPr>
      </w:pPr>
      <w:bookmarkStart w:name="7、合营安排分类及共同经营会计处理方法" w:id="177"/>
      <w:bookmarkEnd w:id="177"/>
      <w:r>
        <w:rPr>
          <w:b w:val="0"/>
          <w:bCs w:val="0"/>
        </w:rPr>
      </w:r>
      <w:r>
        <w:rPr>
          <w:rFonts w:ascii="Times New Roman" w:hAnsi="Times New Roman" w:cs="Times New Roman" w:eastAsia="Times New Roman" w:hint="default"/>
        </w:rPr>
        <w:t>7</w:t>
      </w:r>
      <w:r>
        <w:rPr/>
        <w:t>、合营安排分类及共同经营会计处理方法</w:t>
      </w:r>
      <w:r>
        <w:rPr>
          <w:b w:val="0"/>
          <w:bCs w:val="0"/>
        </w:rPr>
      </w:r>
    </w:p>
    <w:p>
      <w:pPr>
        <w:spacing w:line="240" w:lineRule="auto" w:before="7"/>
        <w:rPr>
          <w:rFonts w:ascii="宋体" w:hAnsi="宋体" w:cs="宋体" w:eastAsia="宋体" w:hint="default"/>
          <w:b/>
          <w:bCs/>
          <w:sz w:val="30"/>
          <w:szCs w:val="30"/>
        </w:rPr>
      </w:pPr>
    </w:p>
    <w:p>
      <w:pPr>
        <w:pStyle w:val="BodyText"/>
        <w:spacing w:line="408" w:lineRule="auto" w:before="0"/>
        <w:ind w:right="1512"/>
        <w:jc w:val="left"/>
      </w:pPr>
      <w:r>
        <w:rPr/>
        <w:t>合营安排分为共同经营和合营企业。 当本公司是合营安排的合营方，享有该安排相关资产且承担该安排相关负债时，为共同经营。 本公司确认与共同经营中利益份额相关的下列项目，并按照相关企业会计准则的规定进行会计处理：</w:t>
      </w:r>
    </w:p>
    <w:p>
      <w:pPr>
        <w:pStyle w:val="BodyText"/>
        <w:spacing w:line="240" w:lineRule="auto"/>
        <w:ind w:right="1117"/>
        <w:jc w:val="left"/>
      </w:pPr>
      <w:r>
        <w:rPr/>
        <w:t>（</w:t>
      </w:r>
      <w:r>
        <w:rPr>
          <w:rFonts w:ascii="Times New Roman" w:hAnsi="Times New Roman" w:cs="Times New Roman" w:eastAsia="Times New Roman" w:hint="default"/>
        </w:rPr>
        <w:t>1</w:t>
      </w:r>
      <w:r>
        <w:rPr/>
        <w:t>）确认本公司单独所持有的资产，以及按本公司份额确认共同持有的资产；</w:t>
      </w:r>
    </w:p>
    <w:p>
      <w:pPr>
        <w:pStyle w:val="BodyText"/>
        <w:spacing w:line="240" w:lineRule="auto" w:before="177"/>
        <w:ind w:right="1117"/>
        <w:jc w:val="left"/>
      </w:pPr>
      <w:r>
        <w:rPr/>
        <w:t>（</w:t>
      </w:r>
      <w:r>
        <w:rPr>
          <w:rFonts w:ascii="Times New Roman" w:hAnsi="Times New Roman" w:cs="Times New Roman" w:eastAsia="Times New Roman" w:hint="default"/>
        </w:rPr>
        <w:t>2</w:t>
      </w:r>
      <w:r>
        <w:rPr/>
        <w:t>）确认本公司单独所承担的负债，以及按本公司份额确认共同承担的负债；</w:t>
      </w:r>
    </w:p>
    <w:p>
      <w:pPr>
        <w:pStyle w:val="BodyText"/>
        <w:spacing w:line="240" w:lineRule="auto" w:before="177"/>
        <w:ind w:right="1117"/>
        <w:jc w:val="left"/>
      </w:pPr>
      <w:r>
        <w:rPr/>
        <w:t>（</w:t>
      </w:r>
      <w:r>
        <w:rPr>
          <w:rFonts w:ascii="Times New Roman" w:hAnsi="Times New Roman" w:cs="Times New Roman" w:eastAsia="Times New Roman" w:hint="default"/>
        </w:rPr>
        <w:t>3</w:t>
      </w:r>
      <w:r>
        <w:rPr/>
        <w:t>）确认出售本公司享有的共同经营产出份额所产生的收入；</w:t>
      </w:r>
    </w:p>
    <w:p>
      <w:pPr>
        <w:pStyle w:val="BodyText"/>
        <w:spacing w:line="240" w:lineRule="auto" w:before="177"/>
        <w:ind w:right="1117"/>
        <w:jc w:val="left"/>
      </w:pPr>
      <w:r>
        <w:rPr/>
        <w:t>（</w:t>
      </w:r>
      <w:r>
        <w:rPr>
          <w:rFonts w:ascii="Times New Roman" w:hAnsi="Times New Roman" w:cs="Times New Roman" w:eastAsia="Times New Roman" w:hint="default"/>
        </w:rPr>
        <w:t>4</w:t>
      </w:r>
      <w:r>
        <w:rPr/>
        <w:t>）按本公司份额确认共同经营因出售产出所产生的收入；</w:t>
      </w:r>
    </w:p>
    <w:p>
      <w:pPr>
        <w:pStyle w:val="BodyText"/>
        <w:spacing w:line="386" w:lineRule="auto" w:before="177"/>
        <w:ind w:right="3717"/>
        <w:jc w:val="left"/>
      </w:pPr>
      <w:r>
        <w:rPr/>
        <w:t>（</w:t>
      </w:r>
      <w:r>
        <w:rPr>
          <w:rFonts w:ascii="Times New Roman" w:hAnsi="Times New Roman" w:cs="Times New Roman" w:eastAsia="Times New Roman" w:hint="default"/>
        </w:rPr>
        <w:t>5</w:t>
      </w:r>
      <w:r>
        <w:rPr/>
        <w:t>）确认单独所发生的费用，以及按本公司份额确认共同经营发生的费用。 本公司对合营企业投资的会计政策见本附注</w:t>
      </w:r>
      <w:r>
        <w:rPr>
          <w:rFonts w:ascii="Times New Roman" w:hAnsi="Times New Roman" w:cs="Times New Roman" w:eastAsia="Times New Roman" w:hint="default"/>
        </w:rPr>
        <w:t>“</w:t>
      </w:r>
      <w:r>
        <w:rPr/>
        <w:t>五、（十四）长期股权投资</w:t>
      </w:r>
      <w:r>
        <w:rPr>
          <w:rFonts w:ascii="Times New Roman" w:hAnsi="Times New Roman" w:cs="Times New Roman" w:eastAsia="Times New Roman" w:hint="default"/>
        </w:rPr>
        <w:t>”</w:t>
      </w:r>
      <w:r>
        <w:rPr/>
        <w:t>。</w:t>
      </w:r>
    </w:p>
    <w:p>
      <w:pPr>
        <w:spacing w:line="240" w:lineRule="auto" w:before="10"/>
        <w:rPr>
          <w:rFonts w:ascii="宋体" w:hAnsi="宋体" w:cs="宋体" w:eastAsia="宋体" w:hint="default"/>
          <w:sz w:val="19"/>
          <w:szCs w:val="19"/>
        </w:rPr>
      </w:pPr>
    </w:p>
    <w:p>
      <w:pPr>
        <w:pStyle w:val="Heading4"/>
        <w:spacing w:line="240" w:lineRule="auto"/>
        <w:ind w:right="1117"/>
        <w:jc w:val="left"/>
        <w:rPr>
          <w:b w:val="0"/>
          <w:bCs w:val="0"/>
        </w:rPr>
      </w:pPr>
      <w:bookmarkStart w:name="8、现金及现金等价物的确定标准" w:id="178"/>
      <w:bookmarkEnd w:id="178"/>
      <w:r>
        <w:rPr>
          <w:b w:val="0"/>
          <w:bCs w:val="0"/>
        </w:rPr>
      </w:r>
      <w:r>
        <w:rPr>
          <w:rFonts w:ascii="Times New Roman" w:hAnsi="Times New Roman" w:cs="Times New Roman" w:eastAsia="Times New Roman" w:hint="default"/>
        </w:rPr>
        <w:t>8</w:t>
      </w:r>
      <w:r>
        <w:rPr/>
        <w:t>、现金及现金等价物的确定标准</w:t>
      </w:r>
      <w:r>
        <w:rPr>
          <w:b w:val="0"/>
          <w:bCs w:val="0"/>
        </w:rPr>
      </w:r>
    </w:p>
    <w:p>
      <w:pPr>
        <w:spacing w:line="240" w:lineRule="auto" w:before="7"/>
        <w:rPr>
          <w:rFonts w:ascii="宋体" w:hAnsi="宋体" w:cs="宋体" w:eastAsia="宋体" w:hint="default"/>
          <w:b/>
          <w:bCs/>
          <w:sz w:val="30"/>
          <w:szCs w:val="30"/>
        </w:rPr>
      </w:pPr>
    </w:p>
    <w:p>
      <w:pPr>
        <w:pStyle w:val="BodyText"/>
        <w:spacing w:line="408" w:lineRule="auto" w:before="0"/>
        <w:ind w:right="0" w:firstLine="423"/>
        <w:jc w:val="left"/>
      </w:pPr>
      <w:r>
        <w:rPr/>
        <w:t>在编制现金流量表时，将本公司库存现金以及可以随时用于支付的存款确认为现金。将同时具备期限 短（从购买日起三个月内到期）、流动性强、易于转换为已知现金、价值变动风险很小四个条件的投资，</w:t>
      </w:r>
      <w:r>
        <w:rPr>
          <w:spacing w:val="-38"/>
        </w:rPr>
        <w:t> </w:t>
      </w:r>
      <w:r>
        <w:rPr>
          <w:spacing w:val="-38"/>
        </w:rPr>
      </w:r>
      <w:r>
        <w:rPr/>
        <w:t>确定为现金等价物。</w:t>
      </w:r>
    </w:p>
    <w:p>
      <w:pPr>
        <w:spacing w:line="240" w:lineRule="auto" w:before="8"/>
        <w:rPr>
          <w:rFonts w:ascii="宋体" w:hAnsi="宋体" w:cs="宋体" w:eastAsia="宋体" w:hint="default"/>
          <w:sz w:val="20"/>
          <w:szCs w:val="20"/>
        </w:rPr>
      </w:pPr>
    </w:p>
    <w:p>
      <w:pPr>
        <w:pStyle w:val="Heading4"/>
        <w:spacing w:line="240" w:lineRule="auto"/>
        <w:ind w:right="1117"/>
        <w:jc w:val="left"/>
        <w:rPr>
          <w:b w:val="0"/>
          <w:bCs w:val="0"/>
        </w:rPr>
      </w:pPr>
      <w:bookmarkStart w:name="9、外币业务和外币报表折算" w:id="179"/>
      <w:bookmarkEnd w:id="179"/>
      <w:r>
        <w:rPr>
          <w:b w:val="0"/>
          <w:bCs w:val="0"/>
        </w:rPr>
      </w:r>
      <w:r>
        <w:rPr>
          <w:rFonts w:ascii="Times New Roman" w:hAnsi="Times New Roman" w:cs="Times New Roman" w:eastAsia="Times New Roman" w:hint="default"/>
        </w:rPr>
        <w:t>9</w:t>
      </w:r>
      <w:r>
        <w:rPr/>
        <w:t>、外币业务和外币报表折算</w:t>
      </w:r>
      <w:r>
        <w:rPr>
          <w:b w:val="0"/>
          <w:bCs w:val="0"/>
        </w:rPr>
      </w:r>
    </w:p>
    <w:p>
      <w:pPr>
        <w:spacing w:line="240" w:lineRule="auto" w:before="7"/>
        <w:rPr>
          <w:rFonts w:ascii="宋体" w:hAnsi="宋体" w:cs="宋体" w:eastAsia="宋体" w:hint="default"/>
          <w:b/>
          <w:bCs/>
          <w:sz w:val="30"/>
          <w:szCs w:val="30"/>
        </w:rPr>
      </w:pPr>
    </w:p>
    <w:p>
      <w:pPr>
        <w:pStyle w:val="BodyText"/>
        <w:spacing w:line="408" w:lineRule="auto" w:before="0"/>
        <w:ind w:left="580" w:right="2766"/>
        <w:jc w:val="left"/>
      </w:pPr>
      <w:r>
        <w:rPr>
          <w:rFonts w:ascii="宋体" w:hAnsi="宋体" w:cs="宋体" w:eastAsia="宋体" w:hint="default"/>
          <w:b/>
          <w:bCs/>
        </w:rPr>
        <w:t>（</w:t>
      </w:r>
      <w:r>
        <w:rPr>
          <w:rFonts w:ascii="宋体" w:hAnsi="宋体" w:cs="宋体" w:eastAsia="宋体" w:hint="default"/>
          <w:b/>
          <w:bCs/>
        </w:rPr>
        <w:t>1</w:t>
      </w:r>
      <w:r>
        <w:rPr>
          <w:rFonts w:ascii="宋体" w:hAnsi="宋体" w:cs="宋体" w:eastAsia="宋体" w:hint="default"/>
          <w:b/>
          <w:bCs/>
        </w:rPr>
        <w:t>）外币业务</w:t>
      </w:r>
      <w:r>
        <w:rPr>
          <w:rFonts w:ascii="宋体" w:hAnsi="宋体" w:cs="宋体" w:eastAsia="宋体" w:hint="default"/>
          <w:b/>
          <w:bCs/>
          <w:w w:val="99"/>
        </w:rPr>
        <w:t> </w:t>
      </w:r>
      <w:r>
        <w:rPr/>
        <w:t>外币业务采用交易发生日的即期汇率作为折算汇率将外币金额折合成人民币记账。</w:t>
      </w:r>
    </w:p>
    <w:p>
      <w:pPr>
        <w:pStyle w:val="BodyText"/>
        <w:spacing w:line="408" w:lineRule="auto"/>
        <w:ind w:right="1132" w:firstLine="426"/>
        <w:jc w:val="both"/>
      </w:pPr>
      <w:r>
        <w:rPr>
          <w:spacing w:val="-1"/>
        </w:rPr>
        <w:t>资产负债表日外币货币性项目余额按资产负债表日即期汇率折算，由此产生的汇兑差额，除属于与购</w:t>
      </w:r>
      <w:r>
        <w:rPr/>
        <w:t> </w:t>
      </w:r>
      <w:r>
        <w:rPr>
          <w:spacing w:val="-1"/>
        </w:rPr>
        <w:t>建符合资本化条件的资产相关的外币专门借款产生的汇兑差额按照借款费用资本化的原则处理外，均计入</w:t>
      </w:r>
      <w:r>
        <w:rPr>
          <w:spacing w:val="-81"/>
        </w:rPr>
        <w:t> </w:t>
      </w:r>
      <w:r>
        <w:rPr>
          <w:spacing w:val="-81"/>
        </w:rPr>
      </w:r>
      <w:r>
        <w:rPr/>
        <w:t>当期损益。</w:t>
      </w:r>
    </w:p>
    <w:p>
      <w:pPr>
        <w:spacing w:line="408" w:lineRule="auto" w:before="46"/>
        <w:ind w:left="580" w:right="1203"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宋体" w:hAnsi="宋体" w:cs="宋体" w:eastAsia="宋体" w:hint="default"/>
          <w:b/>
          <w:bCs/>
          <w:sz w:val="21"/>
          <w:szCs w:val="21"/>
        </w:rPr>
        <w:t>2</w:t>
      </w:r>
      <w:r>
        <w:rPr>
          <w:rFonts w:ascii="宋体" w:hAnsi="宋体" w:cs="宋体" w:eastAsia="宋体" w:hint="default"/>
          <w:b/>
          <w:bCs/>
          <w:sz w:val="21"/>
          <w:szCs w:val="21"/>
        </w:rPr>
        <w:t>）外币财务报表的折算</w:t>
      </w:r>
      <w:r>
        <w:rPr>
          <w:rFonts w:ascii="宋体" w:hAnsi="宋体" w:cs="宋体" w:eastAsia="宋体" w:hint="default"/>
          <w:b/>
          <w:bCs/>
          <w:w w:val="99"/>
          <w:sz w:val="21"/>
          <w:szCs w:val="21"/>
        </w:rPr>
        <w:t> </w:t>
      </w:r>
      <w:r>
        <w:rPr>
          <w:rFonts w:ascii="宋体" w:hAnsi="宋体" w:cs="宋体" w:eastAsia="宋体" w:hint="default"/>
          <w:sz w:val="21"/>
          <w:szCs w:val="21"/>
        </w:rPr>
        <w:t>资产负债表中的资产和负债项目，采用资产负债表日的即期汇率折算；所有者权益项目除</w:t>
      </w:r>
      <w:r>
        <w:rPr>
          <w:rFonts w:ascii="Times New Roman" w:hAnsi="Times New Roman" w:cs="Times New Roman" w:eastAsia="Times New Roman" w:hint="default"/>
          <w:sz w:val="21"/>
          <w:szCs w:val="21"/>
        </w:rPr>
        <w:t>“</w:t>
      </w:r>
      <w:r>
        <w:rPr>
          <w:rFonts w:ascii="宋体" w:hAnsi="宋体" w:cs="宋体" w:eastAsia="宋体" w:hint="default"/>
          <w:sz w:val="21"/>
          <w:szCs w:val="21"/>
        </w:rPr>
        <w:t>未分配利</w:t>
      </w:r>
    </w:p>
    <w:p>
      <w:pPr>
        <w:pStyle w:val="BodyText"/>
        <w:spacing w:line="386" w:lineRule="auto" w:before="14"/>
        <w:ind w:right="1209"/>
        <w:jc w:val="left"/>
      </w:pPr>
      <w:r>
        <w:rPr/>
        <w:t>润</w:t>
      </w:r>
      <w:r>
        <w:rPr>
          <w:rFonts w:ascii="Times New Roman" w:hAnsi="Times New Roman" w:cs="Times New Roman" w:eastAsia="Times New Roman" w:hint="default"/>
        </w:rPr>
        <w:t>”</w:t>
      </w:r>
      <w:r>
        <w:rPr/>
        <w:t>项目外，其他项目采用发生时的即期汇率折算。利润表中的收入和费用项目，采用交易发生日的即期 汇率折算。</w:t>
      </w:r>
    </w:p>
    <w:p>
      <w:pPr>
        <w:pStyle w:val="BodyText"/>
        <w:spacing w:line="240" w:lineRule="auto" w:before="65"/>
        <w:ind w:left="580" w:right="0"/>
        <w:jc w:val="left"/>
      </w:pPr>
      <w:r>
        <w:rPr/>
        <w:t>处置境外经营时，将与该境外经营相关的外币财务报表折算差额，自所有者权益项目转入处置当期损</w:t>
      </w:r>
    </w:p>
    <w:p>
      <w:pPr>
        <w:spacing w:line="240" w:lineRule="auto" w:before="10"/>
        <w:rPr>
          <w:rFonts w:ascii="宋体" w:hAnsi="宋体" w:cs="宋体" w:eastAsia="宋体" w:hint="default"/>
          <w:sz w:val="14"/>
          <w:szCs w:val="14"/>
        </w:rPr>
      </w:pPr>
    </w:p>
    <w:p>
      <w:pPr>
        <w:pStyle w:val="BodyText"/>
        <w:spacing w:line="240" w:lineRule="auto" w:before="0"/>
        <w:ind w:right="1117"/>
        <w:jc w:val="left"/>
      </w:pPr>
      <w:r>
        <w:rPr/>
        <w:t>益。</w:t>
      </w:r>
    </w:p>
    <w:p>
      <w:pPr>
        <w:spacing w:after="0" w:line="240" w:lineRule="auto"/>
        <w:jc w:val="left"/>
        <w:sectPr>
          <w:pgSz w:w="11910" w:h="16840"/>
          <w:pgMar w:header="877" w:footer="979" w:top="1060" w:bottom="1160" w:left="980" w:right="0"/>
        </w:sectPr>
      </w:pPr>
    </w:p>
    <w:p>
      <w:pPr>
        <w:spacing w:line="240" w:lineRule="auto" w:before="10"/>
        <w:rPr>
          <w:rFonts w:ascii="宋体" w:hAnsi="宋体" w:cs="宋体" w:eastAsia="宋体" w:hint="default"/>
          <w:sz w:val="24"/>
          <w:szCs w:val="24"/>
        </w:rPr>
      </w:pPr>
    </w:p>
    <w:p>
      <w:pPr>
        <w:pStyle w:val="Heading4"/>
        <w:spacing w:line="240" w:lineRule="auto" w:before="35"/>
        <w:ind w:right="1117"/>
        <w:jc w:val="left"/>
        <w:rPr>
          <w:b w:val="0"/>
          <w:bCs w:val="0"/>
        </w:rPr>
      </w:pPr>
      <w:bookmarkStart w:name="10、金融工具" w:id="180"/>
      <w:bookmarkEnd w:id="180"/>
      <w:r>
        <w:rPr>
          <w:b w:val="0"/>
          <w:bCs w:val="0"/>
        </w:rPr>
      </w:r>
      <w:r>
        <w:rPr>
          <w:rFonts w:ascii="Times New Roman" w:hAnsi="Times New Roman" w:cs="Times New Roman" w:eastAsia="Times New Roman" w:hint="default"/>
        </w:rPr>
        <w:t>10</w:t>
      </w:r>
      <w:r>
        <w:rPr/>
        <w:t>、金融工具</w:t>
      </w:r>
      <w:r>
        <w:rPr>
          <w:b w:val="0"/>
          <w:bCs w:val="0"/>
        </w:rPr>
      </w:r>
    </w:p>
    <w:p>
      <w:pPr>
        <w:spacing w:line="240" w:lineRule="auto" w:before="7"/>
        <w:rPr>
          <w:rFonts w:ascii="宋体" w:hAnsi="宋体" w:cs="宋体" w:eastAsia="宋体" w:hint="default"/>
          <w:b/>
          <w:bCs/>
          <w:sz w:val="30"/>
          <w:szCs w:val="30"/>
        </w:rPr>
      </w:pPr>
    </w:p>
    <w:p>
      <w:pPr>
        <w:spacing w:line="408" w:lineRule="auto" w:before="0"/>
        <w:ind w:left="580" w:right="5919" w:hanging="3"/>
        <w:jc w:val="left"/>
        <w:rPr>
          <w:rFonts w:ascii="宋体" w:hAnsi="宋体" w:cs="宋体" w:eastAsia="宋体" w:hint="default"/>
          <w:sz w:val="21"/>
          <w:szCs w:val="21"/>
        </w:rPr>
      </w:pPr>
      <w:r>
        <w:rPr>
          <w:rFonts w:ascii="宋体" w:hAnsi="宋体" w:cs="宋体" w:eastAsia="宋体" w:hint="default"/>
          <w:sz w:val="21"/>
          <w:szCs w:val="21"/>
        </w:rPr>
        <w:t>金融工具包括金融资产、金融负债和权益工具。 </w:t>
      </w:r>
      <w:r>
        <w:rPr>
          <w:rFonts w:ascii="宋体" w:hAnsi="宋体" w:cs="宋体" w:eastAsia="宋体" w:hint="default"/>
          <w:b/>
          <w:bCs/>
          <w:sz w:val="21"/>
          <w:szCs w:val="21"/>
        </w:rPr>
        <w:t>1.</w:t>
      </w:r>
      <w:r>
        <w:rPr>
          <w:rFonts w:ascii="宋体" w:hAnsi="宋体" w:cs="宋体" w:eastAsia="宋体" w:hint="default"/>
          <w:b/>
          <w:bCs/>
          <w:sz w:val="21"/>
          <w:szCs w:val="21"/>
        </w:rPr>
        <w:t>金融工具的分类</w:t>
      </w:r>
      <w:r>
        <w:rPr>
          <w:rFonts w:ascii="宋体" w:hAnsi="宋体" w:cs="宋体" w:eastAsia="宋体" w:hint="default"/>
          <w:sz w:val="21"/>
          <w:szCs w:val="21"/>
        </w:rPr>
      </w:r>
    </w:p>
    <w:p>
      <w:pPr>
        <w:pStyle w:val="BodyText"/>
        <w:spacing w:line="408" w:lineRule="auto"/>
        <w:ind w:right="1132" w:firstLine="423"/>
        <w:jc w:val="both"/>
      </w:pPr>
      <w:r>
        <w:rPr>
          <w:spacing w:val="-1"/>
        </w:rPr>
        <w:t>金融资产和金融负债于初始确认时分类为：以公允价值计量且其变动计入当期损益的金融资产或金融</w:t>
      </w:r>
      <w:r>
        <w:rPr/>
        <w:t> </w:t>
      </w:r>
      <w:r>
        <w:rPr>
          <w:spacing w:val="-1"/>
        </w:rPr>
        <w:t>负债，包括交易性金融资产或金融负债和直接指定为以公允价值计量且其变动计入当期损益的金融资产或</w:t>
      </w:r>
      <w:r>
        <w:rPr>
          <w:spacing w:val="-81"/>
        </w:rPr>
        <w:t> </w:t>
      </w:r>
      <w:r>
        <w:rPr>
          <w:spacing w:val="-81"/>
        </w:rPr>
      </w:r>
      <w:r>
        <w:rPr/>
        <w:t>金融负债；持有至到期投资；应收款项；可供出售金融资产；其他金融负债等。</w:t>
      </w:r>
    </w:p>
    <w:p>
      <w:pPr>
        <w:pStyle w:val="Heading4"/>
        <w:spacing w:line="240" w:lineRule="auto" w:before="46"/>
        <w:ind w:left="580" w:right="1117"/>
        <w:jc w:val="left"/>
        <w:rPr>
          <w:b w:val="0"/>
          <w:bCs w:val="0"/>
        </w:rPr>
      </w:pPr>
      <w:r>
        <w:rPr>
          <w:rFonts w:ascii="宋体" w:hAnsi="宋体" w:cs="宋体" w:eastAsia="宋体" w:hint="default"/>
        </w:rPr>
        <w:t>2.</w:t>
      </w:r>
      <w:r>
        <w:rPr/>
        <w:t>金融工具的确认依据和计量方法</w:t>
      </w:r>
      <w:r>
        <w:rPr>
          <w:b w:val="0"/>
          <w:bCs w:val="0"/>
        </w:rPr>
      </w:r>
    </w:p>
    <w:p>
      <w:pPr>
        <w:spacing w:line="240" w:lineRule="auto" w:before="10"/>
        <w:rPr>
          <w:rFonts w:ascii="宋体" w:hAnsi="宋体" w:cs="宋体" w:eastAsia="宋体" w:hint="default"/>
          <w:b/>
          <w:bCs/>
          <w:sz w:val="14"/>
          <w:szCs w:val="14"/>
        </w:rPr>
      </w:pPr>
    </w:p>
    <w:p>
      <w:pPr>
        <w:pStyle w:val="BodyText"/>
        <w:spacing w:line="408" w:lineRule="auto" w:before="0"/>
        <w:ind w:left="577" w:right="1117"/>
        <w:jc w:val="left"/>
      </w:pPr>
      <w:r>
        <w:rPr/>
        <w:t>（</w:t>
      </w:r>
      <w:r>
        <w:rPr>
          <w:rFonts w:ascii="宋体" w:hAnsi="宋体" w:cs="宋体" w:eastAsia="宋体" w:hint="default"/>
        </w:rPr>
        <w:t>1</w:t>
      </w:r>
      <w:r>
        <w:rPr/>
        <w:t>）以公允价值计量且其变动计入当期损益的金融资产（金融负债） </w:t>
      </w:r>
      <w:r>
        <w:rPr>
          <w:spacing w:val="-1"/>
        </w:rPr>
        <w:t>取得时以公允价值（扣除已宣告但尚未发放的现金股利或已到付息期但尚未领取的债券利息）作为初</w:t>
      </w:r>
    </w:p>
    <w:p>
      <w:pPr>
        <w:pStyle w:val="BodyText"/>
        <w:spacing w:line="408" w:lineRule="auto"/>
        <w:ind w:left="577" w:right="1509" w:hanging="424"/>
        <w:jc w:val="left"/>
      </w:pPr>
      <w:r>
        <w:rPr/>
        <w:t>始确认金额，相关的交易费用计入当期损益。 持有期间将取得的利息或现金股利确认为投资收益，期末将公允价值变动计入当期损益。 处置时，其公允价值与初始入账金额之间的差额确认为投资收益，同时调整公允价值变动损益。</w:t>
      </w:r>
    </w:p>
    <w:p>
      <w:pPr>
        <w:pStyle w:val="BodyText"/>
        <w:spacing w:line="408" w:lineRule="auto"/>
        <w:ind w:left="577" w:right="1014"/>
        <w:jc w:val="left"/>
      </w:pPr>
      <w:r>
        <w:rPr/>
        <w:t>（</w:t>
      </w:r>
      <w:r>
        <w:rPr>
          <w:rFonts w:ascii="宋体" w:hAnsi="宋体" w:cs="宋体" w:eastAsia="宋体" w:hint="default"/>
        </w:rPr>
        <w:t>2</w:t>
      </w:r>
      <w:r>
        <w:rPr/>
        <w:t>）持有至到期投资 </w:t>
      </w:r>
      <w:r>
        <w:rPr>
          <w:spacing w:val="-3"/>
        </w:rPr>
        <w:t>取得时按公允价值（扣除已到付息期但尚未领取的债券利息）和相关交易费用之和作为初始确认金额。</w:t>
      </w:r>
      <w:r>
        <w:rPr>
          <w:spacing w:val="-101"/>
        </w:rPr>
        <w:t> </w:t>
      </w:r>
      <w:r>
        <w:rPr>
          <w:spacing w:val="-101"/>
        </w:rPr>
      </w:r>
      <w:r>
        <w:rPr/>
        <w:t>持有期间按照摊余成本和实际利率计算确认利息收入，计入投资收益。实际利率在取得时确定，在该</w:t>
      </w:r>
    </w:p>
    <w:p>
      <w:pPr>
        <w:pStyle w:val="BodyText"/>
        <w:spacing w:line="408" w:lineRule="auto"/>
        <w:ind w:left="577" w:right="4029" w:hanging="424"/>
        <w:jc w:val="left"/>
      </w:pPr>
      <w:r>
        <w:rPr/>
        <w:t>预期存续期间或适用的更短期间内保持不变。 处置时，将所取得价款与该投资账面价值之间的差额计入投资收益。</w:t>
      </w:r>
    </w:p>
    <w:p>
      <w:pPr>
        <w:pStyle w:val="BodyText"/>
        <w:spacing w:line="408" w:lineRule="auto"/>
        <w:ind w:left="577" w:right="1117"/>
        <w:jc w:val="left"/>
      </w:pPr>
      <w:r>
        <w:rPr/>
        <w:t>（</w:t>
      </w:r>
      <w:r>
        <w:rPr>
          <w:rFonts w:ascii="宋体" w:hAnsi="宋体" w:cs="宋体" w:eastAsia="宋体" w:hint="default"/>
        </w:rPr>
        <w:t>3</w:t>
      </w:r>
      <w:r>
        <w:rPr/>
        <w:t>）应收款项 </w:t>
      </w:r>
      <w:r>
        <w:rPr>
          <w:spacing w:val="-1"/>
        </w:rPr>
        <w:t>公司对外销售商品或提供劳务形成的应收债权，以及公司持有的其他企业的不包括在活跃市场上有报</w:t>
      </w:r>
    </w:p>
    <w:p>
      <w:pPr>
        <w:pStyle w:val="BodyText"/>
        <w:spacing w:line="408" w:lineRule="auto"/>
        <w:ind w:right="1117"/>
        <w:jc w:val="left"/>
      </w:pPr>
      <w:r>
        <w:rPr>
          <w:spacing w:val="-1"/>
        </w:rPr>
        <w:t>价的债务工具的债权，包括应收账款、其他应收款等，以向购货方应收的合同或协议价款作为初始确认金</w:t>
      </w:r>
      <w:r>
        <w:rPr>
          <w:spacing w:val="-83"/>
        </w:rPr>
        <w:t> </w:t>
      </w:r>
      <w:r>
        <w:rPr>
          <w:spacing w:val="-83"/>
        </w:rPr>
      </w:r>
      <w:r>
        <w:rPr/>
        <w:t>额；具有融资性质的，按其现值进行初始确认。</w:t>
      </w:r>
    </w:p>
    <w:p>
      <w:pPr>
        <w:pStyle w:val="BodyText"/>
        <w:spacing w:line="240" w:lineRule="auto"/>
        <w:ind w:left="577" w:right="1117"/>
        <w:jc w:val="left"/>
      </w:pPr>
      <w:r>
        <w:rPr/>
        <w:t>收回或处置时，将取得的价款与该应收款项账面价值之间的差额计入当期损益。</w:t>
      </w:r>
    </w:p>
    <w:p>
      <w:pPr>
        <w:spacing w:line="240" w:lineRule="auto" w:before="10"/>
        <w:rPr>
          <w:rFonts w:ascii="宋体" w:hAnsi="宋体" w:cs="宋体" w:eastAsia="宋体" w:hint="default"/>
          <w:sz w:val="14"/>
          <w:szCs w:val="14"/>
        </w:rPr>
      </w:pPr>
    </w:p>
    <w:p>
      <w:pPr>
        <w:pStyle w:val="BodyText"/>
        <w:spacing w:line="408" w:lineRule="auto" w:before="0"/>
        <w:ind w:left="577" w:right="1117"/>
        <w:jc w:val="left"/>
      </w:pPr>
      <w:r>
        <w:rPr/>
        <w:t>（</w:t>
      </w:r>
      <w:r>
        <w:rPr>
          <w:rFonts w:ascii="宋体" w:hAnsi="宋体" w:cs="宋体" w:eastAsia="宋体" w:hint="default"/>
        </w:rPr>
        <w:t>4</w:t>
      </w:r>
      <w:r>
        <w:rPr/>
        <w:t>）可供出售金融资产 </w:t>
      </w:r>
      <w:r>
        <w:rPr>
          <w:spacing w:val="-1"/>
        </w:rPr>
        <w:t>取得时按公允价值（扣除已宣告但尚未发放的现金股利或已到付息期但尚未领取的债券利息）和相关</w:t>
      </w:r>
    </w:p>
    <w:p>
      <w:pPr>
        <w:pStyle w:val="BodyText"/>
        <w:spacing w:line="408" w:lineRule="auto"/>
        <w:ind w:left="577" w:right="1117" w:hanging="424"/>
        <w:jc w:val="left"/>
      </w:pPr>
      <w:r>
        <w:rPr/>
        <w:t>交易费用之和作为初始确认金额。 </w:t>
      </w:r>
      <w:r>
        <w:rPr>
          <w:spacing w:val="-1"/>
        </w:rPr>
        <w:t>持有期间将取得的利息或现金股利确认为投资收益。期末以公允价值计量且将公允价值变动计入其他</w:t>
      </w:r>
    </w:p>
    <w:p>
      <w:pPr>
        <w:pStyle w:val="BodyText"/>
        <w:spacing w:line="408" w:lineRule="auto"/>
        <w:ind w:right="1117"/>
        <w:jc w:val="left"/>
      </w:pPr>
      <w:r>
        <w:rPr>
          <w:spacing w:val="-1"/>
        </w:rPr>
        <w:t>综合收益。但是，在活跃市场中没有报价且其公允价值不能可靠计量的权益工具投资，以及与该权益工具</w:t>
      </w:r>
      <w:r>
        <w:rPr>
          <w:spacing w:val="-83"/>
        </w:rPr>
        <w:t> </w:t>
      </w:r>
      <w:r>
        <w:rPr>
          <w:spacing w:val="-83"/>
        </w:rPr>
      </w:r>
      <w:r>
        <w:rPr/>
        <w:t>挂钩并须通过交付该权益工具结算的衍生金融资产，按照成本计量。</w:t>
      </w:r>
    </w:p>
    <w:p>
      <w:pPr>
        <w:pStyle w:val="BodyText"/>
        <w:spacing w:line="240" w:lineRule="auto"/>
        <w:ind w:left="577" w:right="0"/>
        <w:jc w:val="left"/>
      </w:pPr>
      <w:r>
        <w:rPr/>
        <w:t>处置时，将取得的价款与该金融资产账面价值之间的差额，计入投资损益；同时，将原直接计入其他</w:t>
      </w:r>
    </w:p>
    <w:p>
      <w:pPr>
        <w:spacing w:after="0" w:line="240" w:lineRule="auto"/>
        <w:jc w:val="left"/>
        <w:sectPr>
          <w:pgSz w:w="11910" w:h="16840"/>
          <w:pgMar w:header="877" w:footer="979" w:top="1060" w:bottom="1160" w:left="980" w:right="0"/>
        </w:sectPr>
      </w:pPr>
    </w:p>
    <w:p>
      <w:pPr>
        <w:spacing w:line="240" w:lineRule="auto" w:before="0"/>
        <w:rPr>
          <w:rFonts w:ascii="宋体" w:hAnsi="宋体" w:cs="宋体" w:eastAsia="宋体" w:hint="default"/>
          <w:sz w:val="20"/>
          <w:szCs w:val="20"/>
        </w:rPr>
      </w:pPr>
    </w:p>
    <w:p>
      <w:pPr>
        <w:pStyle w:val="BodyText"/>
        <w:spacing w:line="240" w:lineRule="auto" w:before="174"/>
        <w:ind w:right="1117"/>
        <w:jc w:val="left"/>
      </w:pPr>
      <w:r>
        <w:rPr/>
        <w:t>综合收益的公允价值变动累计额对应处置部分的金额转出，计入当期损益。</w:t>
      </w:r>
    </w:p>
    <w:p>
      <w:pPr>
        <w:spacing w:line="240" w:lineRule="auto" w:before="10"/>
        <w:rPr>
          <w:rFonts w:ascii="宋体" w:hAnsi="宋体" w:cs="宋体" w:eastAsia="宋体" w:hint="default"/>
          <w:sz w:val="14"/>
          <w:szCs w:val="14"/>
        </w:rPr>
      </w:pPr>
    </w:p>
    <w:p>
      <w:pPr>
        <w:pStyle w:val="BodyText"/>
        <w:spacing w:line="408" w:lineRule="auto" w:before="0"/>
        <w:ind w:left="577" w:right="1117"/>
        <w:jc w:val="left"/>
      </w:pPr>
      <w:r>
        <w:rPr/>
        <w:t>（</w:t>
      </w:r>
      <w:r>
        <w:rPr>
          <w:rFonts w:ascii="宋体" w:hAnsi="宋体" w:cs="宋体" w:eastAsia="宋体" w:hint="default"/>
        </w:rPr>
        <w:t>5</w:t>
      </w:r>
      <w:r>
        <w:rPr/>
        <w:t>）其他金融负债 按其公允价值和相关交易费用之和作为初始确认金额。采用摊余成本进行后续计量。 </w:t>
      </w:r>
      <w:r>
        <w:rPr>
          <w:rFonts w:ascii="宋体" w:hAnsi="宋体" w:cs="宋体" w:eastAsia="宋体" w:hint="default"/>
          <w:b/>
          <w:bCs/>
        </w:rPr>
        <w:t>3.</w:t>
      </w:r>
      <w:r>
        <w:rPr>
          <w:rFonts w:ascii="宋体" w:hAnsi="宋体" w:cs="宋体" w:eastAsia="宋体" w:hint="default"/>
          <w:b/>
          <w:bCs/>
        </w:rPr>
        <w:t>金融资产转移的确认依据和计量方法</w:t>
      </w:r>
      <w:r>
        <w:rPr>
          <w:rFonts w:ascii="宋体" w:hAnsi="宋体" w:cs="宋体" w:eastAsia="宋体" w:hint="default"/>
          <w:b/>
          <w:bCs/>
          <w:w w:val="99"/>
        </w:rPr>
        <w:t> </w:t>
      </w:r>
      <w:r>
        <w:rPr>
          <w:spacing w:val="-1"/>
        </w:rPr>
        <w:t>公司发生金融资产转移时，如已将金融资产所有权上几乎所有的风险和报酬转移给转入方，则终止确</w:t>
      </w:r>
    </w:p>
    <w:p>
      <w:pPr>
        <w:pStyle w:val="BodyText"/>
        <w:spacing w:line="408" w:lineRule="auto"/>
        <w:ind w:left="577" w:right="1117" w:hanging="424"/>
        <w:jc w:val="left"/>
      </w:pPr>
      <w:r>
        <w:rPr/>
        <w:t>认该金融资产；如保留了金融资产所有权上几乎所有的风险和报酬的，则不终止确认该金融资产。 </w:t>
      </w:r>
      <w:r>
        <w:rPr>
          <w:spacing w:val="-1"/>
        </w:rPr>
        <w:t>在判断金融资产转移是否满足上述金融资产终止确认条件时，采用实质重于形式的原则。公司将金融</w:t>
      </w:r>
    </w:p>
    <w:p>
      <w:pPr>
        <w:pStyle w:val="BodyText"/>
        <w:spacing w:line="408" w:lineRule="auto"/>
        <w:ind w:right="1117"/>
        <w:jc w:val="left"/>
      </w:pPr>
      <w:r>
        <w:rPr>
          <w:spacing w:val="-1"/>
        </w:rPr>
        <w:t>资产转移区分为金融资产整体转移和部分转移。金融资产整体转移满足终止确认条件的，将下列两项金额</w:t>
      </w:r>
      <w:r>
        <w:rPr>
          <w:spacing w:val="-81"/>
        </w:rPr>
        <w:t> </w:t>
      </w:r>
      <w:r>
        <w:rPr>
          <w:spacing w:val="-81"/>
        </w:rPr>
      </w:r>
      <w:r>
        <w:rPr/>
        <w:t>的差额计入当期损益：</w:t>
      </w:r>
    </w:p>
    <w:p>
      <w:pPr>
        <w:pStyle w:val="BodyText"/>
        <w:spacing w:line="240" w:lineRule="auto"/>
        <w:ind w:left="574" w:right="1117"/>
        <w:jc w:val="left"/>
      </w:pPr>
      <w:r>
        <w:rPr/>
        <w:t>（</w:t>
      </w:r>
      <w:r>
        <w:rPr>
          <w:rFonts w:ascii="宋体" w:hAnsi="宋体" w:cs="宋体" w:eastAsia="宋体" w:hint="default"/>
        </w:rPr>
        <w:t>1</w:t>
      </w:r>
      <w:r>
        <w:rPr/>
        <w:t>）所转移金融资产的账面价值；</w:t>
      </w:r>
    </w:p>
    <w:p>
      <w:pPr>
        <w:spacing w:line="240" w:lineRule="auto" w:before="10"/>
        <w:rPr>
          <w:rFonts w:ascii="宋体" w:hAnsi="宋体" w:cs="宋体" w:eastAsia="宋体" w:hint="default"/>
          <w:sz w:val="14"/>
          <w:szCs w:val="14"/>
        </w:rPr>
      </w:pPr>
    </w:p>
    <w:p>
      <w:pPr>
        <w:pStyle w:val="BodyText"/>
        <w:spacing w:line="408" w:lineRule="auto" w:before="0"/>
        <w:ind w:right="1212" w:firstLine="423"/>
        <w:jc w:val="both"/>
      </w:pPr>
      <w:r>
        <w:rPr/>
        <w:t>（</w:t>
      </w:r>
      <w:r>
        <w:rPr>
          <w:rFonts w:ascii="宋体" w:hAnsi="宋体" w:cs="宋体" w:eastAsia="宋体" w:hint="default"/>
        </w:rPr>
        <w:t>2</w:t>
      </w:r>
      <w:r>
        <w:rPr/>
        <w:t>）因转移而收到的对价，与原直接计入所有者权益的公允价值变动累计额（涉及转移的金融资产 为可供出售金融资产的情形）之和。</w:t>
      </w:r>
    </w:p>
    <w:p>
      <w:pPr>
        <w:pStyle w:val="BodyText"/>
        <w:spacing w:line="408" w:lineRule="auto"/>
        <w:ind w:right="1133" w:firstLine="423"/>
        <w:jc w:val="both"/>
      </w:pPr>
      <w:r>
        <w:rPr>
          <w:spacing w:val="-1"/>
        </w:rPr>
        <w:t>金融资产部分转移满足终止确认条件的，将所转移金融资产整体的账面价值，在终止确认部分和未终</w:t>
      </w:r>
      <w:r>
        <w:rPr/>
        <w:t> 止确认部分之间，按照各自的相对公允价值进行分摊，并将下列两项金额的差额计入当期损益：</w:t>
      </w:r>
    </w:p>
    <w:p>
      <w:pPr>
        <w:pStyle w:val="BodyText"/>
        <w:spacing w:line="240" w:lineRule="auto"/>
        <w:ind w:left="574" w:right="1117"/>
        <w:jc w:val="left"/>
      </w:pPr>
      <w:r>
        <w:rPr/>
        <w:t>（</w:t>
      </w:r>
      <w:r>
        <w:rPr>
          <w:rFonts w:ascii="宋体" w:hAnsi="宋体" w:cs="宋体" w:eastAsia="宋体" w:hint="default"/>
        </w:rPr>
        <w:t>3</w:t>
      </w:r>
      <w:r>
        <w:rPr/>
        <w:t>）终止确认部分的账面价值；</w:t>
      </w:r>
    </w:p>
    <w:p>
      <w:pPr>
        <w:spacing w:line="240" w:lineRule="auto" w:before="10"/>
        <w:rPr>
          <w:rFonts w:ascii="宋体" w:hAnsi="宋体" w:cs="宋体" w:eastAsia="宋体" w:hint="default"/>
          <w:sz w:val="14"/>
          <w:szCs w:val="14"/>
        </w:rPr>
      </w:pPr>
    </w:p>
    <w:p>
      <w:pPr>
        <w:pStyle w:val="BodyText"/>
        <w:spacing w:line="408" w:lineRule="auto" w:before="0"/>
        <w:ind w:right="1215" w:firstLine="420"/>
        <w:jc w:val="both"/>
      </w:pPr>
      <w:r>
        <w:rPr/>
        <w:t>（</w:t>
      </w:r>
      <w:r>
        <w:rPr>
          <w:rFonts w:ascii="宋体" w:hAnsi="宋体" w:cs="宋体" w:eastAsia="宋体" w:hint="default"/>
        </w:rPr>
        <w:t>4</w:t>
      </w:r>
      <w:r>
        <w:rPr/>
        <w:t>）终止确认部分的对价，与原直接计入所有者权益的公允价值变动累计额中对应终止确认部分的 金额（涉及转移的金融资产为可供出售金融资产的情形）之和。</w:t>
      </w:r>
    </w:p>
    <w:p>
      <w:pPr>
        <w:pStyle w:val="BodyText"/>
        <w:spacing w:line="408" w:lineRule="auto"/>
        <w:ind w:left="577" w:right="1117"/>
        <w:jc w:val="left"/>
      </w:pPr>
      <w:r>
        <w:rPr/>
        <w:t>金融资产转移不满足终止确认条件的，继续确认该金融资产，所收到的对价确认为一项金融负债。 </w:t>
      </w:r>
      <w:r>
        <w:rPr>
          <w:rFonts w:ascii="宋体" w:hAnsi="宋体" w:cs="宋体" w:eastAsia="宋体" w:hint="default"/>
          <w:b/>
          <w:bCs/>
        </w:rPr>
        <w:t>4.</w:t>
      </w:r>
      <w:r>
        <w:rPr>
          <w:rFonts w:ascii="宋体" w:hAnsi="宋体" w:cs="宋体" w:eastAsia="宋体" w:hint="default"/>
          <w:b/>
          <w:bCs/>
        </w:rPr>
        <w:t>金融负债终止确认条件</w:t>
      </w:r>
      <w:r>
        <w:rPr>
          <w:rFonts w:ascii="宋体" w:hAnsi="宋体" w:cs="宋体" w:eastAsia="宋体" w:hint="default"/>
          <w:b/>
          <w:bCs/>
          <w:w w:val="99"/>
        </w:rPr>
        <w:t> </w:t>
      </w:r>
      <w:r>
        <w:rPr>
          <w:spacing w:val="-1"/>
        </w:rPr>
        <w:t>金融负债的现时义务全部或部分已经解除的，则终止确认该金融负债或其一部分；本公司若与债权人</w:t>
      </w:r>
    </w:p>
    <w:p>
      <w:pPr>
        <w:pStyle w:val="BodyText"/>
        <w:spacing w:line="408" w:lineRule="auto"/>
        <w:ind w:right="1117"/>
        <w:jc w:val="left"/>
      </w:pPr>
      <w:r>
        <w:rPr>
          <w:spacing w:val="-1"/>
        </w:rPr>
        <w:t>签定协议，以承担新金融负债方式替换现存金融负债，且新金融负债与现存金融负债的合同条款实质上不</w:t>
      </w:r>
      <w:r>
        <w:rPr>
          <w:spacing w:val="-81"/>
        </w:rPr>
        <w:t> </w:t>
      </w:r>
      <w:r>
        <w:rPr>
          <w:spacing w:val="-81"/>
        </w:rPr>
      </w:r>
      <w:r>
        <w:rPr/>
        <w:t>同的，则终止确认现存金融负债，并同时确认新金融负债。</w:t>
      </w:r>
    </w:p>
    <w:p>
      <w:pPr>
        <w:pStyle w:val="BodyText"/>
        <w:spacing w:line="408" w:lineRule="auto"/>
        <w:ind w:right="1133" w:firstLine="423"/>
        <w:jc w:val="both"/>
      </w:pPr>
      <w:r>
        <w:rPr>
          <w:spacing w:val="-1"/>
        </w:rPr>
        <w:t>对现存金融负债全部或部分合同条款作出实质性修改的，则终止确认现存金融负债或其一部分，同时</w:t>
      </w:r>
      <w:r>
        <w:rPr/>
        <w:t> 将修改条款后的金融负债确认为一项新金融负债。</w:t>
      </w:r>
    </w:p>
    <w:p>
      <w:pPr>
        <w:pStyle w:val="BodyText"/>
        <w:spacing w:line="408" w:lineRule="auto"/>
        <w:ind w:right="1133" w:firstLine="423"/>
        <w:jc w:val="both"/>
      </w:pPr>
      <w:r>
        <w:rPr>
          <w:spacing w:val="-1"/>
        </w:rPr>
        <w:t>金融负债全部或部分终止确认时，终止确认的金融负债账面价值与支付对价（包括转出的非现金资产</w:t>
      </w:r>
      <w:r>
        <w:rPr/>
        <w:t> 或承担的新金融负债）之间的差额，计入当期损益。</w:t>
      </w:r>
    </w:p>
    <w:p>
      <w:pPr>
        <w:pStyle w:val="BodyText"/>
        <w:spacing w:line="408" w:lineRule="auto"/>
        <w:ind w:right="1131" w:firstLine="423"/>
        <w:jc w:val="both"/>
      </w:pPr>
      <w:r>
        <w:rPr>
          <w:spacing w:val="-1"/>
        </w:rPr>
        <w:t>本公司若回购部分金融负债的，在回购日按照继续确认部分与终止确认部分的相对公允价值，将该金</w:t>
      </w:r>
      <w:r>
        <w:rPr/>
        <w:t> </w:t>
      </w:r>
      <w:r>
        <w:rPr>
          <w:spacing w:val="-1"/>
        </w:rPr>
        <w:t>融负债整体的账面价值进行分配。分配给终止确认部分的账面价值与支付的对价（包括转出的非现金资产</w:t>
      </w:r>
      <w:r>
        <w:rPr>
          <w:spacing w:val="-81"/>
        </w:rPr>
        <w:t> </w:t>
      </w:r>
      <w:r>
        <w:rPr>
          <w:spacing w:val="-81"/>
        </w:rPr>
      </w:r>
      <w:r>
        <w:rPr/>
        <w:t>或承担的新金融负债）之间的差额，计入当期损益。</w:t>
      </w:r>
    </w:p>
    <w:p>
      <w:pPr>
        <w:pStyle w:val="Heading4"/>
        <w:spacing w:line="240" w:lineRule="auto" w:before="46"/>
        <w:ind w:left="576" w:right="1117"/>
        <w:jc w:val="left"/>
        <w:rPr>
          <w:b w:val="0"/>
          <w:bCs w:val="0"/>
        </w:rPr>
      </w:pPr>
      <w:r>
        <w:rPr>
          <w:rFonts w:ascii="宋体" w:hAnsi="宋体" w:cs="宋体" w:eastAsia="宋体" w:hint="default"/>
        </w:rPr>
        <w:t>5.</w:t>
      </w:r>
      <w:r>
        <w:rPr/>
        <w:t>金融资产和金融负债的公允价值的确定方法</w:t>
      </w:r>
      <w:r>
        <w:rPr>
          <w:b w:val="0"/>
          <w:bCs w:val="0"/>
        </w:rPr>
      </w:r>
    </w:p>
    <w:p>
      <w:pPr>
        <w:spacing w:after="0" w:line="240" w:lineRule="auto"/>
        <w:jc w:val="left"/>
        <w:sectPr>
          <w:pgSz w:w="11910" w:h="16840"/>
          <w:pgMar w:header="877" w:footer="979" w:top="1060" w:bottom="1160" w:left="980" w:right="0"/>
        </w:sectPr>
      </w:pPr>
    </w:p>
    <w:p>
      <w:pPr>
        <w:spacing w:line="240" w:lineRule="auto" w:before="0"/>
        <w:rPr>
          <w:rFonts w:ascii="宋体" w:hAnsi="宋体" w:cs="宋体" w:eastAsia="宋体" w:hint="default"/>
          <w:b/>
          <w:bCs/>
          <w:sz w:val="20"/>
          <w:szCs w:val="20"/>
        </w:rPr>
      </w:pPr>
    </w:p>
    <w:p>
      <w:pPr>
        <w:pStyle w:val="BodyText"/>
        <w:spacing w:line="408" w:lineRule="auto" w:before="174"/>
        <w:ind w:right="0" w:firstLine="423"/>
        <w:jc w:val="left"/>
      </w:pPr>
      <w:r>
        <w:rPr/>
        <w:t>存在活跃市场的金融工具，以活跃市场中的报价确定其公允价值。不存在活跃市场的金融工具，采用 估值技术确定其公允价值。在估值时，本公司采用在当前情况下适用并且有足够可利用数据和其他信息支 持的估值技术，选择与市场参与者在相关资产或负债的交易中所考虑的资产或负债特征相一致的输入值，</w:t>
      </w:r>
      <w:r>
        <w:rPr>
          <w:spacing w:val="-38"/>
        </w:rPr>
        <w:t> </w:t>
      </w:r>
      <w:r>
        <w:rPr>
          <w:spacing w:val="-38"/>
        </w:rPr>
      </w:r>
      <w:r>
        <w:rPr/>
        <w:t>并优先使用相关可观察输入值。只有在相关可观察输入值无法取得或取得不切实可行的情况下，才使用不</w:t>
      </w:r>
      <w:r>
        <w:rPr/>
        <w:t> 可观察输入值。</w:t>
      </w:r>
    </w:p>
    <w:p>
      <w:pPr>
        <w:spacing w:line="408" w:lineRule="auto" w:before="46"/>
        <w:ind w:left="577" w:right="1117" w:firstLine="2"/>
        <w:jc w:val="left"/>
        <w:rPr>
          <w:rFonts w:ascii="宋体" w:hAnsi="宋体" w:cs="宋体" w:eastAsia="宋体" w:hint="default"/>
          <w:sz w:val="21"/>
          <w:szCs w:val="21"/>
        </w:rPr>
      </w:pPr>
      <w:r>
        <w:rPr>
          <w:rFonts w:ascii="宋体" w:hAnsi="宋体" w:cs="宋体" w:eastAsia="宋体" w:hint="default"/>
          <w:b/>
          <w:bCs/>
          <w:sz w:val="21"/>
          <w:szCs w:val="21"/>
        </w:rPr>
        <w:t>6.</w:t>
      </w:r>
      <w:r>
        <w:rPr>
          <w:rFonts w:ascii="宋体" w:hAnsi="宋体" w:cs="宋体" w:eastAsia="宋体" w:hint="default"/>
          <w:b/>
          <w:bCs/>
          <w:sz w:val="21"/>
          <w:szCs w:val="21"/>
        </w:rPr>
        <w:t>金融资产（不含应收款项）减值的测试方法及会计处理方法</w:t>
      </w:r>
      <w:r>
        <w:rPr>
          <w:rFonts w:ascii="宋体" w:hAnsi="宋体" w:cs="宋体" w:eastAsia="宋体" w:hint="default"/>
          <w:b/>
          <w:bCs/>
          <w:w w:val="99"/>
          <w:sz w:val="21"/>
          <w:szCs w:val="21"/>
        </w:rPr>
        <w:t> </w:t>
      </w:r>
      <w:r>
        <w:rPr>
          <w:rFonts w:ascii="宋体" w:hAnsi="宋体" w:cs="宋体" w:eastAsia="宋体" w:hint="default"/>
          <w:spacing w:val="-1"/>
          <w:sz w:val="21"/>
          <w:szCs w:val="21"/>
        </w:rPr>
        <w:t>除以公允价值计量且其变动计入当期损益的金融资产外，本公司于资产负债表日对金融资产的账面价</w:t>
      </w:r>
    </w:p>
    <w:p>
      <w:pPr>
        <w:pStyle w:val="BodyText"/>
        <w:spacing w:line="240" w:lineRule="auto"/>
        <w:ind w:right="1117"/>
        <w:jc w:val="left"/>
      </w:pPr>
      <w:r>
        <w:rPr/>
        <w:t>值进行检查，如果有客观证据表明某项金融资产发生减值的，计提减值准备。</w:t>
      </w:r>
    </w:p>
    <w:p>
      <w:pPr>
        <w:spacing w:line="240" w:lineRule="auto" w:before="10"/>
        <w:rPr>
          <w:rFonts w:ascii="宋体" w:hAnsi="宋体" w:cs="宋体" w:eastAsia="宋体" w:hint="default"/>
          <w:sz w:val="14"/>
          <w:szCs w:val="14"/>
        </w:rPr>
      </w:pPr>
    </w:p>
    <w:p>
      <w:pPr>
        <w:pStyle w:val="BodyText"/>
        <w:spacing w:line="408" w:lineRule="auto" w:before="0"/>
        <w:ind w:left="577" w:right="1117"/>
        <w:jc w:val="left"/>
      </w:pPr>
      <w:r>
        <w:rPr/>
        <w:t>（</w:t>
      </w:r>
      <w:r>
        <w:rPr>
          <w:rFonts w:ascii="宋体" w:hAnsi="宋体" w:cs="宋体" w:eastAsia="宋体" w:hint="default"/>
        </w:rPr>
        <w:t>1</w:t>
      </w:r>
      <w:r>
        <w:rPr/>
        <w:t>）可供出售金融资产的减值准备： </w:t>
      </w:r>
      <w:r>
        <w:rPr>
          <w:spacing w:val="-1"/>
        </w:rPr>
        <w:t>期末如果可供出售金融资产的公允价值发生严重下降，或在综合考虑各种相关因素后，预期这种下降</w:t>
      </w:r>
    </w:p>
    <w:p>
      <w:pPr>
        <w:pStyle w:val="BodyText"/>
        <w:spacing w:line="408" w:lineRule="auto"/>
        <w:ind w:right="1117"/>
        <w:jc w:val="left"/>
      </w:pPr>
      <w:r>
        <w:rPr>
          <w:spacing w:val="-1"/>
        </w:rPr>
        <w:t>趋势属于非暂时性的，就认定其已发生减值，将原直接计入所有者权益的公允价值下降形成的累计损失一</w:t>
      </w:r>
      <w:r>
        <w:rPr>
          <w:spacing w:val="-81"/>
        </w:rPr>
        <w:t> </w:t>
      </w:r>
      <w:r>
        <w:rPr>
          <w:spacing w:val="-81"/>
        </w:rPr>
      </w:r>
      <w:r>
        <w:rPr/>
        <w:t>并转出，确认减值损失。</w:t>
      </w:r>
    </w:p>
    <w:p>
      <w:pPr>
        <w:pStyle w:val="BodyText"/>
        <w:spacing w:line="408" w:lineRule="auto"/>
        <w:ind w:right="1117" w:firstLine="423"/>
        <w:jc w:val="left"/>
      </w:pPr>
      <w:r>
        <w:rPr>
          <w:spacing w:val="-1"/>
        </w:rPr>
        <w:t>对于已确认减值损失的可供出售债务工具，在随后的会计期间公允价值已上升且客观上与确认原减值</w:t>
      </w:r>
      <w:r>
        <w:rPr/>
        <w:t> 损失确认后发生的事项有关的，原确认的减值损失予以转回，计入当期损益。</w:t>
      </w:r>
    </w:p>
    <w:p>
      <w:pPr>
        <w:pStyle w:val="BodyText"/>
        <w:spacing w:line="240" w:lineRule="auto"/>
        <w:ind w:left="577" w:right="1117"/>
        <w:jc w:val="left"/>
      </w:pPr>
      <w:r>
        <w:rPr/>
        <w:t>可供出售权益工具投资发生的减值损失，不通过损益转回。</w:t>
      </w:r>
    </w:p>
    <w:p>
      <w:pPr>
        <w:spacing w:line="240" w:lineRule="auto" w:before="10"/>
        <w:rPr>
          <w:rFonts w:ascii="宋体" w:hAnsi="宋体" w:cs="宋体" w:eastAsia="宋体" w:hint="default"/>
          <w:sz w:val="14"/>
          <w:szCs w:val="14"/>
        </w:rPr>
      </w:pPr>
    </w:p>
    <w:p>
      <w:pPr>
        <w:pStyle w:val="BodyText"/>
        <w:spacing w:line="408" w:lineRule="auto" w:before="0"/>
        <w:ind w:left="577" w:right="3819"/>
        <w:jc w:val="left"/>
      </w:pPr>
      <w:r>
        <w:rPr/>
        <w:t>（</w:t>
      </w:r>
      <w:r>
        <w:rPr>
          <w:rFonts w:ascii="宋体" w:hAnsi="宋体" w:cs="宋体" w:eastAsia="宋体" w:hint="default"/>
        </w:rPr>
        <w:t>2</w:t>
      </w:r>
      <w:r>
        <w:rPr/>
        <w:t>）持有至到期投资的减值准备： 持有至到期投资减值损失的计量比照应收款项减值损失计量方法处理。</w:t>
      </w:r>
    </w:p>
    <w:p>
      <w:pPr>
        <w:spacing w:line="240" w:lineRule="auto" w:before="8"/>
        <w:rPr>
          <w:rFonts w:ascii="宋体" w:hAnsi="宋体" w:cs="宋体" w:eastAsia="宋体" w:hint="default"/>
          <w:sz w:val="20"/>
          <w:szCs w:val="20"/>
        </w:rPr>
      </w:pPr>
    </w:p>
    <w:p>
      <w:pPr>
        <w:pStyle w:val="Heading4"/>
        <w:spacing w:line="240" w:lineRule="auto"/>
        <w:ind w:right="1117"/>
        <w:jc w:val="left"/>
        <w:rPr>
          <w:b w:val="0"/>
          <w:bCs w:val="0"/>
        </w:rPr>
      </w:pPr>
      <w:bookmarkStart w:name="11、应收票据及应收账款" w:id="181"/>
      <w:bookmarkEnd w:id="181"/>
      <w:r>
        <w:rPr>
          <w:b w:val="0"/>
          <w:bCs w:val="0"/>
        </w:rPr>
      </w:r>
      <w:r>
        <w:rPr>
          <w:rFonts w:ascii="Times New Roman" w:hAnsi="Times New Roman" w:cs="Times New Roman" w:eastAsia="Times New Roman" w:hint="default"/>
        </w:rPr>
        <w:t>11</w:t>
      </w:r>
      <w:r>
        <w:rPr/>
        <w:t>、应收票据及应收账款</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1117"/>
        <w:jc w:val="left"/>
        <w:rPr>
          <w:b w:val="0"/>
          <w:bCs w:val="0"/>
        </w:rPr>
      </w:pPr>
      <w:bookmarkStart w:name="（1）单项金额重大并单独计提坏账准备的应收款项" w:id="182"/>
      <w:bookmarkEnd w:id="182"/>
      <w:r>
        <w:rPr>
          <w:b w:val="0"/>
          <w:bCs w:val="0"/>
        </w:rPr>
      </w:r>
      <w:r>
        <w:rPr/>
        <w:t>（</w:t>
      </w:r>
      <w:r>
        <w:rPr>
          <w:rFonts w:ascii="Times New Roman" w:hAnsi="Times New Roman" w:cs="Times New Roman" w:eastAsia="Times New Roman" w:hint="default"/>
        </w:rPr>
        <w:t>1</w:t>
      </w:r>
      <w:r>
        <w:rPr/>
        <w:t>）单项金额重大并单独计提坏账准备的应收款项</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4785"/>
        <w:gridCol w:w="4784"/>
      </w:tblGrid>
      <w:tr>
        <w:trPr>
          <w:trHeight w:val="1338"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单项金额重大的判断依据或金额标准</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51"/>
              <w:ind w:left="23" w:right="69"/>
              <w:jc w:val="both"/>
              <w:rPr>
                <w:rFonts w:ascii="宋体" w:hAnsi="宋体" w:cs="宋体" w:eastAsia="宋体" w:hint="default"/>
                <w:sz w:val="18"/>
                <w:szCs w:val="18"/>
              </w:rPr>
            </w:pPr>
            <w:r>
              <w:rPr>
                <w:rFonts w:ascii="宋体" w:hAnsi="宋体" w:cs="宋体" w:eastAsia="宋体" w:hint="default"/>
                <w:sz w:val="18"/>
                <w:szCs w:val="18"/>
              </w:rPr>
              <w:t>单项金额重大的判断依据或金额标准：本公司将金额为人民 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万元以上的应收账款及</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万元以上的其他应收 款确认为单项金额重大的应收款项。单项金额重大并单独计 提坏账准备的计提方法：</w:t>
            </w:r>
          </w:p>
        </w:tc>
      </w:tr>
      <w:tr>
        <w:trPr>
          <w:trHeight w:val="2274"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6"/>
              <w:ind w:right="0"/>
              <w:jc w:val="left"/>
              <w:rPr>
                <w:rFonts w:ascii="宋体" w:hAnsi="宋体" w:cs="宋体" w:eastAsia="宋体" w:hint="default"/>
                <w:b/>
                <w:bCs/>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单项金额重大并单项计提坏账准备的计提方法</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3" w:right="69"/>
              <w:jc w:val="both"/>
              <w:rPr>
                <w:rFonts w:ascii="宋体" w:hAnsi="宋体" w:cs="宋体" w:eastAsia="宋体" w:hint="default"/>
                <w:sz w:val="18"/>
                <w:szCs w:val="18"/>
              </w:rPr>
            </w:pPr>
            <w:r>
              <w:rPr>
                <w:rFonts w:ascii="宋体" w:hAnsi="宋体" w:cs="宋体" w:eastAsia="宋体" w:hint="default"/>
                <w:sz w:val="18"/>
                <w:szCs w:val="18"/>
              </w:rPr>
              <w:t>本公司对单项金额重大的应收款项单独进行减值测试，如有 客观证据表明其已发生减值，按预计未来现金流量现值低于 其账面价值的差额计提坏账准备，计入当期损益。单独测试 未发生减值的应收款项，将其归入相应信用风险特征组合计 提坏账准备。其中，合并范围内的关联方、押金、保证金不 计提坏账；其他关联方及非关联方的应收款项，以账龄为信 用风险组合，按账龄分析法计提坏账准备。</w:t>
            </w:r>
          </w:p>
        </w:tc>
      </w:tr>
    </w:tbl>
    <w:p>
      <w:pPr>
        <w:spacing w:after="0" w:line="319" w:lineRule="auto"/>
        <w:jc w:val="both"/>
        <w:rPr>
          <w:rFonts w:ascii="宋体" w:hAnsi="宋体" w:cs="宋体" w:eastAsia="宋体" w:hint="default"/>
          <w:sz w:val="18"/>
          <w:szCs w:val="18"/>
        </w:rPr>
        <w:sectPr>
          <w:pgSz w:w="11910" w:h="16840"/>
          <w:pgMar w:header="877" w:footer="979" w:top="1060" w:bottom="1160" w:left="980" w:right="0"/>
        </w:sectPr>
      </w:pPr>
    </w:p>
    <w:p>
      <w:pPr>
        <w:spacing w:line="240" w:lineRule="auto" w:before="10"/>
        <w:rPr>
          <w:rFonts w:ascii="宋体" w:hAnsi="宋体" w:cs="宋体" w:eastAsia="宋体" w:hint="default"/>
          <w:b/>
          <w:bCs/>
          <w:sz w:val="24"/>
          <w:szCs w:val="24"/>
        </w:rPr>
      </w:pPr>
    </w:p>
    <w:p>
      <w:pPr>
        <w:pStyle w:val="Heading4"/>
        <w:spacing w:line="240" w:lineRule="auto" w:before="35"/>
        <w:ind w:right="1117"/>
        <w:jc w:val="left"/>
        <w:rPr>
          <w:b w:val="0"/>
          <w:bCs w:val="0"/>
        </w:rPr>
      </w:pPr>
      <w:bookmarkStart w:name="（2）按信用风险特征组合计提坏账准备的应收款项" w:id="183"/>
      <w:bookmarkEnd w:id="183"/>
      <w:r>
        <w:rPr>
          <w:b w:val="0"/>
          <w:bCs w:val="0"/>
        </w:rPr>
      </w:r>
      <w:r>
        <w:rPr/>
        <w:t>（</w:t>
      </w:r>
      <w:r>
        <w:rPr>
          <w:rFonts w:ascii="Times New Roman" w:hAnsi="Times New Roman" w:cs="Times New Roman" w:eastAsia="Times New Roman" w:hint="default"/>
        </w:rPr>
        <w:t>2</w:t>
      </w:r>
      <w:r>
        <w:rPr/>
        <w:t>）按信用风险特征组合计提坏账准备的应收款项</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4785"/>
        <w:gridCol w:w="4784"/>
      </w:tblGrid>
      <w:tr>
        <w:trPr>
          <w:trHeight w:val="402"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组合名称</w:t>
            </w:r>
          </w:p>
        </w:tc>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坏账准备计提方法</w:t>
            </w:r>
          </w:p>
        </w:tc>
      </w:tr>
      <w:tr>
        <w:trPr>
          <w:trHeight w:val="402" w:hRule="exact"/>
        </w:trPr>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账龄分析法组合</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账龄分析法</w:t>
            </w:r>
          </w:p>
        </w:tc>
      </w:tr>
      <w:tr>
        <w:trPr>
          <w:trHeight w:val="402" w:hRule="exact"/>
        </w:trPr>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合并关联方、保证金等组合</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其他方法</w:t>
            </w:r>
          </w:p>
        </w:tc>
      </w:tr>
    </w:tbl>
    <w:p>
      <w:pPr>
        <w:spacing w:before="51"/>
        <w:ind w:left="154" w:right="1117" w:firstLine="0"/>
        <w:jc w:val="left"/>
        <w:rPr>
          <w:rFonts w:ascii="宋体" w:hAnsi="宋体" w:cs="宋体" w:eastAsia="宋体" w:hint="default"/>
          <w:sz w:val="18"/>
          <w:szCs w:val="18"/>
        </w:rPr>
      </w:pPr>
      <w:r>
        <w:rPr>
          <w:rFonts w:ascii="宋体" w:hAnsi="宋体" w:cs="宋体" w:eastAsia="宋体" w:hint="default"/>
          <w:sz w:val="18"/>
          <w:szCs w:val="18"/>
        </w:rPr>
        <w:t>组合中，采用账龄分析法计提坏账准备的：</w:t>
      </w:r>
    </w:p>
    <w:p>
      <w:pPr>
        <w:spacing w:before="117"/>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适用</w:t>
      </w:r>
      <w:r>
        <w:rPr>
          <w:rFonts w:ascii="Times New Roman" w:hAnsi="Times New Roman" w:cs="Times New Roman" w:eastAsia="Times New Roman" w:hint="default"/>
          <w:sz w:val="18"/>
          <w:szCs w:val="18"/>
        </w:rPr>
        <w:t>□</w:t>
      </w:r>
      <w:r>
        <w:rPr>
          <w:rFonts w:ascii="宋体" w:hAnsi="宋体" w:cs="宋体" w:eastAsia="宋体" w:hint="default"/>
          <w:sz w:val="18"/>
          <w:szCs w:val="18"/>
        </w:rPr>
        <w:t>不适用</w:t>
      </w:r>
    </w:p>
    <w:p>
      <w:pPr>
        <w:spacing w:line="240" w:lineRule="auto" w:before="12"/>
        <w:rPr>
          <w:rFonts w:ascii="宋体" w:hAnsi="宋体" w:cs="宋体" w:eastAsia="宋体" w:hint="default"/>
          <w:sz w:val="6"/>
          <w:szCs w:val="6"/>
        </w:rPr>
      </w:pPr>
    </w:p>
    <w:tbl>
      <w:tblPr>
        <w:tblW w:w="0" w:type="auto"/>
        <w:jc w:val="left"/>
        <w:tblInd w:w="160" w:type="dxa"/>
        <w:tblLayout w:type="fixed"/>
        <w:tblCellMar>
          <w:top w:w="0" w:type="dxa"/>
          <w:left w:w="0" w:type="dxa"/>
          <w:bottom w:w="0" w:type="dxa"/>
          <w:right w:w="0" w:type="dxa"/>
        </w:tblCellMar>
        <w:tblLook w:val="01E0"/>
      </w:tblPr>
      <w:tblGrid>
        <w:gridCol w:w="3167"/>
        <w:gridCol w:w="3202"/>
        <w:gridCol w:w="3190"/>
      </w:tblGrid>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1"/>
              <w:jc w:val="center"/>
              <w:rPr>
                <w:rFonts w:ascii="宋体" w:hAnsi="宋体" w:cs="宋体" w:eastAsia="宋体" w:hint="default"/>
                <w:sz w:val="18"/>
                <w:szCs w:val="18"/>
              </w:rPr>
            </w:pPr>
            <w:r>
              <w:rPr>
                <w:rFonts w:ascii="宋体" w:hAnsi="宋体" w:cs="宋体" w:eastAsia="宋体" w:hint="default"/>
                <w:sz w:val="18"/>
                <w:szCs w:val="18"/>
              </w:rPr>
              <w:t>账龄</w:t>
            </w:r>
          </w:p>
        </w:tc>
        <w:tc>
          <w:tcPr>
            <w:tcW w:w="3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882" w:right="0"/>
              <w:jc w:val="left"/>
              <w:rPr>
                <w:rFonts w:ascii="宋体" w:hAnsi="宋体" w:cs="宋体" w:eastAsia="宋体" w:hint="default"/>
                <w:sz w:val="18"/>
                <w:szCs w:val="18"/>
              </w:rPr>
            </w:pPr>
            <w:r>
              <w:rPr>
                <w:rFonts w:ascii="宋体" w:hAnsi="宋体" w:cs="宋体" w:eastAsia="宋体" w:hint="default"/>
                <w:sz w:val="18"/>
                <w:szCs w:val="18"/>
              </w:rPr>
              <w:t>应收账款计提比例</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80" w:right="0"/>
              <w:jc w:val="left"/>
              <w:rPr>
                <w:rFonts w:ascii="宋体" w:hAnsi="宋体" w:cs="宋体" w:eastAsia="宋体" w:hint="default"/>
                <w:sz w:val="18"/>
                <w:szCs w:val="18"/>
              </w:rPr>
            </w:pPr>
            <w:r>
              <w:rPr>
                <w:rFonts w:ascii="宋体" w:hAnsi="宋体" w:cs="宋体" w:eastAsia="宋体" w:hint="default"/>
                <w:sz w:val="18"/>
                <w:szCs w:val="18"/>
              </w:rPr>
              <w:t>其他应收款计提比例</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年）</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5.00%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5.00%</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10.00%</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30.00%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30.00%</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50.00%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50.00%</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100.00%</w:t>
            </w:r>
          </w:p>
        </w:tc>
      </w:tr>
      <w:tr>
        <w:trPr>
          <w:trHeight w:val="403"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100.00%</w:t>
            </w:r>
          </w:p>
        </w:tc>
      </w:tr>
    </w:tbl>
    <w:p>
      <w:pPr>
        <w:spacing w:before="51"/>
        <w:ind w:left="154" w:right="1117" w:firstLine="0"/>
        <w:jc w:val="left"/>
        <w:rPr>
          <w:rFonts w:ascii="宋体" w:hAnsi="宋体" w:cs="宋体" w:eastAsia="宋体" w:hint="default"/>
          <w:sz w:val="18"/>
          <w:szCs w:val="18"/>
        </w:rPr>
      </w:pPr>
      <w:r>
        <w:rPr>
          <w:rFonts w:ascii="宋体" w:hAnsi="宋体" w:cs="宋体" w:eastAsia="宋体" w:hint="default"/>
          <w:sz w:val="18"/>
          <w:szCs w:val="18"/>
        </w:rPr>
        <w:t>组合中，采用余额百分比法计提坏账准备的：</w:t>
      </w:r>
    </w:p>
    <w:p>
      <w:pPr>
        <w:spacing w:line="340" w:lineRule="auto" w:before="116"/>
        <w:ind w:left="154" w:right="751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适用</w:t>
      </w:r>
      <w:r>
        <w:rPr>
          <w:rFonts w:ascii="Times New Roman" w:hAnsi="Times New Roman" w:cs="Times New Roman" w:eastAsia="Times New Roman" w:hint="default"/>
          <w:sz w:val="18"/>
          <w:szCs w:val="18"/>
        </w:rPr>
        <w:t>√</w:t>
      </w:r>
      <w:r>
        <w:rPr>
          <w:rFonts w:ascii="宋体" w:hAnsi="宋体" w:cs="宋体" w:eastAsia="宋体" w:hint="default"/>
          <w:sz w:val="18"/>
          <w:szCs w:val="18"/>
        </w:rPr>
        <w:t>不适用 组合中，采用其他方法计提坏账准备的：</w:t>
      </w:r>
    </w:p>
    <w:p>
      <w:pPr>
        <w:spacing w:before="40"/>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适用</w:t>
      </w:r>
      <w:r>
        <w:rPr>
          <w:rFonts w:ascii="Times New Roman" w:hAnsi="Times New Roman" w:cs="Times New Roman" w:eastAsia="Times New Roman" w:hint="default"/>
          <w:sz w:val="18"/>
          <w:szCs w:val="18"/>
        </w:rPr>
        <w:t>□</w:t>
      </w:r>
      <w:r>
        <w:rPr>
          <w:rFonts w:ascii="宋体" w:hAnsi="宋体" w:cs="宋体" w:eastAsia="宋体" w:hint="default"/>
          <w:sz w:val="18"/>
          <w:szCs w:val="18"/>
        </w:rPr>
        <w:t>不适用</w:t>
      </w:r>
    </w:p>
    <w:p>
      <w:pPr>
        <w:spacing w:line="240" w:lineRule="auto" w:before="13"/>
        <w:rPr>
          <w:rFonts w:ascii="宋体" w:hAnsi="宋体" w:cs="宋体" w:eastAsia="宋体" w:hint="default"/>
          <w:sz w:val="6"/>
          <w:szCs w:val="6"/>
        </w:rPr>
      </w:pPr>
    </w:p>
    <w:tbl>
      <w:tblPr>
        <w:tblW w:w="0" w:type="auto"/>
        <w:jc w:val="left"/>
        <w:tblInd w:w="14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组合名称</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870" w:right="0"/>
              <w:jc w:val="left"/>
              <w:rPr>
                <w:rFonts w:ascii="宋体" w:hAnsi="宋体" w:cs="宋体" w:eastAsia="宋体" w:hint="default"/>
                <w:sz w:val="18"/>
                <w:szCs w:val="18"/>
              </w:rPr>
            </w:pPr>
            <w:r>
              <w:rPr>
                <w:rFonts w:ascii="宋体" w:hAnsi="宋体" w:cs="宋体" w:eastAsia="宋体" w:hint="default"/>
                <w:sz w:val="18"/>
                <w:szCs w:val="18"/>
              </w:rPr>
              <w:t>应收账款计提比例</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80" w:right="0"/>
              <w:jc w:val="left"/>
              <w:rPr>
                <w:rFonts w:ascii="宋体" w:hAnsi="宋体" w:cs="宋体" w:eastAsia="宋体" w:hint="default"/>
                <w:sz w:val="18"/>
                <w:szCs w:val="18"/>
              </w:rPr>
            </w:pPr>
            <w:r>
              <w:rPr>
                <w:rFonts w:ascii="宋体" w:hAnsi="宋体" w:cs="宋体" w:eastAsia="宋体" w:hint="default"/>
                <w:sz w:val="18"/>
                <w:szCs w:val="18"/>
              </w:rPr>
              <w:t>其他应收款计提比例</w:t>
            </w:r>
          </w:p>
        </w:tc>
      </w:tr>
      <w:tr>
        <w:trPr>
          <w:trHeight w:val="403"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合并关联方、保证金等组合</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0.00%</w:t>
            </w:r>
          </w:p>
        </w:tc>
      </w:tr>
    </w:tbl>
    <w:p>
      <w:pPr>
        <w:spacing w:line="240" w:lineRule="auto" w:before="2"/>
        <w:rPr>
          <w:rFonts w:ascii="宋体" w:hAnsi="宋体" w:cs="宋体" w:eastAsia="宋体" w:hint="default"/>
          <w:sz w:val="19"/>
          <w:szCs w:val="19"/>
        </w:rPr>
      </w:pPr>
    </w:p>
    <w:p>
      <w:pPr>
        <w:pStyle w:val="Heading4"/>
        <w:spacing w:line="240" w:lineRule="auto" w:before="35"/>
        <w:ind w:right="1117"/>
        <w:jc w:val="left"/>
        <w:rPr>
          <w:b w:val="0"/>
          <w:bCs w:val="0"/>
        </w:rPr>
      </w:pPr>
      <w:bookmarkStart w:name="（3）单项金额不重大但单独计提坏账准备的应收款项" w:id="184"/>
      <w:bookmarkEnd w:id="184"/>
      <w:r>
        <w:rPr>
          <w:b w:val="0"/>
          <w:bCs w:val="0"/>
        </w:rPr>
      </w:r>
      <w:r>
        <w:rPr/>
        <w:t>（</w:t>
      </w:r>
      <w:r>
        <w:rPr>
          <w:rFonts w:ascii="Times New Roman" w:hAnsi="Times New Roman" w:cs="Times New Roman" w:eastAsia="Times New Roman" w:hint="default"/>
        </w:rPr>
        <w:t>3</w:t>
      </w:r>
      <w:r>
        <w:rPr/>
        <w:t>）单项金额不重大但单独计提坏账准备的应收款项</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4785"/>
        <w:gridCol w:w="4784"/>
      </w:tblGrid>
      <w:tr>
        <w:trPr>
          <w:trHeight w:val="714"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单项计提坏账准备的理由</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3" w:right="69"/>
              <w:jc w:val="left"/>
              <w:rPr>
                <w:rFonts w:ascii="宋体" w:hAnsi="宋体" w:cs="宋体" w:eastAsia="宋体" w:hint="default"/>
                <w:sz w:val="18"/>
                <w:szCs w:val="18"/>
              </w:rPr>
            </w:pPr>
            <w:r>
              <w:rPr>
                <w:rFonts w:ascii="宋体" w:hAnsi="宋体" w:cs="宋体" w:eastAsia="宋体" w:hint="default"/>
                <w:sz w:val="18"/>
                <w:szCs w:val="18"/>
              </w:rPr>
              <w:t>如果有客观证据表明其发生了减值的应收款项，单独确认减 值损失。</w:t>
            </w:r>
          </w:p>
        </w:tc>
      </w:tr>
      <w:tr>
        <w:trPr>
          <w:trHeight w:val="714"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坏账准备的计提方法</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3" w:right="69"/>
              <w:jc w:val="left"/>
              <w:rPr>
                <w:rFonts w:ascii="宋体" w:hAnsi="宋体" w:cs="宋体" w:eastAsia="宋体" w:hint="default"/>
                <w:sz w:val="18"/>
                <w:szCs w:val="18"/>
              </w:rPr>
            </w:pPr>
            <w:r>
              <w:rPr>
                <w:rFonts w:ascii="宋体" w:hAnsi="宋体" w:cs="宋体" w:eastAsia="宋体" w:hint="default"/>
                <w:sz w:val="18"/>
                <w:szCs w:val="18"/>
              </w:rPr>
              <w:t>如果有客观证据表明其发生了减值的应收款项，单独确认减 值损失。</w:t>
            </w:r>
          </w:p>
        </w:tc>
      </w:tr>
    </w:tbl>
    <w:p>
      <w:pPr>
        <w:spacing w:line="240" w:lineRule="auto" w:before="2"/>
        <w:rPr>
          <w:rFonts w:ascii="宋体" w:hAnsi="宋体" w:cs="宋体" w:eastAsia="宋体" w:hint="default"/>
          <w:b/>
          <w:bCs/>
          <w:sz w:val="19"/>
          <w:szCs w:val="19"/>
        </w:rPr>
      </w:pPr>
    </w:p>
    <w:p>
      <w:pPr>
        <w:pStyle w:val="Heading4"/>
        <w:spacing w:line="240" w:lineRule="auto" w:before="35"/>
        <w:ind w:right="1117"/>
        <w:jc w:val="left"/>
        <w:rPr>
          <w:b w:val="0"/>
          <w:bCs w:val="0"/>
        </w:rPr>
      </w:pPr>
      <w:bookmarkStart w:name="12、存货" w:id="185"/>
      <w:bookmarkEnd w:id="185"/>
      <w:r>
        <w:rPr>
          <w:b w:val="0"/>
          <w:bCs w:val="0"/>
        </w:rPr>
      </w:r>
      <w:r>
        <w:rPr>
          <w:rFonts w:ascii="Times New Roman" w:hAnsi="Times New Roman" w:cs="Times New Roman" w:eastAsia="Times New Roman" w:hint="default"/>
        </w:rPr>
        <w:t>12</w:t>
      </w:r>
      <w:r>
        <w:rPr/>
        <w:t>、存货</w:t>
      </w:r>
      <w:r>
        <w:rPr>
          <w:b w:val="0"/>
          <w:bCs w:val="0"/>
        </w:rPr>
      </w:r>
    </w:p>
    <w:p>
      <w:pPr>
        <w:spacing w:line="240" w:lineRule="auto" w:before="8"/>
        <w:rPr>
          <w:rFonts w:ascii="宋体" w:hAnsi="宋体" w:cs="宋体" w:eastAsia="宋体" w:hint="default"/>
          <w:b/>
          <w:bCs/>
          <w:sz w:val="26"/>
          <w:szCs w:val="26"/>
        </w:rPr>
      </w:pPr>
    </w:p>
    <w:p>
      <w:pPr>
        <w:spacing w:line="360" w:lineRule="auto" w:before="0"/>
        <w:ind w:left="154" w:right="7692" w:firstLine="0"/>
        <w:jc w:val="left"/>
        <w:rPr>
          <w:rFonts w:ascii="宋体" w:hAnsi="宋体" w:cs="宋体" w:eastAsia="宋体" w:hint="default"/>
          <w:sz w:val="18"/>
          <w:szCs w:val="18"/>
        </w:rPr>
      </w:pPr>
      <w:r>
        <w:rPr>
          <w:rFonts w:ascii="宋体" w:hAnsi="宋体" w:cs="宋体" w:eastAsia="宋体" w:hint="default"/>
          <w:sz w:val="18"/>
          <w:szCs w:val="18"/>
        </w:rPr>
        <w:t>公司是否需要遵守特殊行业的披露要求 否</w:t>
      </w:r>
    </w:p>
    <w:p>
      <w:pPr>
        <w:spacing w:line="408" w:lineRule="auto" w:before="77"/>
        <w:ind w:left="576" w:right="4240" w:firstLine="0"/>
        <w:jc w:val="left"/>
        <w:rPr>
          <w:rFonts w:ascii="宋体" w:hAnsi="宋体" w:cs="宋体" w:eastAsia="宋体" w:hint="default"/>
          <w:sz w:val="21"/>
          <w:szCs w:val="21"/>
        </w:rPr>
      </w:pPr>
      <w:r>
        <w:rPr>
          <w:rFonts w:ascii="宋体" w:hAnsi="宋体" w:cs="宋体" w:eastAsia="宋体" w:hint="default"/>
          <w:b/>
          <w:bCs/>
          <w:sz w:val="21"/>
          <w:szCs w:val="21"/>
        </w:rPr>
        <w:t>1</w:t>
      </w:r>
      <w:r>
        <w:rPr>
          <w:rFonts w:ascii="宋体" w:hAnsi="宋体" w:cs="宋体" w:eastAsia="宋体" w:hint="default"/>
          <w:b/>
          <w:bCs/>
          <w:sz w:val="21"/>
          <w:szCs w:val="21"/>
        </w:rPr>
        <w:t>．存货的分类</w:t>
      </w:r>
      <w:r>
        <w:rPr>
          <w:rFonts w:ascii="宋体" w:hAnsi="宋体" w:cs="宋体" w:eastAsia="宋体" w:hint="default"/>
          <w:b/>
          <w:bCs/>
          <w:w w:val="99"/>
          <w:sz w:val="21"/>
          <w:szCs w:val="21"/>
        </w:rPr>
        <w:t> </w:t>
      </w:r>
      <w:r>
        <w:rPr>
          <w:rFonts w:ascii="宋体" w:hAnsi="宋体" w:cs="宋体" w:eastAsia="宋体" w:hint="default"/>
          <w:sz w:val="21"/>
          <w:szCs w:val="21"/>
        </w:rPr>
        <w:t>存货分类为：原材料、在产品及半成品、发出商品、库存商品等。 </w:t>
      </w:r>
      <w:r>
        <w:rPr>
          <w:rFonts w:ascii="宋体" w:hAnsi="宋体" w:cs="宋体" w:eastAsia="宋体" w:hint="default"/>
          <w:b/>
          <w:bCs/>
          <w:sz w:val="21"/>
          <w:szCs w:val="21"/>
        </w:rPr>
        <w:t>2.</w:t>
      </w:r>
      <w:r>
        <w:rPr>
          <w:rFonts w:ascii="宋体" w:hAnsi="宋体" w:cs="宋体" w:eastAsia="宋体" w:hint="default"/>
          <w:b/>
          <w:bCs/>
          <w:sz w:val="21"/>
          <w:szCs w:val="21"/>
        </w:rPr>
        <w:t>发出存货的计价方法</w:t>
      </w:r>
      <w:r>
        <w:rPr>
          <w:rFonts w:ascii="宋体" w:hAnsi="宋体" w:cs="宋体" w:eastAsia="宋体" w:hint="default"/>
          <w:sz w:val="21"/>
          <w:szCs w:val="21"/>
        </w:rPr>
      </w:r>
    </w:p>
    <w:p>
      <w:pPr>
        <w:pStyle w:val="BodyText"/>
        <w:spacing w:line="240" w:lineRule="auto"/>
        <w:ind w:left="580" w:right="1117"/>
        <w:jc w:val="left"/>
      </w:pPr>
      <w:r>
        <w:rPr/>
        <w:t>存货发出时按加权平均法计价。</w:t>
      </w:r>
    </w:p>
    <w:p>
      <w:pPr>
        <w:spacing w:after="0" w:line="240" w:lineRule="auto"/>
        <w:jc w:val="left"/>
        <w:sectPr>
          <w:pgSz w:w="11910" w:h="16840"/>
          <w:pgMar w:header="877" w:footer="979" w:top="1060" w:bottom="1160" w:left="980" w:right="0"/>
        </w:sectPr>
      </w:pPr>
    </w:p>
    <w:p>
      <w:pPr>
        <w:spacing w:line="240" w:lineRule="auto" w:before="0"/>
        <w:rPr>
          <w:rFonts w:ascii="宋体" w:hAnsi="宋体" w:cs="宋体" w:eastAsia="宋体" w:hint="default"/>
          <w:sz w:val="20"/>
          <w:szCs w:val="20"/>
        </w:rPr>
      </w:pPr>
    </w:p>
    <w:p>
      <w:pPr>
        <w:spacing w:line="408" w:lineRule="auto" w:before="174"/>
        <w:ind w:left="580" w:right="1130" w:firstLine="0"/>
        <w:jc w:val="left"/>
        <w:rPr>
          <w:rFonts w:ascii="宋体" w:hAnsi="宋体" w:cs="宋体" w:eastAsia="宋体" w:hint="default"/>
          <w:sz w:val="21"/>
          <w:szCs w:val="21"/>
        </w:rPr>
      </w:pPr>
      <w:r>
        <w:rPr>
          <w:rFonts w:ascii="宋体" w:hAnsi="宋体" w:cs="宋体" w:eastAsia="宋体" w:hint="default"/>
          <w:b/>
          <w:bCs/>
          <w:sz w:val="21"/>
          <w:szCs w:val="21"/>
        </w:rPr>
        <w:t>3.</w:t>
      </w:r>
      <w:r>
        <w:rPr>
          <w:rFonts w:ascii="宋体" w:hAnsi="宋体" w:cs="宋体" w:eastAsia="宋体" w:hint="default"/>
          <w:b/>
          <w:bCs/>
          <w:sz w:val="21"/>
          <w:szCs w:val="21"/>
        </w:rPr>
        <w:t>不同类别存货可变现净值的确定依据</w:t>
      </w:r>
      <w:r>
        <w:rPr>
          <w:rFonts w:ascii="宋体" w:hAnsi="宋体" w:cs="宋体" w:eastAsia="宋体" w:hint="default"/>
          <w:b/>
          <w:bCs/>
          <w:w w:val="99"/>
          <w:sz w:val="21"/>
          <w:szCs w:val="21"/>
        </w:rPr>
        <w:t> </w:t>
      </w:r>
      <w:r>
        <w:rPr>
          <w:rFonts w:ascii="宋体" w:hAnsi="宋体" w:cs="宋体" w:eastAsia="宋体" w:hint="default"/>
          <w:spacing w:val="-1"/>
          <w:sz w:val="21"/>
          <w:szCs w:val="21"/>
        </w:rPr>
        <w:t>产成品、库存商品和用于出售的材料等直接用于出售的商品存货，在正常生产经营过程中，以该存货</w:t>
      </w:r>
    </w:p>
    <w:p>
      <w:pPr>
        <w:pStyle w:val="BodyText"/>
        <w:spacing w:line="408" w:lineRule="auto"/>
        <w:ind w:right="1131"/>
        <w:jc w:val="both"/>
      </w:pPr>
      <w:r>
        <w:rPr>
          <w:spacing w:val="-1"/>
        </w:rPr>
        <w:t>的估计售价减去估计的销售费用和相关税费后的金额，确定其可变现净值；需要经过加工的材料存货，在</w:t>
      </w:r>
      <w:r>
        <w:rPr>
          <w:spacing w:val="-83"/>
        </w:rPr>
        <w:t> </w:t>
      </w:r>
      <w:r>
        <w:rPr>
          <w:spacing w:val="-83"/>
        </w:rPr>
      </w:r>
      <w:r>
        <w:rPr>
          <w:spacing w:val="-1"/>
        </w:rPr>
        <w:t>正常生产经营过程中，以所生产的产成品的估计售价减去至完工时估计将要发生的成本、估计的销售费用</w:t>
      </w:r>
      <w:r>
        <w:rPr>
          <w:spacing w:val="-81"/>
        </w:rPr>
        <w:t> </w:t>
      </w:r>
      <w:r>
        <w:rPr>
          <w:spacing w:val="-81"/>
        </w:rPr>
      </w:r>
      <w:r>
        <w:rPr>
          <w:spacing w:val="-1"/>
        </w:rPr>
        <w:t>和相关税费后的金额，确定其可变现净值；为执行销售合同或者劳务合同而持有的存货，其可变现净值以</w:t>
      </w:r>
      <w:r>
        <w:rPr>
          <w:spacing w:val="-83"/>
        </w:rPr>
        <w:t> </w:t>
      </w:r>
      <w:r>
        <w:rPr>
          <w:spacing w:val="-83"/>
        </w:rPr>
      </w:r>
      <w:r>
        <w:rPr>
          <w:spacing w:val="-1"/>
        </w:rPr>
        <w:t>合同价格为基础计算，若持有存货的数量多于销售合同订购数量的，超出部分的存货的可变现净值以一般</w:t>
      </w:r>
      <w:r>
        <w:rPr>
          <w:spacing w:val="-81"/>
        </w:rPr>
        <w:t> </w:t>
      </w:r>
      <w:r>
        <w:rPr>
          <w:spacing w:val="-81"/>
        </w:rPr>
      </w:r>
      <w:r>
        <w:rPr/>
        <w:t>销售价格为基础计算。</w:t>
      </w:r>
    </w:p>
    <w:p>
      <w:pPr>
        <w:pStyle w:val="BodyText"/>
        <w:spacing w:line="408" w:lineRule="auto"/>
        <w:ind w:right="1131" w:firstLine="426"/>
        <w:jc w:val="both"/>
      </w:pPr>
      <w:r>
        <w:rPr>
          <w:spacing w:val="-1"/>
        </w:rPr>
        <w:t>期末按照单个存货项目计提存货跌价准备；但对于数量繁多、单价较低的存货，按照存货类别计提存</w:t>
      </w:r>
      <w:r>
        <w:rPr/>
        <w:t> </w:t>
      </w:r>
      <w:r>
        <w:rPr>
          <w:spacing w:val="-1"/>
        </w:rPr>
        <w:t>货跌价准备；与在同一地区生产和销售的产品系列相关、具有相同或类似最终用途或目的，且难以与其他</w:t>
      </w:r>
      <w:r>
        <w:rPr>
          <w:spacing w:val="-83"/>
        </w:rPr>
        <w:t> </w:t>
      </w:r>
      <w:r>
        <w:rPr>
          <w:spacing w:val="-83"/>
        </w:rPr>
      </w:r>
      <w:r>
        <w:rPr/>
        <w:t>项目分开计量的存货，则合并计提存货跌价准备。</w:t>
      </w:r>
    </w:p>
    <w:p>
      <w:pPr>
        <w:pStyle w:val="BodyText"/>
        <w:spacing w:line="408" w:lineRule="auto"/>
        <w:ind w:right="1131" w:firstLine="426"/>
        <w:jc w:val="both"/>
      </w:pPr>
      <w:r>
        <w:rPr>
          <w:spacing w:val="-1"/>
        </w:rPr>
        <w:t>除有明确证据表明资产负债表日市场价格异常外，存货项目的可变现净值以资产负债表日市场价格为</w:t>
      </w:r>
      <w:r>
        <w:rPr/>
        <w:t> 基础确定。</w:t>
      </w:r>
    </w:p>
    <w:p>
      <w:pPr>
        <w:spacing w:line="408" w:lineRule="auto" w:before="46"/>
        <w:ind w:left="580" w:right="3816" w:firstLine="0"/>
        <w:jc w:val="left"/>
        <w:rPr>
          <w:rFonts w:ascii="宋体" w:hAnsi="宋体" w:cs="宋体" w:eastAsia="宋体" w:hint="default"/>
          <w:sz w:val="21"/>
          <w:szCs w:val="21"/>
        </w:rPr>
      </w:pPr>
      <w:r>
        <w:rPr>
          <w:rFonts w:ascii="宋体" w:hAnsi="宋体" w:cs="宋体" w:eastAsia="宋体" w:hint="default"/>
          <w:sz w:val="21"/>
          <w:szCs w:val="21"/>
        </w:rPr>
        <w:t>本期期末存货项目的可变现净值以资产负债表日市场价格为基础确定。 </w:t>
      </w:r>
      <w:r>
        <w:rPr>
          <w:rFonts w:ascii="宋体" w:hAnsi="宋体" w:cs="宋体" w:eastAsia="宋体" w:hint="default"/>
          <w:b/>
          <w:bCs/>
          <w:sz w:val="21"/>
          <w:szCs w:val="21"/>
        </w:rPr>
        <w:t>4.</w:t>
      </w:r>
      <w:r>
        <w:rPr>
          <w:rFonts w:ascii="宋体" w:hAnsi="宋体" w:cs="宋体" w:eastAsia="宋体" w:hint="default"/>
          <w:b/>
          <w:bCs/>
          <w:sz w:val="21"/>
          <w:szCs w:val="21"/>
        </w:rPr>
        <w:t>存货的盘存制度</w:t>
      </w:r>
      <w:r>
        <w:rPr>
          <w:rFonts w:ascii="宋体" w:hAnsi="宋体" w:cs="宋体" w:eastAsia="宋体" w:hint="default"/>
          <w:sz w:val="21"/>
          <w:szCs w:val="21"/>
        </w:rPr>
      </w:r>
    </w:p>
    <w:p>
      <w:pPr>
        <w:spacing w:line="408" w:lineRule="auto" w:before="46"/>
        <w:ind w:left="580" w:right="7163" w:firstLine="0"/>
        <w:jc w:val="left"/>
        <w:rPr>
          <w:rFonts w:ascii="宋体" w:hAnsi="宋体" w:cs="宋体" w:eastAsia="宋体" w:hint="default"/>
          <w:sz w:val="21"/>
          <w:szCs w:val="21"/>
        </w:rPr>
      </w:pPr>
      <w:r>
        <w:rPr>
          <w:rFonts w:ascii="宋体" w:hAnsi="宋体" w:cs="宋体" w:eastAsia="宋体" w:hint="default"/>
          <w:sz w:val="21"/>
          <w:szCs w:val="21"/>
        </w:rPr>
        <w:t>采用永续盘存制。 </w:t>
      </w:r>
      <w:r>
        <w:rPr>
          <w:rFonts w:ascii="宋体" w:hAnsi="宋体" w:cs="宋体" w:eastAsia="宋体" w:hint="default"/>
          <w:b/>
          <w:bCs/>
          <w:sz w:val="21"/>
          <w:szCs w:val="21"/>
        </w:rPr>
        <w:t>5.</w:t>
      </w:r>
      <w:r>
        <w:rPr>
          <w:rFonts w:ascii="宋体" w:hAnsi="宋体" w:cs="宋体" w:eastAsia="宋体" w:hint="default"/>
          <w:b/>
          <w:bCs/>
          <w:sz w:val="21"/>
          <w:szCs w:val="21"/>
        </w:rPr>
        <w:t>低值易耗品和包装物的摊销方法</w:t>
      </w:r>
      <w:r>
        <w:rPr>
          <w:rFonts w:ascii="宋体" w:hAnsi="宋体" w:cs="宋体" w:eastAsia="宋体" w:hint="default"/>
          <w:sz w:val="21"/>
          <w:szCs w:val="21"/>
        </w:rPr>
      </w:r>
    </w:p>
    <w:p>
      <w:pPr>
        <w:pStyle w:val="BodyText"/>
        <w:spacing w:line="240" w:lineRule="auto"/>
        <w:ind w:left="580" w:right="1117"/>
        <w:jc w:val="left"/>
      </w:pPr>
      <w:r>
        <w:rPr/>
        <w:t>（</w:t>
      </w:r>
      <w:r>
        <w:rPr>
          <w:rFonts w:ascii="宋体" w:hAnsi="宋体" w:cs="宋体" w:eastAsia="宋体" w:hint="default"/>
        </w:rPr>
        <w:t>1</w:t>
      </w:r>
      <w:r>
        <w:rPr/>
        <w:t>）低值易耗品采用一次转销法；</w:t>
      </w:r>
    </w:p>
    <w:p>
      <w:pPr>
        <w:spacing w:line="240" w:lineRule="auto" w:before="10"/>
        <w:rPr>
          <w:rFonts w:ascii="宋体" w:hAnsi="宋体" w:cs="宋体" w:eastAsia="宋体" w:hint="default"/>
          <w:sz w:val="14"/>
          <w:szCs w:val="14"/>
        </w:rPr>
      </w:pPr>
    </w:p>
    <w:p>
      <w:pPr>
        <w:pStyle w:val="BodyText"/>
        <w:spacing w:line="240" w:lineRule="auto" w:before="0"/>
        <w:ind w:left="580" w:right="1117"/>
        <w:jc w:val="left"/>
      </w:pPr>
      <w:r>
        <w:rPr/>
        <w:t>（</w:t>
      </w:r>
      <w:r>
        <w:rPr>
          <w:rFonts w:ascii="宋体" w:hAnsi="宋体" w:cs="宋体" w:eastAsia="宋体" w:hint="default"/>
        </w:rPr>
        <w:t>2</w:t>
      </w:r>
      <w:r>
        <w:rPr/>
        <w:t>）包装物采用一次转销法。</w:t>
      </w:r>
    </w:p>
    <w:p>
      <w:pPr>
        <w:spacing w:line="240" w:lineRule="auto" w:before="0"/>
        <w:rPr>
          <w:rFonts w:ascii="宋体" w:hAnsi="宋体" w:cs="宋体" w:eastAsia="宋体" w:hint="default"/>
          <w:sz w:val="20"/>
          <w:szCs w:val="20"/>
        </w:rPr>
      </w:pPr>
    </w:p>
    <w:p>
      <w:pPr>
        <w:pStyle w:val="Heading4"/>
        <w:spacing w:line="240" w:lineRule="auto" w:before="154"/>
        <w:ind w:right="0"/>
        <w:jc w:val="both"/>
        <w:rPr>
          <w:b w:val="0"/>
          <w:bCs w:val="0"/>
        </w:rPr>
      </w:pPr>
      <w:bookmarkStart w:name="13、持有待售资产" w:id="186"/>
      <w:bookmarkEnd w:id="186"/>
      <w:r>
        <w:rPr>
          <w:b w:val="0"/>
          <w:bCs w:val="0"/>
        </w:rPr>
      </w:r>
      <w:r>
        <w:rPr>
          <w:rFonts w:ascii="Times New Roman" w:hAnsi="Times New Roman" w:cs="Times New Roman" w:eastAsia="Times New Roman" w:hint="default"/>
        </w:rPr>
        <w:t>13</w:t>
      </w:r>
      <w:r>
        <w:rPr/>
        <w:t>、持有待售资产</w:t>
      </w:r>
      <w:r>
        <w:rPr>
          <w:b w:val="0"/>
          <w:bCs w:val="0"/>
        </w:rPr>
      </w:r>
    </w:p>
    <w:p>
      <w:pPr>
        <w:spacing w:line="240" w:lineRule="auto" w:before="7"/>
        <w:rPr>
          <w:rFonts w:ascii="宋体" w:hAnsi="宋体" w:cs="宋体" w:eastAsia="宋体" w:hint="default"/>
          <w:b/>
          <w:bCs/>
          <w:sz w:val="30"/>
          <w:szCs w:val="30"/>
        </w:rPr>
      </w:pPr>
    </w:p>
    <w:p>
      <w:pPr>
        <w:pStyle w:val="BodyText"/>
        <w:spacing w:line="408" w:lineRule="auto" w:before="0"/>
        <w:ind w:left="577" w:right="2979"/>
        <w:jc w:val="left"/>
      </w:pPr>
      <w:r>
        <w:rPr/>
        <w:t>本公司将同时满足下列条件的非流动资产或处置组划分为持有待售类别： </w:t>
      </w:r>
      <w:r>
        <w:rPr>
          <w:rFonts w:ascii="宋体" w:hAnsi="宋体" w:cs="宋体" w:eastAsia="宋体" w:hint="default"/>
        </w:rPr>
        <w:t>1.</w:t>
      </w:r>
      <w:r>
        <w:rPr/>
        <w:t>根据类似交易中出售此类资产或处置组的惯例，在当前状况下即可立即出售；</w:t>
      </w:r>
    </w:p>
    <w:p>
      <w:pPr>
        <w:pStyle w:val="BodyText"/>
        <w:spacing w:line="408" w:lineRule="auto"/>
        <w:ind w:right="1132" w:firstLine="423"/>
        <w:jc w:val="both"/>
      </w:pPr>
      <w:r>
        <w:rPr>
          <w:rFonts w:ascii="宋体" w:hAnsi="宋体" w:cs="宋体" w:eastAsia="宋体" w:hint="default"/>
          <w:spacing w:val="-1"/>
        </w:rPr>
        <w:t>2.</w:t>
      </w:r>
      <w:r>
        <w:rPr>
          <w:spacing w:val="-1"/>
        </w:rPr>
        <w:t>出售极可能发生，即本公司已经就一项出售计划作出决议且获得确定的购买承诺，预计出售将在一</w:t>
      </w:r>
      <w:r>
        <w:rPr/>
        <w:t> 年内完成。有关规定要求本公司相关权力机构或者监管部门批准后方可出售的，已经获得批准。</w:t>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4"/>
          <w:szCs w:val="24"/>
        </w:rPr>
      </w:pPr>
    </w:p>
    <w:p>
      <w:pPr>
        <w:pStyle w:val="Heading4"/>
        <w:spacing w:line="240" w:lineRule="auto"/>
        <w:ind w:right="0"/>
        <w:jc w:val="both"/>
        <w:rPr>
          <w:b w:val="0"/>
          <w:bCs w:val="0"/>
        </w:rPr>
      </w:pPr>
      <w:bookmarkStart w:name="14、长期股权投资" w:id="187"/>
      <w:bookmarkEnd w:id="187"/>
      <w:r>
        <w:rPr>
          <w:b w:val="0"/>
          <w:bCs w:val="0"/>
        </w:rPr>
      </w:r>
      <w:r>
        <w:rPr>
          <w:rFonts w:ascii="Times New Roman" w:hAnsi="Times New Roman" w:cs="Times New Roman" w:eastAsia="Times New Roman" w:hint="default"/>
        </w:rPr>
        <w:t>14</w:t>
      </w:r>
      <w:r>
        <w:rPr/>
        <w:t>、长期股权投资</w:t>
      </w:r>
      <w:r>
        <w:rPr>
          <w:b w:val="0"/>
          <w:bCs w:val="0"/>
        </w:rPr>
      </w:r>
    </w:p>
    <w:p>
      <w:pPr>
        <w:spacing w:line="240" w:lineRule="auto" w:before="7"/>
        <w:rPr>
          <w:rFonts w:ascii="宋体" w:hAnsi="宋体" w:cs="宋体" w:eastAsia="宋体" w:hint="default"/>
          <w:b/>
          <w:bCs/>
          <w:sz w:val="30"/>
          <w:szCs w:val="30"/>
        </w:rPr>
      </w:pPr>
    </w:p>
    <w:p>
      <w:pPr>
        <w:spacing w:line="408" w:lineRule="auto" w:before="0"/>
        <w:ind w:left="580" w:right="1130" w:firstLine="0"/>
        <w:jc w:val="left"/>
        <w:rPr>
          <w:rFonts w:ascii="宋体" w:hAnsi="宋体" w:cs="宋体" w:eastAsia="宋体" w:hint="default"/>
          <w:sz w:val="21"/>
          <w:szCs w:val="21"/>
        </w:rPr>
      </w:pPr>
      <w:r>
        <w:rPr>
          <w:rFonts w:ascii="宋体" w:hAnsi="宋体" w:cs="宋体" w:eastAsia="宋体" w:hint="default"/>
          <w:b/>
          <w:bCs/>
          <w:sz w:val="21"/>
          <w:szCs w:val="21"/>
        </w:rPr>
        <w:t>1.</w:t>
      </w:r>
      <w:r>
        <w:rPr>
          <w:rFonts w:ascii="宋体" w:hAnsi="宋体" w:cs="宋体" w:eastAsia="宋体" w:hint="default"/>
          <w:b/>
          <w:bCs/>
          <w:sz w:val="21"/>
          <w:szCs w:val="21"/>
        </w:rPr>
        <w:t>共同控制、重大影响的判断标准</w:t>
      </w:r>
      <w:r>
        <w:rPr>
          <w:rFonts w:ascii="宋体" w:hAnsi="宋体" w:cs="宋体" w:eastAsia="宋体" w:hint="default"/>
          <w:b/>
          <w:bCs/>
          <w:w w:val="99"/>
          <w:sz w:val="21"/>
          <w:szCs w:val="21"/>
        </w:rPr>
        <w:t> </w:t>
      </w:r>
      <w:r>
        <w:rPr>
          <w:rFonts w:ascii="宋体" w:hAnsi="宋体" w:cs="宋体" w:eastAsia="宋体" w:hint="default"/>
          <w:spacing w:val="-1"/>
          <w:sz w:val="21"/>
          <w:szCs w:val="21"/>
        </w:rPr>
        <w:t>共同控制，是指按照相关约定对某项安排所共有的控制，并且该安排的相关活动必须经过分享控制权</w:t>
      </w:r>
    </w:p>
    <w:p>
      <w:pPr>
        <w:pStyle w:val="BodyText"/>
        <w:spacing w:line="240" w:lineRule="auto"/>
        <w:ind w:right="0"/>
        <w:jc w:val="both"/>
      </w:pPr>
      <w:r>
        <w:rPr/>
        <w:t>的参与方一致同意后才能决策。本公司与其他合营方一同对被投资单位实施共同控制且对被投资单位净资</w:t>
      </w:r>
    </w:p>
    <w:p>
      <w:pPr>
        <w:spacing w:after="0" w:line="240" w:lineRule="auto"/>
        <w:jc w:val="both"/>
        <w:sectPr>
          <w:pgSz w:w="11910" w:h="16840"/>
          <w:pgMar w:header="877" w:footer="979" w:top="1060" w:bottom="1160" w:left="980" w:right="0"/>
        </w:sectPr>
      </w:pPr>
    </w:p>
    <w:p>
      <w:pPr>
        <w:spacing w:line="240" w:lineRule="auto" w:before="0"/>
        <w:rPr>
          <w:rFonts w:ascii="宋体" w:hAnsi="宋体" w:cs="宋体" w:eastAsia="宋体" w:hint="default"/>
          <w:sz w:val="20"/>
          <w:szCs w:val="20"/>
        </w:rPr>
      </w:pPr>
    </w:p>
    <w:p>
      <w:pPr>
        <w:pStyle w:val="BodyText"/>
        <w:spacing w:line="408" w:lineRule="auto" w:before="174"/>
        <w:ind w:left="580" w:right="1130" w:hanging="426"/>
        <w:jc w:val="left"/>
      </w:pPr>
      <w:r>
        <w:rPr/>
        <w:t>产享有权利的，被投资单位为本公司的合营企业。 </w:t>
      </w:r>
      <w:r>
        <w:rPr>
          <w:spacing w:val="-1"/>
        </w:rPr>
        <w:t>重大影响，是指对一个企业的财务和经营决策有参与决策的权力，但并不能够控制或者与其他方一起</w:t>
      </w:r>
    </w:p>
    <w:p>
      <w:pPr>
        <w:pStyle w:val="BodyText"/>
        <w:spacing w:line="408" w:lineRule="auto"/>
        <w:ind w:left="580" w:right="1302" w:hanging="426"/>
        <w:jc w:val="left"/>
        <w:rPr>
          <w:rFonts w:ascii="宋体" w:hAnsi="宋体" w:cs="宋体" w:eastAsia="宋体" w:hint="default"/>
        </w:rPr>
      </w:pPr>
      <w:r>
        <w:rPr/>
        <w:t>共同控制这些政策的制定。本公司能够对被投资单位施加重大影响的，被投资单位为本公司联营企业。 </w:t>
      </w:r>
      <w:r>
        <w:rPr>
          <w:rFonts w:ascii="宋体" w:hAnsi="宋体" w:cs="宋体" w:eastAsia="宋体" w:hint="default"/>
          <w:b/>
          <w:bCs/>
        </w:rPr>
        <w:t>2.</w:t>
      </w:r>
      <w:r>
        <w:rPr>
          <w:rFonts w:ascii="宋体" w:hAnsi="宋体" w:cs="宋体" w:eastAsia="宋体" w:hint="default"/>
          <w:b/>
          <w:bCs/>
        </w:rPr>
        <w:t>初始投资成本的确定</w:t>
      </w:r>
      <w:r>
        <w:rPr>
          <w:rFonts w:ascii="宋体" w:hAnsi="宋体" w:cs="宋体" w:eastAsia="宋体" w:hint="default"/>
        </w:rPr>
      </w:r>
    </w:p>
    <w:p>
      <w:pPr>
        <w:pStyle w:val="BodyText"/>
        <w:spacing w:line="408" w:lineRule="auto"/>
        <w:ind w:left="580" w:right="1130"/>
        <w:jc w:val="left"/>
      </w:pPr>
      <w:r>
        <w:rPr/>
        <w:t>①企业合并形成的长期股权投资 </w:t>
      </w:r>
      <w:r>
        <w:rPr>
          <w:spacing w:val="-1"/>
        </w:rPr>
        <w:t>同一控制下的企业合并：公司以支付现金、转让非现金资产或承担债务方式以及以发行权益性证券作</w:t>
      </w:r>
    </w:p>
    <w:p>
      <w:pPr>
        <w:pStyle w:val="BodyText"/>
        <w:spacing w:line="408" w:lineRule="auto"/>
        <w:ind w:right="1131"/>
        <w:jc w:val="both"/>
      </w:pPr>
      <w:r>
        <w:rPr>
          <w:spacing w:val="-1"/>
        </w:rPr>
        <w:t>为合并对价的，在合并日按照取得被合并方所有者权益在最终控制方合并财务报表中的账面价值的份额作</w:t>
      </w:r>
      <w:r>
        <w:rPr>
          <w:spacing w:val="-81"/>
        </w:rPr>
        <w:t> </w:t>
      </w:r>
      <w:r>
        <w:rPr>
          <w:spacing w:val="-81"/>
        </w:rPr>
      </w:r>
      <w:r>
        <w:rPr>
          <w:spacing w:val="-1"/>
        </w:rPr>
        <w:t>为长期股权投资的初始投资成本。因追加投资等原因能够对同一控制下的被投资单位实施控制的，在合并</w:t>
      </w:r>
      <w:r>
        <w:rPr>
          <w:spacing w:val="-81"/>
        </w:rPr>
        <w:t> </w:t>
      </w:r>
      <w:r>
        <w:rPr>
          <w:spacing w:val="-81"/>
        </w:rPr>
      </w:r>
      <w:r>
        <w:rPr>
          <w:spacing w:val="-1"/>
        </w:rPr>
        <w:t>日根据合并后应享有被合并方净资产在最终控制方合并财务报表中的账面价值的份额，确定长期股权投资</w:t>
      </w:r>
      <w:r>
        <w:rPr>
          <w:spacing w:val="-81"/>
        </w:rPr>
        <w:t> </w:t>
      </w:r>
      <w:r>
        <w:rPr>
          <w:spacing w:val="-81"/>
        </w:rPr>
      </w:r>
      <w:r>
        <w:rPr>
          <w:spacing w:val="-1"/>
        </w:rPr>
        <w:t>的初始投资成本。合并日长期股权投资的初始投资成本，与达到合并前的长期股权投资账面价值加上合并</w:t>
      </w:r>
      <w:r>
        <w:rPr>
          <w:spacing w:val="-81"/>
        </w:rPr>
        <w:t> </w:t>
      </w:r>
      <w:r>
        <w:rPr>
          <w:spacing w:val="-81"/>
        </w:rPr>
      </w:r>
      <w:r>
        <w:rPr>
          <w:spacing w:val="-1"/>
        </w:rPr>
        <w:t>日进一步取得股份新支付对价的账面价值之和的差额，调整股本溢价，股本溢价不足冲减的，冲减留存收</w:t>
      </w:r>
      <w:r>
        <w:rPr>
          <w:spacing w:val="-83"/>
        </w:rPr>
        <w:t> </w:t>
      </w:r>
      <w:r>
        <w:rPr>
          <w:spacing w:val="-83"/>
        </w:rPr>
      </w:r>
      <w:r>
        <w:rPr/>
        <w:t>益。</w:t>
      </w:r>
    </w:p>
    <w:p>
      <w:pPr>
        <w:pStyle w:val="BodyText"/>
        <w:spacing w:line="408" w:lineRule="auto"/>
        <w:ind w:right="1132" w:firstLine="426"/>
        <w:jc w:val="both"/>
      </w:pPr>
      <w:r>
        <w:rPr>
          <w:spacing w:val="-1"/>
        </w:rPr>
        <w:t>非同一控制下的企业合并：公司按照购买日确定的合并成本作为长期股权投资的初始投资成本。因追</w:t>
      </w:r>
      <w:r>
        <w:rPr/>
        <w:t> </w:t>
      </w:r>
      <w:r>
        <w:rPr>
          <w:spacing w:val="-1"/>
        </w:rPr>
        <w:t>加投资等原因能够对非同一控制下的被投资单位实施控制的，按照原持有的股权投资账面价值加上新增投</w:t>
      </w:r>
      <w:r>
        <w:rPr>
          <w:spacing w:val="-81"/>
        </w:rPr>
        <w:t> </w:t>
      </w:r>
      <w:r>
        <w:rPr>
          <w:spacing w:val="-81"/>
        </w:rPr>
      </w:r>
      <w:r>
        <w:rPr/>
        <w:t>资成本之和，作为改按成本法核算的初始投资成本。</w:t>
      </w:r>
    </w:p>
    <w:p>
      <w:pPr>
        <w:pStyle w:val="BodyText"/>
        <w:spacing w:line="408" w:lineRule="auto"/>
        <w:ind w:left="580" w:right="1130"/>
        <w:jc w:val="left"/>
      </w:pPr>
      <w:r>
        <w:rPr/>
        <w:t>②其他方式取得的长期股权投资 以支付现金方式取得的长期股权投资，按照实际支付的购买价款作为初始投资成本。 以发行权益性证券取得的长期股权投资，按照发行权益性证券的公允价值作为初始投资成本。 </w:t>
      </w:r>
      <w:r>
        <w:rPr>
          <w:spacing w:val="-1"/>
        </w:rPr>
        <w:t>在非货币性资产交换具备商业实质和换入资产或换出资产的公允价值能够可靠计量的前提下，非货币</w:t>
      </w:r>
    </w:p>
    <w:p>
      <w:pPr>
        <w:pStyle w:val="BodyText"/>
        <w:spacing w:line="408" w:lineRule="auto"/>
        <w:ind w:right="1131"/>
        <w:jc w:val="both"/>
      </w:pPr>
      <w:r>
        <w:rPr>
          <w:spacing w:val="-1"/>
        </w:rPr>
        <w:t>性资产交换换入的长期股权投资以换出资产的公允价值和应支付的相关税费确定其初始投资成本，除非有</w:t>
      </w:r>
      <w:r>
        <w:rPr>
          <w:spacing w:val="-81"/>
        </w:rPr>
        <w:t> </w:t>
      </w:r>
      <w:r>
        <w:rPr>
          <w:spacing w:val="-81"/>
        </w:rPr>
      </w:r>
      <w:r>
        <w:rPr>
          <w:spacing w:val="-1"/>
        </w:rPr>
        <w:t>确凿证据表明换入资产的公允价值更加可靠；不满足上述前提的非货币性资产交换，以换出资产的账面价</w:t>
      </w:r>
      <w:r>
        <w:rPr>
          <w:spacing w:val="-81"/>
        </w:rPr>
        <w:t> </w:t>
      </w:r>
      <w:r>
        <w:rPr>
          <w:spacing w:val="-81"/>
        </w:rPr>
      </w:r>
      <w:r>
        <w:rPr/>
        <w:t>值和应支付的相关税费作为换入长期股权投资的初始投资成本。</w:t>
      </w:r>
    </w:p>
    <w:p>
      <w:pPr>
        <w:spacing w:line="408" w:lineRule="auto" w:before="46"/>
        <w:ind w:left="576" w:right="2977" w:firstLine="3"/>
        <w:jc w:val="left"/>
        <w:rPr>
          <w:rFonts w:ascii="宋体" w:hAnsi="宋体" w:cs="宋体" w:eastAsia="宋体" w:hint="default"/>
          <w:sz w:val="21"/>
          <w:szCs w:val="21"/>
        </w:rPr>
      </w:pPr>
      <w:r>
        <w:rPr>
          <w:rFonts w:ascii="宋体" w:hAnsi="宋体" w:cs="宋体" w:eastAsia="宋体" w:hint="default"/>
          <w:sz w:val="21"/>
          <w:szCs w:val="21"/>
        </w:rPr>
        <w:t>通过债务重组取得的长期股权投资，其初始投资成本按照公允价值为基础确定。 </w:t>
      </w:r>
      <w:r>
        <w:rPr>
          <w:rFonts w:ascii="宋体" w:hAnsi="宋体" w:cs="宋体" w:eastAsia="宋体" w:hint="default"/>
          <w:b/>
          <w:bCs/>
          <w:sz w:val="21"/>
          <w:szCs w:val="21"/>
        </w:rPr>
        <w:t>3.</w:t>
      </w:r>
      <w:r>
        <w:rPr>
          <w:rFonts w:ascii="宋体" w:hAnsi="宋体" w:cs="宋体" w:eastAsia="宋体" w:hint="default"/>
          <w:b/>
          <w:bCs/>
          <w:sz w:val="21"/>
          <w:szCs w:val="21"/>
        </w:rPr>
        <w:t>后续计量及损益确认方法</w:t>
      </w:r>
      <w:r>
        <w:rPr>
          <w:rFonts w:ascii="宋体" w:hAnsi="宋体" w:cs="宋体" w:eastAsia="宋体" w:hint="default"/>
          <w:sz w:val="21"/>
          <w:szCs w:val="21"/>
        </w:rPr>
      </w:r>
    </w:p>
    <w:p>
      <w:pPr>
        <w:pStyle w:val="BodyText"/>
        <w:spacing w:line="408" w:lineRule="auto"/>
        <w:ind w:left="580" w:right="1130"/>
        <w:jc w:val="left"/>
      </w:pPr>
      <w:r>
        <w:rPr/>
        <w:t>（</w:t>
      </w:r>
      <w:r>
        <w:rPr>
          <w:rFonts w:ascii="宋体" w:hAnsi="宋体" w:cs="宋体" w:eastAsia="宋体" w:hint="default"/>
        </w:rPr>
        <w:t>1</w:t>
      </w:r>
      <w:r>
        <w:rPr/>
        <w:t>）成本法核算的长期股权投资 </w:t>
      </w:r>
      <w:r>
        <w:rPr>
          <w:spacing w:val="-1"/>
        </w:rPr>
        <w:t>公司对子公司的长期股权投资，采用成本法核算。除取得投资时实际支付的价款或对价中包含的已宣</w:t>
      </w:r>
    </w:p>
    <w:p>
      <w:pPr>
        <w:pStyle w:val="BodyText"/>
        <w:spacing w:line="408" w:lineRule="auto"/>
        <w:ind w:right="1132"/>
        <w:jc w:val="both"/>
      </w:pPr>
      <w:r>
        <w:rPr>
          <w:spacing w:val="-1"/>
        </w:rPr>
        <w:t>告但尚未发放的现金股利或利润外，公司按照享有被投资单位宣告发放的现金股利或利润确认当期投资收</w:t>
      </w:r>
      <w:r>
        <w:rPr>
          <w:spacing w:val="-81"/>
        </w:rPr>
        <w:t> </w:t>
      </w:r>
      <w:r>
        <w:rPr>
          <w:spacing w:val="-81"/>
        </w:rPr>
      </w:r>
      <w:r>
        <w:rPr/>
        <w:t>益。</w:t>
      </w:r>
    </w:p>
    <w:p>
      <w:pPr>
        <w:pStyle w:val="BodyText"/>
        <w:spacing w:line="408" w:lineRule="auto"/>
        <w:ind w:left="580" w:right="1130"/>
        <w:jc w:val="left"/>
      </w:pPr>
      <w:r>
        <w:rPr/>
        <w:t>（</w:t>
      </w:r>
      <w:r>
        <w:rPr>
          <w:rFonts w:ascii="宋体" w:hAnsi="宋体" w:cs="宋体" w:eastAsia="宋体" w:hint="default"/>
        </w:rPr>
        <w:t>2</w:t>
      </w:r>
      <w:r>
        <w:rPr/>
        <w:t>）权益法核算的长期股权投资 </w:t>
      </w:r>
      <w:r>
        <w:rPr>
          <w:spacing w:val="-1"/>
        </w:rPr>
        <w:t>对联营企业和合营企业的长期股权投资，采用权益法核算。初始投资成本大于投资时应享有被投资单</w:t>
      </w:r>
    </w:p>
    <w:p>
      <w:pPr>
        <w:spacing w:after="0" w:line="408" w:lineRule="auto"/>
        <w:jc w:val="left"/>
        <w:sectPr>
          <w:pgSz w:w="11910" w:h="16840"/>
          <w:pgMar w:header="877" w:footer="979" w:top="1060" w:bottom="1160" w:left="980" w:right="0"/>
        </w:sectPr>
      </w:pPr>
    </w:p>
    <w:p>
      <w:pPr>
        <w:spacing w:line="240" w:lineRule="auto" w:before="0"/>
        <w:rPr>
          <w:rFonts w:ascii="宋体" w:hAnsi="宋体" w:cs="宋体" w:eastAsia="宋体" w:hint="default"/>
          <w:sz w:val="20"/>
          <w:szCs w:val="20"/>
        </w:rPr>
      </w:pPr>
    </w:p>
    <w:p>
      <w:pPr>
        <w:pStyle w:val="BodyText"/>
        <w:spacing w:line="408" w:lineRule="auto" w:before="174"/>
        <w:ind w:right="1117"/>
        <w:jc w:val="left"/>
      </w:pPr>
      <w:r>
        <w:rPr>
          <w:spacing w:val="-1"/>
        </w:rPr>
        <w:t>位可辨认净资产公允价值份额的差额，不调整长期股权投资的初始投资成本；初始投资成本小于投资时应</w:t>
      </w:r>
      <w:r>
        <w:rPr>
          <w:spacing w:val="-81"/>
        </w:rPr>
        <w:t> </w:t>
      </w:r>
      <w:r>
        <w:rPr>
          <w:spacing w:val="-81"/>
        </w:rPr>
      </w:r>
      <w:r>
        <w:rPr/>
        <w:t>享有被投资单位可辨认净资产公允价值份额的差额，计入当期损益。</w:t>
      </w:r>
    </w:p>
    <w:p>
      <w:pPr>
        <w:pStyle w:val="BodyText"/>
        <w:spacing w:line="408" w:lineRule="auto"/>
        <w:ind w:right="1131" w:firstLine="426"/>
        <w:jc w:val="both"/>
      </w:pPr>
      <w:r>
        <w:rPr>
          <w:spacing w:val="-1"/>
        </w:rPr>
        <w:t>公司按照应享有或应分担的被投资单位实现的净损益和其他综合收益的份额，分别确认投资收益和其</w:t>
      </w:r>
      <w:r>
        <w:rPr/>
        <w:t> </w:t>
      </w:r>
      <w:r>
        <w:rPr>
          <w:spacing w:val="-1"/>
        </w:rPr>
        <w:t>他综合收益，同时调整长期股权投资的账面价值；按照被投资单位宣告分派的利润或现金股利计算应享有</w:t>
      </w:r>
      <w:r>
        <w:rPr>
          <w:spacing w:val="-81"/>
        </w:rPr>
        <w:t> </w:t>
      </w:r>
      <w:r>
        <w:rPr>
          <w:spacing w:val="-81"/>
        </w:rPr>
      </w:r>
      <w:r>
        <w:rPr>
          <w:spacing w:val="-1"/>
        </w:rPr>
        <w:t>的部分，相应减少长期股权投资的账面价值；对于被投资单位除净损益、其他综合收益和利润分配以外所</w:t>
      </w:r>
      <w:r>
        <w:rPr>
          <w:spacing w:val="-83"/>
        </w:rPr>
        <w:t> </w:t>
      </w:r>
      <w:r>
        <w:rPr>
          <w:spacing w:val="-83"/>
        </w:rPr>
      </w:r>
      <w:r>
        <w:rPr/>
        <w:t>有者权益的其他变动，调整长期股权投资的账面价值并计入所有者权益。</w:t>
      </w:r>
    </w:p>
    <w:p>
      <w:pPr>
        <w:pStyle w:val="BodyText"/>
        <w:spacing w:line="408" w:lineRule="auto"/>
        <w:ind w:right="0" w:firstLine="426"/>
        <w:jc w:val="left"/>
      </w:pPr>
      <w:r>
        <w:rPr>
          <w:spacing w:val="-1"/>
        </w:rPr>
        <w:t>在确认应享有被投资单位净损益的份额时，以取得投资时被投资单位可辨认净资产的公允价值为基础，</w:t>
      </w:r>
      <w:r>
        <w:rPr/>
        <w:t> 并按照公司的会计政策及会计期间，对被投资单位的净利润进行调整后确认。在持有投资期间，被投资单 位编制合并财务报表的，以合并财务报表中的净利润、其他综合收益和其他所有者权益变动中归属于被投 资单位的金额为基础进行核算。</w:t>
      </w:r>
    </w:p>
    <w:p>
      <w:pPr>
        <w:pStyle w:val="BodyText"/>
        <w:spacing w:line="403" w:lineRule="auto"/>
        <w:ind w:right="0" w:firstLine="426"/>
        <w:jc w:val="left"/>
      </w:pPr>
      <w:r>
        <w:rPr>
          <w:spacing w:val="-1"/>
        </w:rPr>
        <w:t>公司与联营企业、合营企业之间发生的未实现内部交易损益按照应享有的比例计算归属于公司的部分，</w:t>
      </w:r>
      <w:r>
        <w:rPr/>
        <w:t> 予以抵销，在此基础上确认投资收益。与被投资单位发生的未实现内部交易损失，属于资产减值损失的，</w:t>
      </w:r>
      <w:r>
        <w:rPr>
          <w:spacing w:val="-38"/>
        </w:rPr>
        <w:t> </w:t>
      </w:r>
      <w:r>
        <w:rPr>
          <w:spacing w:val="-38"/>
        </w:rPr>
      </w:r>
      <w:r>
        <w:rPr/>
        <w:t>全额确认。公司与联营企业、合营企业之间发生投出或出售资产的交易，该资产构成业务的，按照本附注</w:t>
      </w:r>
      <w:r>
        <w:rPr/>
        <w:t> </w:t>
      </w:r>
      <w:r>
        <w:rPr>
          <w:rFonts w:ascii="Times New Roman" w:hAnsi="Times New Roman" w:cs="Times New Roman" w:eastAsia="Times New Roman" w:hint="default"/>
          <w:spacing w:val="-4"/>
        </w:rPr>
        <w:t>“</w:t>
      </w:r>
      <w:r>
        <w:rPr>
          <w:spacing w:val="-4"/>
        </w:rPr>
        <w:t>三、（五）同一控制下和非同一控制下企业合并的会计处理方法</w:t>
      </w:r>
      <w:r>
        <w:rPr>
          <w:rFonts w:ascii="Times New Roman" w:hAnsi="Times New Roman" w:cs="Times New Roman" w:eastAsia="Times New Roman" w:hint="default"/>
          <w:spacing w:val="-4"/>
        </w:rPr>
        <w:t>”</w:t>
      </w:r>
      <w:r>
        <w:rPr>
          <w:spacing w:val="-4"/>
        </w:rPr>
        <w:t>和</w:t>
      </w:r>
      <w:r>
        <w:rPr>
          <w:rFonts w:ascii="Times New Roman" w:hAnsi="Times New Roman" w:cs="Times New Roman" w:eastAsia="Times New Roman" w:hint="default"/>
          <w:spacing w:val="-4"/>
        </w:rPr>
        <w:t>“</w:t>
      </w:r>
      <w:r>
        <w:rPr>
          <w:spacing w:val="-4"/>
        </w:rPr>
        <w:t>三、（六）合并财务报表的编制方法</w:t>
      </w:r>
      <w:r>
        <w:rPr>
          <w:rFonts w:ascii="Times New Roman" w:hAnsi="Times New Roman" w:cs="Times New Roman" w:eastAsia="Times New Roman" w:hint="default"/>
          <w:spacing w:val="-4"/>
        </w:rPr>
        <w:t>”</w:t>
      </w:r>
      <w:r>
        <w:rPr>
          <w:rFonts w:ascii="Times New Roman" w:hAnsi="Times New Roman" w:cs="Times New Roman" w:eastAsia="Times New Roman" w:hint="default"/>
          <w:spacing w:val="-46"/>
        </w:rPr>
        <w:t> </w:t>
      </w:r>
      <w:r>
        <w:rPr/>
        <w:t>中披露的相关政策进行会计处理。</w:t>
      </w:r>
    </w:p>
    <w:p>
      <w:pPr>
        <w:pStyle w:val="BodyText"/>
        <w:spacing w:line="408" w:lineRule="auto" w:before="50"/>
        <w:ind w:right="1131" w:firstLine="426"/>
        <w:jc w:val="both"/>
      </w:pPr>
      <w:r>
        <w:rPr>
          <w:spacing w:val="-1"/>
        </w:rPr>
        <w:t>在公司确认应分担被投资单位发生的亏损时，按照以下顺序进行处理：首先，冲减长期股权投资的账</w:t>
      </w:r>
      <w:r>
        <w:rPr/>
        <w:t> </w:t>
      </w:r>
      <w:r>
        <w:rPr>
          <w:spacing w:val="-1"/>
        </w:rPr>
        <w:t>面价值。其次，长期股权投资的账面价值不足以冲减的，以其他实质上构成对被投资单位净投资的长期权</w:t>
      </w:r>
      <w:r>
        <w:rPr>
          <w:spacing w:val="-83"/>
        </w:rPr>
        <w:t> </w:t>
      </w:r>
      <w:r>
        <w:rPr>
          <w:spacing w:val="-83"/>
        </w:rPr>
      </w:r>
      <w:r>
        <w:rPr>
          <w:spacing w:val="-1"/>
        </w:rPr>
        <w:t>益账面价值为限继续确认投资损失，冲减长期应收项目等的账面价值。最后，经过上述处理，按照投资合</w:t>
      </w:r>
      <w:r>
        <w:rPr>
          <w:spacing w:val="-86"/>
        </w:rPr>
        <w:t> </w:t>
      </w:r>
      <w:r>
        <w:rPr>
          <w:spacing w:val="-86"/>
        </w:rPr>
      </w:r>
      <w:r>
        <w:rPr/>
        <w:t>同或协议约定企业仍承担额外义务的，按预计承担的义务确认预计负债，计入当期投资损失。</w:t>
      </w:r>
    </w:p>
    <w:p>
      <w:pPr>
        <w:pStyle w:val="BodyText"/>
        <w:spacing w:line="408" w:lineRule="auto"/>
        <w:ind w:left="580" w:right="3606"/>
        <w:jc w:val="left"/>
      </w:pPr>
      <w:r>
        <w:rPr/>
        <w:t>（</w:t>
      </w:r>
      <w:r>
        <w:rPr>
          <w:rFonts w:ascii="宋体" w:hAnsi="宋体" w:cs="宋体" w:eastAsia="宋体" w:hint="default"/>
        </w:rPr>
        <w:t>3</w:t>
      </w:r>
      <w:r>
        <w:rPr/>
        <w:t>）长期股权投资的处置 处置长期股权投资，其账面价值与实际取得价款的差额，计入当期损益。</w:t>
      </w:r>
    </w:p>
    <w:p>
      <w:pPr>
        <w:pStyle w:val="BodyText"/>
        <w:spacing w:line="408" w:lineRule="auto"/>
        <w:ind w:right="1131" w:firstLine="426"/>
        <w:jc w:val="both"/>
      </w:pPr>
      <w:r>
        <w:rPr>
          <w:spacing w:val="-1"/>
        </w:rPr>
        <w:t>采用权益法核算的长期股权投资，在处置该项投资时，采用与被投资单位直接处置相关资产或负债相</w:t>
      </w:r>
      <w:r>
        <w:rPr/>
        <w:t> </w:t>
      </w:r>
      <w:r>
        <w:rPr>
          <w:spacing w:val="-1"/>
        </w:rPr>
        <w:t>同的基础，按相应比例对原计入其他综合收益的部分进行会计处理。因被投资单位除净损益、其他综合收</w:t>
      </w:r>
      <w:r>
        <w:rPr>
          <w:spacing w:val="-83"/>
        </w:rPr>
        <w:t> </w:t>
      </w:r>
      <w:r>
        <w:rPr>
          <w:spacing w:val="-83"/>
        </w:rPr>
      </w:r>
      <w:r>
        <w:rPr>
          <w:spacing w:val="-1"/>
        </w:rPr>
        <w:t>益和利润分配以外的其他所有者权益变动而确认的所有者权益，按比例结转入当期损益，由于被投资方重</w:t>
      </w:r>
      <w:r>
        <w:rPr>
          <w:spacing w:val="-81"/>
        </w:rPr>
        <w:t> </w:t>
      </w:r>
      <w:r>
        <w:rPr>
          <w:spacing w:val="-81"/>
        </w:rPr>
      </w:r>
      <w:r>
        <w:rPr/>
        <w:t>新计量设定受益计划净负债或净资产变动而产生的其他综合收益除外。</w:t>
      </w:r>
    </w:p>
    <w:p>
      <w:pPr>
        <w:pStyle w:val="BodyText"/>
        <w:spacing w:line="408" w:lineRule="auto"/>
        <w:ind w:right="1131" w:firstLine="426"/>
        <w:jc w:val="both"/>
      </w:pPr>
      <w:r>
        <w:rPr>
          <w:spacing w:val="-1"/>
        </w:rPr>
        <w:t>因处置部分股权投资等原因丧失了对被投资单位的共同控制或重大影响的，处置后的剩余股权改按金</w:t>
      </w:r>
      <w:r>
        <w:rPr/>
        <w:t> </w:t>
      </w:r>
      <w:r>
        <w:rPr>
          <w:spacing w:val="-1"/>
        </w:rPr>
        <w:t>融工具确认和计量准则核算，其在丧失共同控制或重大影响之日的公允价值与账面价值之间的差额计入当</w:t>
      </w:r>
      <w:r>
        <w:rPr>
          <w:spacing w:val="-81"/>
        </w:rPr>
        <w:t> </w:t>
      </w:r>
      <w:r>
        <w:rPr>
          <w:spacing w:val="-81"/>
        </w:rPr>
      </w:r>
      <w:r>
        <w:rPr>
          <w:spacing w:val="-1"/>
        </w:rPr>
        <w:t>期损益。原股权投资因采用权益法核算而确认的其他综合收益，在终止采用权益法核算时采用与被投资单</w:t>
      </w:r>
      <w:r>
        <w:rPr>
          <w:spacing w:val="-81"/>
        </w:rPr>
        <w:t> </w:t>
      </w:r>
      <w:r>
        <w:rPr>
          <w:spacing w:val="-81"/>
        </w:rPr>
      </w:r>
      <w:r>
        <w:rPr>
          <w:spacing w:val="-1"/>
        </w:rPr>
        <w:t>位直接处置相关资产或负债相同的基础进行会计处理。因被投资方除净损益、其他综合收益和利润分配以</w:t>
      </w:r>
      <w:r>
        <w:rPr>
          <w:spacing w:val="-81"/>
        </w:rPr>
        <w:t> </w:t>
      </w:r>
      <w:r>
        <w:rPr>
          <w:spacing w:val="-81"/>
        </w:rPr>
      </w:r>
      <w:r>
        <w:rPr/>
        <w:t>外的其他所有者权益变动而确认的所有者权益，在终止采用权益法核算时全部转入当期损益。</w:t>
      </w:r>
    </w:p>
    <w:p>
      <w:pPr>
        <w:spacing w:after="0" w:line="408" w:lineRule="auto"/>
        <w:jc w:val="both"/>
        <w:sectPr>
          <w:pgSz w:w="11910" w:h="16840"/>
          <w:pgMar w:header="877" w:footer="979" w:top="1060" w:bottom="1160" w:left="980" w:right="0"/>
        </w:sectPr>
      </w:pPr>
    </w:p>
    <w:p>
      <w:pPr>
        <w:spacing w:line="240" w:lineRule="auto" w:before="0"/>
        <w:rPr>
          <w:rFonts w:ascii="宋体" w:hAnsi="宋体" w:cs="宋体" w:eastAsia="宋体" w:hint="default"/>
          <w:sz w:val="20"/>
          <w:szCs w:val="20"/>
        </w:rPr>
      </w:pPr>
    </w:p>
    <w:p>
      <w:pPr>
        <w:pStyle w:val="BodyText"/>
        <w:spacing w:line="408" w:lineRule="auto" w:before="174"/>
        <w:ind w:right="1131" w:firstLine="426"/>
        <w:jc w:val="both"/>
      </w:pPr>
      <w:r>
        <w:rPr>
          <w:spacing w:val="-1"/>
        </w:rPr>
        <w:t>因处置部分股权投资、因其他投资方对子公司增资而导致本公司持股比例下降等原因丧失了对被投资</w:t>
      </w:r>
      <w:r>
        <w:rPr/>
        <w:t> </w:t>
      </w:r>
      <w:r>
        <w:rPr>
          <w:spacing w:val="-1"/>
        </w:rPr>
        <w:t>单位控制权的，在编制个别财务报表时，剩余股权能够对被投资单位实施共同控制或重大影响的，改按权</w:t>
      </w:r>
      <w:r>
        <w:rPr>
          <w:spacing w:val="-83"/>
        </w:rPr>
        <w:t> </w:t>
      </w:r>
      <w:r>
        <w:rPr>
          <w:spacing w:val="-83"/>
        </w:rPr>
      </w:r>
      <w:r>
        <w:rPr>
          <w:spacing w:val="-1"/>
        </w:rPr>
        <w:t>益法核算，并对该剩余股权视同自取得时即采用权益法核算进行调整；剩余股权不能对被投资单位实施共</w:t>
      </w:r>
      <w:r>
        <w:rPr>
          <w:spacing w:val="-81"/>
        </w:rPr>
        <w:t> </w:t>
      </w:r>
      <w:r>
        <w:rPr>
          <w:spacing w:val="-81"/>
        </w:rPr>
      </w:r>
      <w:r>
        <w:rPr>
          <w:spacing w:val="-1"/>
        </w:rPr>
        <w:t>同控制或施加重大影响的，改按金融工具确认和计量准则的有关规定进行会计处理，其在丧失控制之日的</w:t>
      </w:r>
      <w:r>
        <w:rPr>
          <w:spacing w:val="-81"/>
        </w:rPr>
        <w:t> </w:t>
      </w:r>
      <w:r>
        <w:rPr>
          <w:spacing w:val="-81"/>
        </w:rPr>
      </w:r>
      <w:r>
        <w:rPr/>
        <w:t>公允价值与账面价值间的差额计入当期损益。</w:t>
      </w:r>
    </w:p>
    <w:p>
      <w:pPr>
        <w:pStyle w:val="BodyText"/>
        <w:spacing w:line="408" w:lineRule="auto"/>
        <w:ind w:right="1131" w:firstLine="426"/>
        <w:jc w:val="both"/>
      </w:pPr>
      <w:r>
        <w:rPr>
          <w:spacing w:val="-1"/>
        </w:rPr>
        <w:t>处置的股权是因追加投资等原因通过企业合并取得的，在编制个别财务报表时，处置后的剩余股权采</w:t>
      </w:r>
      <w:r>
        <w:rPr/>
        <w:t> </w:t>
      </w:r>
      <w:r>
        <w:rPr>
          <w:spacing w:val="-1"/>
        </w:rPr>
        <w:t>用成本法或权益法核算的，购买日之前持有的股权投资因采用权益法核算而确认的其他综合收益和其他所</w:t>
      </w:r>
      <w:r>
        <w:rPr>
          <w:spacing w:val="-81"/>
        </w:rPr>
        <w:t> </w:t>
      </w:r>
      <w:r>
        <w:rPr>
          <w:spacing w:val="-81"/>
        </w:rPr>
      </w:r>
      <w:r>
        <w:rPr>
          <w:spacing w:val="-1"/>
        </w:rPr>
        <w:t>有者权益按比例结转；处置后的剩余股权改按金融工具确认和计量准则进行会计处理的，其他综合收益和</w:t>
      </w:r>
      <w:r>
        <w:rPr>
          <w:spacing w:val="-81"/>
        </w:rPr>
        <w:t> </w:t>
      </w:r>
      <w:r>
        <w:rPr>
          <w:spacing w:val="-81"/>
        </w:rPr>
      </w:r>
      <w:r>
        <w:rPr/>
        <w:t>其他所有者权益全部结转。</w:t>
      </w:r>
    </w:p>
    <w:p>
      <w:pPr>
        <w:spacing w:line="240" w:lineRule="auto" w:before="8"/>
        <w:rPr>
          <w:rFonts w:ascii="宋体" w:hAnsi="宋体" w:cs="宋体" w:eastAsia="宋体" w:hint="default"/>
          <w:sz w:val="20"/>
          <w:szCs w:val="20"/>
        </w:rPr>
      </w:pPr>
    </w:p>
    <w:p>
      <w:pPr>
        <w:pStyle w:val="Heading4"/>
        <w:spacing w:line="240" w:lineRule="auto"/>
        <w:ind w:right="1117"/>
        <w:jc w:val="left"/>
        <w:rPr>
          <w:b w:val="0"/>
          <w:bCs w:val="0"/>
        </w:rPr>
      </w:pPr>
      <w:bookmarkStart w:name="15、投资性房地产" w:id="188"/>
      <w:bookmarkEnd w:id="188"/>
      <w:r>
        <w:rPr>
          <w:b w:val="0"/>
          <w:bCs w:val="0"/>
        </w:rPr>
      </w:r>
      <w:r>
        <w:rPr>
          <w:rFonts w:ascii="Times New Roman" w:hAnsi="Times New Roman" w:cs="Times New Roman" w:eastAsia="Times New Roman" w:hint="default"/>
        </w:rPr>
        <w:t>15</w:t>
      </w:r>
      <w:r>
        <w:rPr/>
        <w:t>、投资性房地产</w:t>
      </w:r>
      <w:r>
        <w:rPr>
          <w:b w:val="0"/>
          <w:bCs w:val="0"/>
        </w:rPr>
      </w:r>
    </w:p>
    <w:p>
      <w:pPr>
        <w:spacing w:line="240" w:lineRule="auto" w:before="8"/>
        <w:rPr>
          <w:rFonts w:ascii="宋体" w:hAnsi="宋体" w:cs="宋体" w:eastAsia="宋体" w:hint="default"/>
          <w:b/>
          <w:bCs/>
          <w:sz w:val="26"/>
          <w:szCs w:val="26"/>
        </w:rPr>
      </w:pPr>
    </w:p>
    <w:p>
      <w:pPr>
        <w:spacing w:line="360" w:lineRule="auto" w:before="0"/>
        <w:ind w:left="154" w:right="8952" w:firstLine="0"/>
        <w:jc w:val="left"/>
        <w:rPr>
          <w:rFonts w:ascii="宋体" w:hAnsi="宋体" w:cs="宋体" w:eastAsia="宋体" w:hint="default"/>
          <w:sz w:val="18"/>
          <w:szCs w:val="18"/>
        </w:rPr>
      </w:pPr>
      <w:r>
        <w:rPr>
          <w:rFonts w:ascii="宋体" w:hAnsi="宋体" w:cs="宋体" w:eastAsia="宋体" w:hint="default"/>
          <w:sz w:val="18"/>
          <w:szCs w:val="18"/>
        </w:rPr>
        <w:t>投资性房地产计量模式 成本法计量 折旧或摊销方法</w:t>
      </w:r>
    </w:p>
    <w:p>
      <w:pPr>
        <w:pStyle w:val="BodyText"/>
        <w:spacing w:line="408" w:lineRule="auto" w:before="77"/>
        <w:ind w:right="0" w:firstLine="423"/>
        <w:jc w:val="left"/>
      </w:pPr>
      <w:r>
        <w:rPr/>
        <w:t>投资性房地产是指为赚取租金或资本增值，或两者兼有而持有的房地产，包括已出租的土地使用权、 持有并准备增值后转让的土地使用权、已出租的建筑物（含自行建造或开发活动完成后用于出租的建筑物 以及正在建造或开发过程中将来用于出租的建筑物）。</w:t>
      </w:r>
    </w:p>
    <w:p>
      <w:pPr>
        <w:pStyle w:val="BodyText"/>
        <w:spacing w:line="408" w:lineRule="auto"/>
        <w:ind w:right="1132" w:firstLine="423"/>
        <w:jc w:val="both"/>
      </w:pPr>
      <w:r>
        <w:rPr>
          <w:spacing w:val="-1"/>
        </w:rPr>
        <w:t>公司对现有投资性房地产采用成本模式计量。对按照成本模式计量的投资性房地产－出租用建筑物采</w:t>
      </w:r>
      <w:r>
        <w:rPr/>
        <w:t> 用与本公司固定资产相同的折旧政策，出租用土地使用权按与无形资产相同的摊销政策执行。</w:t>
      </w:r>
    </w:p>
    <w:p>
      <w:pPr>
        <w:spacing w:line="240" w:lineRule="auto" w:before="8"/>
        <w:rPr>
          <w:rFonts w:ascii="宋体" w:hAnsi="宋体" w:cs="宋体" w:eastAsia="宋体" w:hint="default"/>
          <w:sz w:val="20"/>
          <w:szCs w:val="20"/>
        </w:rPr>
      </w:pPr>
    </w:p>
    <w:p>
      <w:pPr>
        <w:pStyle w:val="Heading4"/>
        <w:spacing w:line="240" w:lineRule="auto"/>
        <w:ind w:right="1117"/>
        <w:jc w:val="left"/>
        <w:rPr>
          <w:b w:val="0"/>
          <w:bCs w:val="0"/>
        </w:rPr>
      </w:pPr>
      <w:bookmarkStart w:name="16、固定资产" w:id="189"/>
      <w:bookmarkEnd w:id="189"/>
      <w:r>
        <w:rPr>
          <w:b w:val="0"/>
          <w:bCs w:val="0"/>
        </w:rPr>
      </w:r>
      <w:r>
        <w:rPr>
          <w:rFonts w:ascii="Times New Roman" w:hAnsi="Times New Roman" w:cs="Times New Roman" w:eastAsia="Times New Roman" w:hint="default"/>
        </w:rPr>
        <w:t>16</w:t>
      </w:r>
      <w:r>
        <w:rPr/>
        <w:t>、固定资产</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1117"/>
        <w:jc w:val="left"/>
        <w:rPr>
          <w:b w:val="0"/>
          <w:bCs w:val="0"/>
        </w:rPr>
      </w:pPr>
      <w:bookmarkStart w:name="（1）确认条件" w:id="190"/>
      <w:bookmarkEnd w:id="190"/>
      <w:r>
        <w:rPr>
          <w:b w:val="0"/>
          <w:bCs w:val="0"/>
        </w:rPr>
      </w:r>
      <w:r>
        <w:rPr/>
        <w:t>（</w:t>
      </w:r>
      <w:r>
        <w:rPr>
          <w:rFonts w:ascii="Times New Roman" w:hAnsi="Times New Roman" w:cs="Times New Roman" w:eastAsia="Times New Roman" w:hint="default"/>
        </w:rPr>
        <w:t>1</w:t>
      </w:r>
      <w:r>
        <w:rPr/>
        <w:t>）确认条件</w:t>
      </w:r>
      <w:r>
        <w:rPr>
          <w:b w:val="0"/>
          <w:bCs w:val="0"/>
        </w:rPr>
      </w:r>
    </w:p>
    <w:p>
      <w:pPr>
        <w:spacing w:line="240" w:lineRule="auto" w:before="7"/>
        <w:rPr>
          <w:rFonts w:ascii="宋体" w:hAnsi="宋体" w:cs="宋体" w:eastAsia="宋体" w:hint="default"/>
          <w:b/>
          <w:bCs/>
          <w:sz w:val="30"/>
          <w:szCs w:val="30"/>
        </w:rPr>
      </w:pPr>
    </w:p>
    <w:p>
      <w:pPr>
        <w:pStyle w:val="BodyText"/>
        <w:spacing w:line="398" w:lineRule="auto" w:before="0"/>
        <w:ind w:right="1129" w:firstLine="423"/>
        <w:jc w:val="both"/>
      </w:pPr>
      <w:r>
        <w:rPr>
          <w:spacing w:val="-1"/>
        </w:rPr>
        <w:t>固定资产指为生产商品、提供劳务、出租或经营管理而持有，并且使用寿命超过一个会计年度的有形</w:t>
      </w:r>
      <w:r>
        <w:rPr/>
        <w:t> </w:t>
      </w:r>
      <w:r>
        <w:rPr>
          <w:spacing w:val="-10"/>
        </w:rPr>
        <w:t>资产。固定资产在同时满足下列条件时予以确认：（</w:t>
      </w:r>
      <w:r>
        <w:rPr>
          <w:rFonts w:ascii="Times New Roman" w:hAnsi="Times New Roman" w:cs="Times New Roman" w:eastAsia="Times New Roman" w:hint="default"/>
          <w:spacing w:val="-10"/>
        </w:rPr>
        <w:t>1</w:t>
      </w:r>
      <w:r>
        <w:rPr>
          <w:spacing w:val="-10"/>
        </w:rPr>
        <w:t>）与该固定资产有关的经济利益很可能流入企业；（</w:t>
      </w:r>
      <w:r>
        <w:rPr>
          <w:rFonts w:ascii="Times New Roman" w:hAnsi="Times New Roman" w:cs="Times New Roman" w:eastAsia="Times New Roman" w:hint="default"/>
          <w:spacing w:val="-10"/>
        </w:rPr>
        <w:t>2</w:t>
      </w:r>
      <w:r>
        <w:rPr>
          <w:spacing w:val="-10"/>
        </w:rPr>
        <w:t>）</w:t>
      </w:r>
      <w:r>
        <w:rPr>
          <w:spacing w:val="-59"/>
        </w:rPr>
        <w:t> </w:t>
      </w:r>
      <w:r>
        <w:rPr/>
        <w:t>该固定资产的成本能够可靠地计量。</w:t>
      </w:r>
    </w:p>
    <w:p>
      <w:pPr>
        <w:spacing w:line="240" w:lineRule="auto" w:before="1"/>
        <w:rPr>
          <w:rFonts w:ascii="宋体" w:hAnsi="宋体" w:cs="宋体" w:eastAsia="宋体" w:hint="default"/>
          <w:sz w:val="21"/>
          <w:szCs w:val="21"/>
        </w:rPr>
      </w:pPr>
    </w:p>
    <w:p>
      <w:pPr>
        <w:pStyle w:val="Heading4"/>
        <w:spacing w:line="240" w:lineRule="auto"/>
        <w:ind w:right="1117"/>
        <w:jc w:val="left"/>
        <w:rPr>
          <w:b w:val="0"/>
          <w:bCs w:val="0"/>
        </w:rPr>
      </w:pPr>
      <w:bookmarkStart w:name="（2）折旧方法" w:id="191"/>
      <w:bookmarkEnd w:id="191"/>
      <w:r>
        <w:rPr>
          <w:b w:val="0"/>
          <w:bCs w:val="0"/>
        </w:rPr>
      </w:r>
      <w:r>
        <w:rPr/>
        <w:t>（</w:t>
      </w:r>
      <w:r>
        <w:rPr>
          <w:rFonts w:ascii="Times New Roman" w:hAnsi="Times New Roman" w:cs="Times New Roman" w:eastAsia="Times New Roman" w:hint="default"/>
        </w:rPr>
        <w:t>2</w:t>
      </w:r>
      <w:r>
        <w:rPr/>
        <w:t>）折旧方法</w:t>
      </w:r>
      <w:r>
        <w:rPr>
          <w:b w:val="0"/>
          <w:bCs w:val="0"/>
        </w:rPr>
      </w:r>
    </w:p>
    <w:p>
      <w:pPr>
        <w:spacing w:line="240" w:lineRule="auto" w:before="11"/>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1914"/>
        <w:gridCol w:w="1914"/>
        <w:gridCol w:w="1914"/>
        <w:gridCol w:w="1914"/>
        <w:gridCol w:w="1914"/>
      </w:tblGrid>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折旧方法</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折旧年限</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残值率</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年折旧率</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房屋及建筑物</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10-50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5.00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1.9-9.50</w:t>
            </w:r>
          </w:p>
        </w:tc>
      </w:tr>
      <w:tr>
        <w:trPr>
          <w:trHeight w:val="403" w:hRule="exact"/>
        </w:trPr>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机器设备</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5-10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5.00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9.50-19.00</w:t>
            </w:r>
          </w:p>
        </w:tc>
      </w:tr>
    </w:tbl>
    <w:p>
      <w:pPr>
        <w:spacing w:after="0" w:line="240" w:lineRule="auto"/>
        <w:jc w:val="left"/>
        <w:rPr>
          <w:rFonts w:ascii="Times New Roman" w:hAnsi="Times New Roman" w:cs="Times New Roman" w:eastAsia="Times New Roman" w:hint="default"/>
          <w:sz w:val="18"/>
          <w:szCs w:val="18"/>
        </w:rPr>
        <w:sectPr>
          <w:pgSz w:w="11910" w:h="16840"/>
          <w:pgMar w:header="877" w:footer="979" w:top="1060" w:bottom="1160" w:left="980" w:right="0"/>
        </w:sectPr>
      </w:pPr>
    </w:p>
    <w:p>
      <w:pPr>
        <w:spacing w:line="240" w:lineRule="auto" w:before="6"/>
        <w:rPr>
          <w:rFonts w:ascii="宋体" w:hAnsi="宋体" w:cs="宋体" w:eastAsia="宋体" w:hint="default"/>
          <w:b/>
          <w:bCs/>
          <w:sz w:val="28"/>
          <w:szCs w:val="28"/>
        </w:rPr>
      </w:pPr>
    </w:p>
    <w:tbl>
      <w:tblPr>
        <w:tblW w:w="0" w:type="auto"/>
        <w:jc w:val="left"/>
        <w:tblInd w:w="149" w:type="dxa"/>
        <w:tblLayout w:type="fixed"/>
        <w:tblCellMar>
          <w:top w:w="0" w:type="dxa"/>
          <w:left w:w="0" w:type="dxa"/>
          <w:bottom w:w="0" w:type="dxa"/>
          <w:right w:w="0" w:type="dxa"/>
        </w:tblCellMar>
        <w:tblLook w:val="01E0"/>
      </w:tblPr>
      <w:tblGrid>
        <w:gridCol w:w="1914"/>
        <w:gridCol w:w="1914"/>
        <w:gridCol w:w="1914"/>
        <w:gridCol w:w="1914"/>
        <w:gridCol w:w="1914"/>
      </w:tblGrid>
      <w:tr>
        <w:trPr>
          <w:trHeight w:val="402" w:hRule="exact"/>
        </w:trPr>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运输工具</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5-10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5.00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9.50-19.00</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办公设备及其他</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5-10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5.00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9.50-19.00</w:t>
            </w:r>
          </w:p>
        </w:tc>
      </w:tr>
    </w:tbl>
    <w:p>
      <w:pPr>
        <w:pStyle w:val="BodyText"/>
        <w:spacing w:line="408" w:lineRule="auto" w:before="63"/>
        <w:ind w:right="1131" w:firstLine="423"/>
        <w:jc w:val="both"/>
      </w:pPr>
      <w:r>
        <w:rPr>
          <w:spacing w:val="-1"/>
        </w:rPr>
        <w:t>固定资产折旧采用年限平均法分类计提，根据固定资产类别、预计使用寿命和预计净残值率确定折旧</w:t>
      </w:r>
      <w:r>
        <w:rPr/>
        <w:t> </w:t>
      </w:r>
      <w:r>
        <w:rPr>
          <w:spacing w:val="-1"/>
        </w:rPr>
        <w:t>率。如固定资产各组成部分的使用寿命不同或者以不同方式为企业提供经济利益，则选择不同折旧率或折</w:t>
      </w:r>
      <w:r>
        <w:rPr>
          <w:spacing w:val="-81"/>
        </w:rPr>
        <w:t> </w:t>
      </w:r>
      <w:r>
        <w:rPr>
          <w:spacing w:val="-81"/>
        </w:rPr>
      </w:r>
      <w:r>
        <w:rPr/>
        <w:t>旧方法，分别计提折旧。</w:t>
      </w:r>
    </w:p>
    <w:p>
      <w:pPr>
        <w:pStyle w:val="BodyText"/>
        <w:spacing w:line="408" w:lineRule="auto"/>
        <w:ind w:right="1131" w:firstLine="423"/>
        <w:jc w:val="both"/>
      </w:pPr>
      <w:r>
        <w:rPr>
          <w:spacing w:val="-1"/>
        </w:rPr>
        <w:t>融资租赁方式租入的固定资产，能合理确定租赁期届满时将会取得租赁资产所有权的，在租赁资产尚</w:t>
      </w:r>
      <w:r>
        <w:rPr/>
        <w:t> </w:t>
      </w:r>
      <w:r>
        <w:rPr>
          <w:spacing w:val="-1"/>
        </w:rPr>
        <w:t>可使用年限内计提折旧；无法合理确定租赁期届满时能够取得租赁资产所有权的，在租赁期与租赁资产尚</w:t>
      </w:r>
      <w:r>
        <w:rPr>
          <w:spacing w:val="-81"/>
        </w:rPr>
        <w:t> </w:t>
      </w:r>
      <w:r>
        <w:rPr>
          <w:spacing w:val="-81"/>
        </w:rPr>
      </w:r>
      <w:r>
        <w:rPr/>
        <w:t>可使用年限两者中较短的期间内计提折旧。</w:t>
      </w:r>
    </w:p>
    <w:p>
      <w:pPr>
        <w:spacing w:line="240" w:lineRule="auto" w:before="8"/>
        <w:rPr>
          <w:rFonts w:ascii="宋体" w:hAnsi="宋体" w:cs="宋体" w:eastAsia="宋体" w:hint="default"/>
          <w:sz w:val="20"/>
          <w:szCs w:val="20"/>
        </w:rPr>
      </w:pPr>
    </w:p>
    <w:p>
      <w:pPr>
        <w:pStyle w:val="Heading4"/>
        <w:spacing w:line="240" w:lineRule="auto"/>
        <w:ind w:right="1117"/>
        <w:jc w:val="left"/>
        <w:rPr>
          <w:b w:val="0"/>
          <w:bCs w:val="0"/>
        </w:rPr>
      </w:pPr>
      <w:bookmarkStart w:name="（3）融资租入固定资产的认定依据、计价和折旧方法" w:id="192"/>
      <w:bookmarkEnd w:id="192"/>
      <w:r>
        <w:rPr>
          <w:b w:val="0"/>
          <w:bCs w:val="0"/>
        </w:rPr>
      </w:r>
      <w:r>
        <w:rPr/>
        <w:t>（</w:t>
      </w:r>
      <w:r>
        <w:rPr>
          <w:rFonts w:ascii="Times New Roman" w:hAnsi="Times New Roman" w:cs="Times New Roman" w:eastAsia="Times New Roman" w:hint="default"/>
        </w:rPr>
        <w:t>3</w:t>
      </w:r>
      <w:r>
        <w:rPr/>
        <w:t>）融资租入固定资产的认定依据、计价和折旧方法</w:t>
      </w:r>
      <w:r>
        <w:rPr>
          <w:b w:val="0"/>
          <w:bCs w:val="0"/>
        </w:rPr>
      </w:r>
    </w:p>
    <w:p>
      <w:pPr>
        <w:spacing w:line="240" w:lineRule="auto" w:before="7"/>
        <w:rPr>
          <w:rFonts w:ascii="宋体" w:hAnsi="宋体" w:cs="宋体" w:eastAsia="宋体" w:hint="default"/>
          <w:b/>
          <w:bCs/>
          <w:sz w:val="30"/>
          <w:szCs w:val="30"/>
        </w:rPr>
      </w:pPr>
    </w:p>
    <w:p>
      <w:pPr>
        <w:pStyle w:val="BodyText"/>
        <w:spacing w:line="396" w:lineRule="auto" w:before="0"/>
        <w:ind w:right="1130" w:firstLine="423"/>
        <w:jc w:val="both"/>
      </w:pPr>
      <w:r>
        <w:rPr>
          <w:spacing w:val="-3"/>
        </w:rPr>
        <w:t>公司与租赁方所签订的租赁协议条款中规定了下列条件之一的，确认为融资租入资产：（</w:t>
      </w:r>
      <w:r>
        <w:rPr>
          <w:rFonts w:ascii="Times New Roman" w:hAnsi="Times New Roman" w:cs="Times New Roman" w:eastAsia="Times New Roman" w:hint="default"/>
          <w:spacing w:val="-3"/>
        </w:rPr>
        <w:t>1</w:t>
      </w:r>
      <w:r>
        <w:rPr>
          <w:spacing w:val="-3"/>
        </w:rPr>
        <w:t>）租赁期满</w:t>
      </w:r>
      <w:r>
        <w:rPr/>
        <w:t> </w:t>
      </w:r>
      <w:r>
        <w:rPr>
          <w:spacing w:val="-3"/>
        </w:rPr>
        <w:t>后租赁资产的所有权归属于本公司；（</w:t>
      </w:r>
      <w:r>
        <w:rPr>
          <w:rFonts w:ascii="Times New Roman" w:hAnsi="Times New Roman" w:cs="Times New Roman" w:eastAsia="Times New Roman" w:hint="default"/>
          <w:spacing w:val="-3"/>
        </w:rPr>
        <w:t>2</w:t>
      </w:r>
      <w:r>
        <w:rPr>
          <w:spacing w:val="-3"/>
        </w:rPr>
        <w:t>）公司具有购买资产的选择权，购买价款远低于行使选择权时该资</w:t>
      </w:r>
      <w:r>
        <w:rPr>
          <w:spacing w:val="-95"/>
        </w:rPr>
        <w:t> </w:t>
      </w:r>
      <w:r>
        <w:rPr>
          <w:spacing w:val="-95"/>
        </w:rPr>
      </w:r>
      <w:r>
        <w:rPr>
          <w:spacing w:val="-5"/>
        </w:rPr>
        <w:t>产的公允价值；（</w:t>
      </w:r>
      <w:r>
        <w:rPr>
          <w:rFonts w:ascii="Times New Roman" w:hAnsi="Times New Roman" w:cs="Times New Roman" w:eastAsia="Times New Roman" w:hint="default"/>
          <w:spacing w:val="-5"/>
        </w:rPr>
        <w:t>3</w:t>
      </w:r>
      <w:r>
        <w:rPr>
          <w:spacing w:val="-5"/>
        </w:rPr>
        <w:t>）租赁期占所租赁资产使用寿命的大部分；（</w:t>
      </w:r>
      <w:r>
        <w:rPr>
          <w:rFonts w:ascii="Times New Roman" w:hAnsi="Times New Roman" w:cs="Times New Roman" w:eastAsia="Times New Roman" w:hint="default"/>
          <w:spacing w:val="-5"/>
        </w:rPr>
        <w:t>4</w:t>
      </w:r>
      <w:r>
        <w:rPr>
          <w:spacing w:val="-5"/>
        </w:rPr>
        <w:t>）租赁开始日的最低租赁付款额现值，与</w:t>
      </w:r>
      <w:r>
        <w:rPr>
          <w:spacing w:val="-100"/>
        </w:rPr>
        <w:t> </w:t>
      </w:r>
      <w:r>
        <w:rPr>
          <w:spacing w:val="-100"/>
        </w:rPr>
      </w:r>
      <w:r>
        <w:rPr>
          <w:spacing w:val="-1"/>
        </w:rPr>
        <w:t>该资产的公允价值不存在较大的差异。公司在承租开始日，将租赁资产公允价值与最低租赁付款额现值两</w:t>
      </w:r>
      <w:r>
        <w:rPr>
          <w:spacing w:val="-81"/>
        </w:rPr>
        <w:t> </w:t>
      </w:r>
      <w:r>
        <w:rPr>
          <w:spacing w:val="-81"/>
        </w:rPr>
      </w:r>
      <w:r>
        <w:rPr>
          <w:spacing w:val="-1"/>
        </w:rPr>
        <w:t>者中较低者作为租入资产的入账价值，将最低租赁付款额作为长期应付款的入账价值，其差额作为未确认</w:t>
      </w:r>
      <w:r>
        <w:rPr>
          <w:spacing w:val="-81"/>
        </w:rPr>
        <w:t> </w:t>
      </w:r>
      <w:r>
        <w:rPr>
          <w:spacing w:val="-81"/>
        </w:rPr>
      </w:r>
      <w:r>
        <w:rPr/>
        <w:t>的融资费。</w:t>
      </w:r>
    </w:p>
    <w:p>
      <w:pPr>
        <w:spacing w:line="240" w:lineRule="auto" w:before="4"/>
        <w:rPr>
          <w:rFonts w:ascii="宋体" w:hAnsi="宋体" w:cs="宋体" w:eastAsia="宋体" w:hint="default"/>
          <w:sz w:val="21"/>
          <w:szCs w:val="21"/>
        </w:rPr>
      </w:pPr>
    </w:p>
    <w:p>
      <w:pPr>
        <w:pStyle w:val="Heading4"/>
        <w:spacing w:line="240" w:lineRule="auto"/>
        <w:ind w:right="1117"/>
        <w:jc w:val="left"/>
        <w:rPr>
          <w:b w:val="0"/>
          <w:bCs w:val="0"/>
        </w:rPr>
      </w:pPr>
      <w:bookmarkStart w:name="17、在建工程" w:id="193"/>
      <w:bookmarkEnd w:id="193"/>
      <w:r>
        <w:rPr>
          <w:b w:val="0"/>
          <w:bCs w:val="0"/>
        </w:rPr>
      </w:r>
      <w:r>
        <w:rPr>
          <w:rFonts w:ascii="Times New Roman" w:hAnsi="Times New Roman" w:cs="Times New Roman" w:eastAsia="Times New Roman" w:hint="default"/>
        </w:rPr>
        <w:t>17</w:t>
      </w:r>
      <w:r>
        <w:rPr/>
        <w:t>、在建工程</w:t>
      </w:r>
      <w:r>
        <w:rPr>
          <w:b w:val="0"/>
          <w:bCs w:val="0"/>
        </w:rPr>
      </w:r>
    </w:p>
    <w:p>
      <w:pPr>
        <w:spacing w:line="240" w:lineRule="auto" w:before="8"/>
        <w:rPr>
          <w:rFonts w:ascii="宋体" w:hAnsi="宋体" w:cs="宋体" w:eastAsia="宋体" w:hint="default"/>
          <w:b/>
          <w:bCs/>
          <w:sz w:val="26"/>
          <w:szCs w:val="26"/>
        </w:rPr>
      </w:pPr>
    </w:p>
    <w:p>
      <w:pPr>
        <w:spacing w:line="360" w:lineRule="auto" w:before="0"/>
        <w:ind w:left="154" w:right="7692" w:firstLine="0"/>
        <w:jc w:val="left"/>
        <w:rPr>
          <w:rFonts w:ascii="宋体" w:hAnsi="宋体" w:cs="宋体" w:eastAsia="宋体" w:hint="default"/>
          <w:sz w:val="18"/>
          <w:szCs w:val="18"/>
        </w:rPr>
      </w:pPr>
      <w:r>
        <w:rPr>
          <w:rFonts w:ascii="宋体" w:hAnsi="宋体" w:cs="宋体" w:eastAsia="宋体" w:hint="default"/>
          <w:sz w:val="18"/>
          <w:szCs w:val="18"/>
        </w:rPr>
        <w:t>公司是否需要遵守特殊行业的披露要求 否</w:t>
      </w:r>
    </w:p>
    <w:p>
      <w:pPr>
        <w:pStyle w:val="BodyText"/>
        <w:spacing w:line="408" w:lineRule="auto" w:before="77"/>
        <w:ind w:right="1023" w:firstLine="423"/>
        <w:jc w:val="left"/>
      </w:pPr>
      <w:r>
        <w:rPr/>
        <w:t>在建工程项目按建造该项资产达到预定可使用状态前所发生的必要支出，作为固定资产的入账价值。 </w:t>
      </w:r>
      <w:r>
        <w:rPr>
          <w:spacing w:val="-3"/>
        </w:rPr>
        <w:t>所建造的固定资产在工程已达到预定可使用状态，但尚未办理竣工决算的，自达到预定可使用状态之日起，</w:t>
      </w:r>
      <w:r>
        <w:rPr>
          <w:spacing w:val="-92"/>
        </w:rPr>
        <w:t> </w:t>
      </w:r>
      <w:r>
        <w:rPr>
          <w:spacing w:val="-92"/>
        </w:rPr>
      </w:r>
      <w:r>
        <w:rPr/>
        <w:t>根据工程预算、造价或者工程实际成本等，按估计的价值转入固定资产，并按本公司固定资产折旧政策计</w:t>
      </w:r>
      <w:r>
        <w:rPr/>
        <w:t> </w:t>
      </w:r>
      <w:r>
        <w:rPr>
          <w:spacing w:val="-5"/>
        </w:rPr>
        <w:t>提固定资产的折旧，待办理竣工决算后，再按实际成本调整原来的暂估价值，但不调整原已计提的折旧额。</w:t>
      </w:r>
    </w:p>
    <w:p>
      <w:pPr>
        <w:spacing w:line="240" w:lineRule="auto" w:before="8"/>
        <w:rPr>
          <w:rFonts w:ascii="宋体" w:hAnsi="宋体" w:cs="宋体" w:eastAsia="宋体" w:hint="default"/>
          <w:sz w:val="20"/>
          <w:szCs w:val="20"/>
        </w:rPr>
      </w:pPr>
    </w:p>
    <w:p>
      <w:pPr>
        <w:pStyle w:val="Heading4"/>
        <w:spacing w:line="240" w:lineRule="auto"/>
        <w:ind w:right="1117"/>
        <w:jc w:val="left"/>
        <w:rPr>
          <w:b w:val="0"/>
          <w:bCs w:val="0"/>
        </w:rPr>
      </w:pPr>
      <w:bookmarkStart w:name="18、借款费用" w:id="194"/>
      <w:bookmarkEnd w:id="194"/>
      <w:r>
        <w:rPr>
          <w:b w:val="0"/>
          <w:bCs w:val="0"/>
        </w:rPr>
      </w:r>
      <w:r>
        <w:rPr>
          <w:rFonts w:ascii="Times New Roman" w:hAnsi="Times New Roman" w:cs="Times New Roman" w:eastAsia="Times New Roman" w:hint="default"/>
        </w:rPr>
        <w:t>18</w:t>
      </w:r>
      <w:r>
        <w:rPr/>
        <w:t>、借款费用</w:t>
      </w:r>
      <w:r>
        <w:rPr>
          <w:b w:val="0"/>
          <w:bCs w:val="0"/>
        </w:rPr>
      </w:r>
    </w:p>
    <w:p>
      <w:pPr>
        <w:spacing w:line="240" w:lineRule="auto" w:before="7"/>
        <w:rPr>
          <w:rFonts w:ascii="宋体" w:hAnsi="宋体" w:cs="宋体" w:eastAsia="宋体" w:hint="default"/>
          <w:b/>
          <w:bCs/>
          <w:sz w:val="30"/>
          <w:szCs w:val="30"/>
        </w:rPr>
      </w:pPr>
    </w:p>
    <w:p>
      <w:pPr>
        <w:pStyle w:val="BodyText"/>
        <w:spacing w:line="408" w:lineRule="auto" w:before="0"/>
        <w:ind w:left="580" w:right="1130"/>
        <w:jc w:val="left"/>
      </w:pPr>
      <w:r>
        <w:rPr>
          <w:rFonts w:ascii="宋体" w:hAnsi="宋体" w:cs="宋体" w:eastAsia="宋体" w:hint="default"/>
          <w:b/>
          <w:bCs/>
        </w:rPr>
        <w:t>1.</w:t>
      </w:r>
      <w:r>
        <w:rPr>
          <w:rFonts w:ascii="宋体" w:hAnsi="宋体" w:cs="宋体" w:eastAsia="宋体" w:hint="default"/>
          <w:b/>
          <w:bCs/>
        </w:rPr>
        <w:t>借款费用资本化的确认原则</w:t>
      </w:r>
      <w:r>
        <w:rPr>
          <w:rFonts w:ascii="宋体" w:hAnsi="宋体" w:cs="宋体" w:eastAsia="宋体" w:hint="default"/>
          <w:b/>
          <w:bCs/>
          <w:w w:val="99"/>
        </w:rPr>
        <w:t> </w:t>
      </w:r>
      <w:r>
        <w:rPr/>
        <w:t>借款费用，包括借款利息、折价或者溢价的摊销、辅助费用以及因外币借款而发生的汇兑差额等。 </w:t>
      </w:r>
      <w:r>
        <w:rPr>
          <w:spacing w:val="-1"/>
        </w:rPr>
        <w:t>公司发生的借款费用，可直接归属于符合资本化条件的资产的购建或者生产的，予以资本化，计入相</w:t>
      </w:r>
    </w:p>
    <w:p>
      <w:pPr>
        <w:pStyle w:val="BodyText"/>
        <w:spacing w:line="240" w:lineRule="auto"/>
        <w:ind w:right="1117"/>
        <w:jc w:val="left"/>
      </w:pPr>
      <w:r>
        <w:rPr/>
        <w:t>关资产成本；其他借款费用，在发生时根据其发生额确认为费用，计入当期损益。</w:t>
      </w:r>
    </w:p>
    <w:p>
      <w:pPr>
        <w:spacing w:after="0" w:line="240" w:lineRule="auto"/>
        <w:jc w:val="left"/>
        <w:sectPr>
          <w:pgSz w:w="11910" w:h="16840"/>
          <w:pgMar w:header="877" w:footer="979" w:top="1060" w:bottom="1160" w:left="980" w:right="0"/>
        </w:sectPr>
      </w:pPr>
    </w:p>
    <w:p>
      <w:pPr>
        <w:spacing w:line="240" w:lineRule="auto" w:before="0"/>
        <w:rPr>
          <w:rFonts w:ascii="宋体" w:hAnsi="宋体" w:cs="宋体" w:eastAsia="宋体" w:hint="default"/>
          <w:sz w:val="20"/>
          <w:szCs w:val="20"/>
        </w:rPr>
      </w:pPr>
    </w:p>
    <w:p>
      <w:pPr>
        <w:pStyle w:val="BodyText"/>
        <w:spacing w:line="408" w:lineRule="auto" w:before="174"/>
        <w:ind w:right="1130" w:firstLine="426"/>
        <w:jc w:val="left"/>
      </w:pPr>
      <w:r>
        <w:rPr>
          <w:spacing w:val="-1"/>
        </w:rPr>
        <w:t>符合资本化条件的资产，是指需要经过相当长时间的购建或者生产活动才能达到预定可使用或者可销</w:t>
      </w:r>
      <w:r>
        <w:rPr/>
        <w:t> 售状态的固定资产、投资性房地产和存货等资产。</w:t>
      </w:r>
    </w:p>
    <w:p>
      <w:pPr>
        <w:pStyle w:val="BodyText"/>
        <w:spacing w:line="240" w:lineRule="auto"/>
        <w:ind w:left="580" w:right="1117"/>
        <w:jc w:val="left"/>
      </w:pPr>
      <w:r>
        <w:rPr/>
        <w:t>借款费用同时满足下列条件时开始资本化：</w:t>
      </w:r>
    </w:p>
    <w:p>
      <w:pPr>
        <w:spacing w:line="240" w:lineRule="auto" w:before="10"/>
        <w:rPr>
          <w:rFonts w:ascii="宋体" w:hAnsi="宋体" w:cs="宋体" w:eastAsia="宋体" w:hint="default"/>
          <w:sz w:val="14"/>
          <w:szCs w:val="14"/>
        </w:rPr>
      </w:pPr>
    </w:p>
    <w:p>
      <w:pPr>
        <w:pStyle w:val="BodyText"/>
        <w:spacing w:line="408" w:lineRule="auto" w:before="0"/>
        <w:ind w:right="1191" w:firstLine="426"/>
        <w:jc w:val="left"/>
      </w:pPr>
      <w:r>
        <w:rPr/>
        <w:t>（</w:t>
      </w:r>
      <w:r>
        <w:rPr>
          <w:rFonts w:ascii="宋体" w:hAnsi="宋体" w:cs="宋体" w:eastAsia="宋体" w:hint="default"/>
        </w:rPr>
        <w:t>1</w:t>
      </w:r>
      <w:r>
        <w:rPr/>
        <w:t>）资产支出已经发生，资产支出包括为购建或者生产符合资本化条件的资产而以支付现金、转移 非现金资产或者承担带息债务形式发生的支出；</w:t>
      </w:r>
    </w:p>
    <w:p>
      <w:pPr>
        <w:pStyle w:val="BodyText"/>
        <w:spacing w:line="240" w:lineRule="auto"/>
        <w:ind w:left="574" w:right="1117"/>
        <w:jc w:val="left"/>
      </w:pPr>
      <w:r>
        <w:rPr/>
        <w:t>（</w:t>
      </w:r>
      <w:r>
        <w:rPr>
          <w:rFonts w:ascii="宋体" w:hAnsi="宋体" w:cs="宋体" w:eastAsia="宋体" w:hint="default"/>
        </w:rPr>
        <w:t>2</w:t>
      </w:r>
      <w:r>
        <w:rPr/>
        <w:t>）</w:t>
      </w:r>
      <w:r>
        <w:rPr>
          <w:spacing w:val="89"/>
        </w:rPr>
        <w:t> </w:t>
      </w:r>
      <w:r>
        <w:rPr/>
        <w:t>借款费用已经发生；</w:t>
      </w:r>
    </w:p>
    <w:p>
      <w:pPr>
        <w:spacing w:line="240" w:lineRule="auto" w:before="10"/>
        <w:rPr>
          <w:rFonts w:ascii="宋体" w:hAnsi="宋体" w:cs="宋体" w:eastAsia="宋体" w:hint="default"/>
          <w:sz w:val="14"/>
          <w:szCs w:val="14"/>
        </w:rPr>
      </w:pPr>
    </w:p>
    <w:p>
      <w:pPr>
        <w:pStyle w:val="BodyText"/>
        <w:tabs>
          <w:tab w:pos="1414" w:val="left" w:leader="none"/>
        </w:tabs>
        <w:spacing w:line="408" w:lineRule="auto" w:before="0"/>
        <w:ind w:left="580" w:right="1133" w:hanging="3"/>
        <w:jc w:val="left"/>
      </w:pPr>
      <w:r>
        <w:rPr/>
        <w:t>（</w:t>
      </w:r>
      <w:r>
        <w:rPr>
          <w:rFonts w:ascii="宋体" w:hAnsi="宋体" w:cs="宋体" w:eastAsia="宋体" w:hint="default"/>
        </w:rPr>
        <w:t>3</w:t>
      </w:r>
      <w:r>
        <w:rPr/>
        <w:t>）</w:t>
        <w:tab/>
        <w:t>为使资产达到预定可使用或者可销售状态所必要的购建或者生产活动已经开始。 </w:t>
      </w:r>
      <w:r>
        <w:rPr>
          <w:rFonts w:ascii="宋体" w:hAnsi="宋体" w:cs="宋体" w:eastAsia="宋体" w:hint="default"/>
          <w:b/>
          <w:bCs/>
        </w:rPr>
        <w:t>2.</w:t>
      </w:r>
      <w:r>
        <w:rPr>
          <w:rFonts w:ascii="宋体" w:hAnsi="宋体" w:cs="宋体" w:eastAsia="宋体" w:hint="default"/>
          <w:b/>
          <w:bCs/>
        </w:rPr>
        <w:t>借款费用资本化期间</w:t>
      </w:r>
      <w:r>
        <w:rPr>
          <w:rFonts w:ascii="宋体" w:hAnsi="宋体" w:cs="宋体" w:eastAsia="宋体" w:hint="default"/>
          <w:b/>
          <w:bCs/>
          <w:w w:val="99"/>
        </w:rPr>
        <w:t> </w:t>
      </w:r>
      <w:r>
        <w:rPr>
          <w:spacing w:val="-1"/>
        </w:rPr>
        <w:t>资本化期间，指从借款费用开始资本化时点到停止资本化时点的期间，借款费用暂停资本化的期间不</w:t>
      </w:r>
    </w:p>
    <w:p>
      <w:pPr>
        <w:pStyle w:val="BodyText"/>
        <w:spacing w:line="240" w:lineRule="auto"/>
        <w:ind w:right="0"/>
        <w:jc w:val="both"/>
      </w:pPr>
      <w:r>
        <w:rPr/>
        <w:t>包括在内。</w:t>
      </w:r>
    </w:p>
    <w:p>
      <w:pPr>
        <w:spacing w:line="240" w:lineRule="auto" w:before="10"/>
        <w:rPr>
          <w:rFonts w:ascii="宋体" w:hAnsi="宋体" w:cs="宋体" w:eastAsia="宋体" w:hint="default"/>
          <w:sz w:val="14"/>
          <w:szCs w:val="14"/>
        </w:rPr>
      </w:pPr>
    </w:p>
    <w:p>
      <w:pPr>
        <w:pStyle w:val="BodyText"/>
        <w:spacing w:line="408" w:lineRule="auto" w:before="0"/>
        <w:ind w:left="580" w:right="1130"/>
        <w:jc w:val="left"/>
      </w:pPr>
      <w:r>
        <w:rPr/>
        <w:t>当购建或者生产符合资本化条件的资产达到预定可使用或者可销售状态时，借款费用停止资本化。 </w:t>
      </w:r>
      <w:r>
        <w:rPr>
          <w:spacing w:val="-1"/>
        </w:rPr>
        <w:t>当购建或者生产符合资本化条件的资产中部分项目分别完工且可单独使用时，该部分资产借款费用停</w:t>
      </w:r>
    </w:p>
    <w:p>
      <w:pPr>
        <w:pStyle w:val="BodyText"/>
        <w:spacing w:line="240" w:lineRule="auto"/>
        <w:ind w:right="0"/>
        <w:jc w:val="both"/>
      </w:pPr>
      <w:r>
        <w:rPr/>
        <w:t>止资本化。</w:t>
      </w:r>
    </w:p>
    <w:p>
      <w:pPr>
        <w:spacing w:line="240" w:lineRule="auto" w:before="10"/>
        <w:rPr>
          <w:rFonts w:ascii="宋体" w:hAnsi="宋体" w:cs="宋体" w:eastAsia="宋体" w:hint="default"/>
          <w:sz w:val="14"/>
          <w:szCs w:val="14"/>
        </w:rPr>
      </w:pPr>
    </w:p>
    <w:p>
      <w:pPr>
        <w:pStyle w:val="BodyText"/>
        <w:spacing w:line="408" w:lineRule="auto" w:before="0"/>
        <w:ind w:right="1130" w:firstLine="426"/>
        <w:jc w:val="left"/>
      </w:pPr>
      <w:r>
        <w:rPr>
          <w:spacing w:val="-1"/>
        </w:rPr>
        <w:t>购建或者生产的资产的各部分分别完工，但必须等到整体完工后才可使用或可对外销售的，在该资产</w:t>
      </w:r>
      <w:r>
        <w:rPr/>
        <w:t> 整体完工时停止借款费用资本化。</w:t>
      </w:r>
    </w:p>
    <w:p>
      <w:pPr>
        <w:pStyle w:val="BodyText"/>
        <w:spacing w:line="408" w:lineRule="auto"/>
        <w:ind w:left="580" w:right="1191"/>
        <w:jc w:val="left"/>
      </w:pPr>
      <w:r>
        <w:rPr>
          <w:rFonts w:ascii="宋体" w:hAnsi="宋体" w:cs="宋体" w:eastAsia="宋体" w:hint="default"/>
          <w:b/>
          <w:bCs/>
        </w:rPr>
        <w:t>3.</w:t>
      </w:r>
      <w:r>
        <w:rPr>
          <w:rFonts w:ascii="宋体" w:hAnsi="宋体" w:cs="宋体" w:eastAsia="宋体" w:hint="default"/>
          <w:b/>
          <w:bCs/>
        </w:rPr>
        <w:t>暂停资本化期间</w:t>
      </w:r>
      <w:r>
        <w:rPr>
          <w:rFonts w:ascii="宋体" w:hAnsi="宋体" w:cs="宋体" w:eastAsia="宋体" w:hint="default"/>
          <w:b/>
          <w:bCs/>
          <w:w w:val="99"/>
        </w:rPr>
        <w:t> </w:t>
      </w:r>
      <w:r>
        <w:rPr/>
        <w:t>符合资本化条件的资产在购建或生产过程中发生的非正常中断、且中断时间连续超过</w:t>
      </w:r>
      <w:r>
        <w:rPr>
          <w:rFonts w:ascii="Times New Roman" w:hAnsi="Times New Roman" w:cs="Times New Roman" w:eastAsia="Times New Roman" w:hint="default"/>
        </w:rPr>
        <w:t>3</w:t>
      </w:r>
      <w:r>
        <w:rPr/>
        <w:t>个月的，则借</w:t>
      </w:r>
    </w:p>
    <w:p>
      <w:pPr>
        <w:pStyle w:val="BodyText"/>
        <w:spacing w:line="408" w:lineRule="auto" w:before="14"/>
        <w:ind w:right="1131"/>
        <w:jc w:val="both"/>
      </w:pPr>
      <w:r>
        <w:rPr>
          <w:spacing w:val="-1"/>
        </w:rPr>
        <w:t>款费用暂停资本化；该项中断如是所购建或生产的符合资本化条件的资产达到预定可使用状态或者可销售</w:t>
      </w:r>
      <w:r>
        <w:rPr>
          <w:spacing w:val="-81"/>
        </w:rPr>
        <w:t> </w:t>
      </w:r>
      <w:r>
        <w:rPr>
          <w:spacing w:val="-81"/>
        </w:rPr>
      </w:r>
      <w:r>
        <w:rPr>
          <w:spacing w:val="-1"/>
        </w:rPr>
        <w:t>状态必要的程序，则借款费用继续资本化。在中断期间发生的借款费用确认为当期损益，直至资产的购建</w:t>
      </w:r>
      <w:r>
        <w:rPr>
          <w:spacing w:val="-83"/>
        </w:rPr>
        <w:t> </w:t>
      </w:r>
      <w:r>
        <w:rPr>
          <w:spacing w:val="-83"/>
        </w:rPr>
      </w:r>
      <w:r>
        <w:rPr/>
        <w:t>或者生产活动重新开始后借款费用继续资本化。</w:t>
      </w:r>
    </w:p>
    <w:p>
      <w:pPr>
        <w:spacing w:line="408" w:lineRule="auto" w:before="46"/>
        <w:ind w:left="580" w:right="0" w:firstLine="0"/>
        <w:jc w:val="left"/>
        <w:rPr>
          <w:rFonts w:ascii="宋体" w:hAnsi="宋体" w:cs="宋体" w:eastAsia="宋体" w:hint="default"/>
          <w:sz w:val="21"/>
          <w:szCs w:val="21"/>
        </w:rPr>
      </w:pPr>
      <w:r>
        <w:rPr>
          <w:rFonts w:ascii="宋体" w:hAnsi="宋体" w:cs="宋体" w:eastAsia="宋体" w:hint="default"/>
          <w:b/>
          <w:bCs/>
          <w:sz w:val="21"/>
          <w:szCs w:val="21"/>
        </w:rPr>
        <w:t>4.</w:t>
      </w:r>
      <w:r>
        <w:rPr>
          <w:rFonts w:ascii="宋体" w:hAnsi="宋体" w:cs="宋体" w:eastAsia="宋体" w:hint="default"/>
          <w:b/>
          <w:bCs/>
          <w:sz w:val="21"/>
          <w:szCs w:val="21"/>
        </w:rPr>
        <w:t>借款费用资本化率、资本化金额的计算方法</w:t>
      </w:r>
      <w:r>
        <w:rPr>
          <w:rFonts w:ascii="宋体" w:hAnsi="宋体" w:cs="宋体" w:eastAsia="宋体" w:hint="default"/>
          <w:b/>
          <w:bCs/>
          <w:w w:val="99"/>
          <w:sz w:val="21"/>
          <w:szCs w:val="21"/>
        </w:rPr>
        <w:t> </w:t>
      </w:r>
      <w:r>
        <w:rPr>
          <w:rFonts w:ascii="宋体" w:hAnsi="宋体" w:cs="宋体" w:eastAsia="宋体" w:hint="default"/>
          <w:spacing w:val="-1"/>
          <w:sz w:val="21"/>
          <w:szCs w:val="21"/>
        </w:rPr>
        <w:t>对于为购建或者生产符合资本化条件的资产而借入的专门借款，以专门借款当期实际发生的借款费用，</w:t>
      </w:r>
    </w:p>
    <w:p>
      <w:pPr>
        <w:pStyle w:val="BodyText"/>
        <w:spacing w:line="408" w:lineRule="auto"/>
        <w:ind w:right="1132"/>
        <w:jc w:val="both"/>
      </w:pPr>
      <w:r>
        <w:rPr>
          <w:spacing w:val="-1"/>
        </w:rPr>
        <w:t>减去尚未动用的借款资金存入银行取得的利息收入或进行暂时性投资取得的投资收益后的金额，来确定借</w:t>
      </w:r>
      <w:r>
        <w:rPr>
          <w:spacing w:val="-81"/>
        </w:rPr>
        <w:t> </w:t>
      </w:r>
      <w:r>
        <w:rPr>
          <w:spacing w:val="-81"/>
        </w:rPr>
      </w:r>
      <w:r>
        <w:rPr/>
        <w:t>款费用的资本化金额。</w:t>
      </w:r>
    </w:p>
    <w:p>
      <w:pPr>
        <w:pStyle w:val="BodyText"/>
        <w:spacing w:line="408" w:lineRule="auto"/>
        <w:ind w:right="0" w:firstLine="426"/>
        <w:jc w:val="left"/>
      </w:pPr>
      <w:r>
        <w:rPr/>
        <w:t>对于为购建或者生产符合资本化条件的资产而占用的一般借款，根据累计资产支出超过专门借款部分 的资产支出加权平均数乘以所占用一般借款的资本化率，计算确定一般借款应予资本化的借款费用金额。</w:t>
      </w:r>
      <w:r>
        <w:rPr>
          <w:spacing w:val="-38"/>
        </w:rPr>
        <w:t> </w:t>
      </w:r>
      <w:r>
        <w:rPr>
          <w:spacing w:val="-38"/>
        </w:rPr>
      </w:r>
      <w:r>
        <w:rPr/>
        <w:t>资本化率根据一般借款加权平均利率计算确定。</w:t>
      </w:r>
    </w:p>
    <w:p>
      <w:pPr>
        <w:spacing w:after="0" w:line="408" w:lineRule="auto"/>
        <w:jc w:val="left"/>
        <w:sectPr>
          <w:pgSz w:w="11910" w:h="16840"/>
          <w:pgMar w:header="877" w:footer="979" w:top="1060" w:bottom="1160" w:left="980" w:right="0"/>
        </w:sectPr>
      </w:pPr>
    </w:p>
    <w:p>
      <w:pPr>
        <w:spacing w:line="240" w:lineRule="auto" w:before="10"/>
        <w:rPr>
          <w:rFonts w:ascii="宋体" w:hAnsi="宋体" w:cs="宋体" w:eastAsia="宋体" w:hint="default"/>
          <w:sz w:val="24"/>
          <w:szCs w:val="24"/>
        </w:rPr>
      </w:pPr>
    </w:p>
    <w:p>
      <w:pPr>
        <w:pStyle w:val="Heading4"/>
        <w:spacing w:line="240" w:lineRule="auto" w:before="35"/>
        <w:ind w:right="1117"/>
        <w:jc w:val="left"/>
        <w:rPr>
          <w:b w:val="0"/>
          <w:bCs w:val="0"/>
        </w:rPr>
      </w:pPr>
      <w:bookmarkStart w:name="19、无形资产" w:id="195"/>
      <w:bookmarkEnd w:id="195"/>
      <w:r>
        <w:rPr>
          <w:b w:val="0"/>
          <w:bCs w:val="0"/>
        </w:rPr>
      </w:r>
      <w:r>
        <w:rPr>
          <w:rFonts w:ascii="Times New Roman" w:hAnsi="Times New Roman" w:cs="Times New Roman" w:eastAsia="Times New Roman" w:hint="default"/>
        </w:rPr>
        <w:t>19</w:t>
      </w:r>
      <w:r>
        <w:rPr/>
        <w:t>、无形资产</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1117"/>
        <w:jc w:val="left"/>
        <w:rPr>
          <w:b w:val="0"/>
          <w:bCs w:val="0"/>
        </w:rPr>
      </w:pPr>
      <w:bookmarkStart w:name="（1）计价方法、使用寿命、减值测试" w:id="196"/>
      <w:bookmarkEnd w:id="196"/>
      <w:r>
        <w:rPr>
          <w:b w:val="0"/>
          <w:bCs w:val="0"/>
        </w:rPr>
      </w:r>
      <w:r>
        <w:rPr/>
        <w:t>（</w:t>
      </w:r>
      <w:r>
        <w:rPr>
          <w:rFonts w:ascii="Times New Roman" w:hAnsi="Times New Roman" w:cs="Times New Roman" w:eastAsia="Times New Roman" w:hint="default"/>
        </w:rPr>
        <w:t>1</w:t>
      </w:r>
      <w:r>
        <w:rPr/>
        <w:t>）计价方法、使用寿命、减值测试</w:t>
      </w:r>
      <w:r>
        <w:rPr>
          <w:b w:val="0"/>
          <w:bCs w:val="0"/>
        </w:rPr>
      </w:r>
    </w:p>
    <w:p>
      <w:pPr>
        <w:spacing w:line="240" w:lineRule="auto" w:before="8"/>
        <w:rPr>
          <w:rFonts w:ascii="宋体" w:hAnsi="宋体" w:cs="宋体" w:eastAsia="宋体" w:hint="default"/>
          <w:b/>
          <w:bCs/>
          <w:sz w:val="26"/>
          <w:szCs w:val="26"/>
        </w:rPr>
      </w:pPr>
    </w:p>
    <w:p>
      <w:pPr>
        <w:spacing w:line="357" w:lineRule="auto" w:before="0"/>
        <w:ind w:left="154" w:right="7692" w:firstLine="0"/>
        <w:jc w:val="left"/>
        <w:rPr>
          <w:rFonts w:ascii="宋体" w:hAnsi="宋体" w:cs="宋体" w:eastAsia="宋体" w:hint="default"/>
          <w:sz w:val="18"/>
          <w:szCs w:val="18"/>
        </w:rPr>
      </w:pPr>
      <w:r>
        <w:rPr>
          <w:rFonts w:ascii="宋体" w:hAnsi="宋体" w:cs="宋体" w:eastAsia="宋体" w:hint="default"/>
          <w:sz w:val="18"/>
          <w:szCs w:val="18"/>
        </w:rPr>
        <w:t>公司是否需要遵守特殊行业的披露要求 否</w:t>
      </w:r>
    </w:p>
    <w:p>
      <w:pPr>
        <w:pStyle w:val="Heading4"/>
        <w:spacing w:line="240" w:lineRule="auto" w:before="80"/>
        <w:ind w:left="580" w:right="1117"/>
        <w:jc w:val="left"/>
        <w:rPr>
          <w:b w:val="0"/>
          <w:bCs w:val="0"/>
        </w:rPr>
      </w:pPr>
      <w:r>
        <w:rPr>
          <w:rFonts w:ascii="宋体" w:hAnsi="宋体" w:cs="宋体" w:eastAsia="宋体" w:hint="default"/>
        </w:rPr>
        <w:t>1.</w:t>
      </w:r>
      <w:r>
        <w:rPr/>
        <w:t>无形资产的计价方法</w:t>
      </w:r>
      <w:r>
        <w:rPr>
          <w:b w:val="0"/>
          <w:bCs w:val="0"/>
        </w:rPr>
      </w:r>
    </w:p>
    <w:p>
      <w:pPr>
        <w:spacing w:line="240" w:lineRule="auto" w:before="10"/>
        <w:rPr>
          <w:rFonts w:ascii="宋体" w:hAnsi="宋体" w:cs="宋体" w:eastAsia="宋体" w:hint="default"/>
          <w:b/>
          <w:bCs/>
          <w:sz w:val="14"/>
          <w:szCs w:val="14"/>
        </w:rPr>
      </w:pPr>
    </w:p>
    <w:p>
      <w:pPr>
        <w:pStyle w:val="BodyText"/>
        <w:spacing w:line="386" w:lineRule="auto" w:before="0"/>
        <w:ind w:left="580" w:right="1130"/>
        <w:jc w:val="left"/>
      </w:pPr>
      <w:r>
        <w:rPr/>
        <w:t>（</w:t>
      </w:r>
      <w:r>
        <w:rPr>
          <w:rFonts w:ascii="Times New Roman" w:hAnsi="Times New Roman" w:cs="Times New Roman" w:eastAsia="Times New Roman" w:hint="default"/>
        </w:rPr>
        <w:t>1</w:t>
      </w:r>
      <w:r>
        <w:rPr/>
        <w:t>）公司取得无形资产时按成本进行初始计量； </w:t>
      </w:r>
      <w:r>
        <w:rPr>
          <w:spacing w:val="-1"/>
        </w:rPr>
        <w:t>外购无形资产的成本，包括购买价款、相关税费以及直接归属于使该项资产达到预定用途所发生的其</w:t>
      </w:r>
    </w:p>
    <w:p>
      <w:pPr>
        <w:pStyle w:val="BodyText"/>
        <w:spacing w:line="408" w:lineRule="auto" w:before="65"/>
        <w:ind w:right="1117"/>
        <w:jc w:val="left"/>
      </w:pPr>
      <w:r>
        <w:rPr>
          <w:spacing w:val="-1"/>
        </w:rPr>
        <w:t>他支出。购买无形资产的价款超过正常信用条件延期支付，实质上具有融资性质的，无形资产的成本以购</w:t>
      </w:r>
      <w:r>
        <w:rPr>
          <w:spacing w:val="-83"/>
        </w:rPr>
        <w:t> </w:t>
      </w:r>
      <w:r>
        <w:rPr>
          <w:spacing w:val="-83"/>
        </w:rPr>
      </w:r>
      <w:r>
        <w:rPr/>
        <w:t>买价款的现值为基础确定。</w:t>
      </w:r>
    </w:p>
    <w:p>
      <w:pPr>
        <w:pStyle w:val="BodyText"/>
        <w:spacing w:line="408" w:lineRule="auto"/>
        <w:ind w:right="1133" w:firstLine="426"/>
        <w:jc w:val="both"/>
      </w:pPr>
      <w:r>
        <w:rPr>
          <w:spacing w:val="-1"/>
        </w:rPr>
        <w:t>债务重组取得债务人用以抵债的无形资产，以该无形资产的公允价值为基础确定其入账价值，并将重</w:t>
      </w:r>
      <w:r>
        <w:rPr/>
        <w:t> 组债务的账面价值与该用以抵债的无形资产公允价值之间的差额，计入当期损益。</w:t>
      </w:r>
    </w:p>
    <w:p>
      <w:pPr>
        <w:pStyle w:val="BodyText"/>
        <w:spacing w:line="408" w:lineRule="auto"/>
        <w:ind w:right="1131" w:firstLine="426"/>
        <w:jc w:val="both"/>
      </w:pPr>
      <w:r>
        <w:rPr>
          <w:spacing w:val="-1"/>
        </w:rPr>
        <w:t>在非货币性资产交换具备商业实质且换入资产或换出资产的公允价值能够可靠计量的前提下，非货币</w:t>
      </w:r>
      <w:r>
        <w:rPr/>
        <w:t> </w:t>
      </w:r>
      <w:r>
        <w:rPr>
          <w:spacing w:val="-1"/>
        </w:rPr>
        <w:t>性资产交换换入的无形资产以换出资产的公允价值为基础确定其入账价值，除非有确凿证据表明换入资产</w:t>
      </w:r>
      <w:r>
        <w:rPr>
          <w:spacing w:val="-81"/>
        </w:rPr>
        <w:t> </w:t>
      </w:r>
      <w:r>
        <w:rPr>
          <w:spacing w:val="-81"/>
        </w:rPr>
      </w:r>
      <w:r>
        <w:rPr>
          <w:spacing w:val="-1"/>
        </w:rPr>
        <w:t>的公允价值更加可靠；不满足上述前提的非货币性资产交换，以换出资产的账面价值和应支付的相关税费</w:t>
      </w:r>
      <w:r>
        <w:rPr>
          <w:spacing w:val="-81"/>
        </w:rPr>
        <w:t> </w:t>
      </w:r>
      <w:r>
        <w:rPr>
          <w:spacing w:val="-81"/>
        </w:rPr>
      </w:r>
      <w:r>
        <w:rPr/>
        <w:t>作为换入无形资产的成本，不确认损益。</w:t>
      </w:r>
    </w:p>
    <w:p>
      <w:pPr>
        <w:pStyle w:val="BodyText"/>
        <w:spacing w:line="386" w:lineRule="auto"/>
        <w:ind w:left="580" w:right="6546"/>
        <w:jc w:val="left"/>
      </w:pPr>
      <w:r>
        <w:rPr/>
        <w:t>（</w:t>
      </w:r>
      <w:r>
        <w:rPr>
          <w:rFonts w:ascii="Times New Roman" w:hAnsi="Times New Roman" w:cs="Times New Roman" w:eastAsia="Times New Roman" w:hint="default"/>
        </w:rPr>
        <w:t>2</w:t>
      </w:r>
      <w:r>
        <w:rPr/>
        <w:t>）后续计量 在取得无形资产时分析判断其使用寿命。</w:t>
      </w:r>
    </w:p>
    <w:p>
      <w:pPr>
        <w:pStyle w:val="BodyText"/>
        <w:spacing w:line="408" w:lineRule="auto" w:before="65"/>
        <w:ind w:right="1133" w:firstLine="426"/>
        <w:jc w:val="both"/>
      </w:pPr>
      <w:r>
        <w:rPr>
          <w:spacing w:val="-1"/>
        </w:rPr>
        <w:t>对于使用寿命有限的无形资产，在为企业带来经济利益的期限内按直线法摊销；无法预见无形资产为</w:t>
      </w:r>
      <w:r>
        <w:rPr/>
        <w:t> 企业带来经济利益期限的，视为使用寿命不确定的无形资产，不予摊销。</w:t>
      </w:r>
    </w:p>
    <w:p>
      <w:pPr>
        <w:pStyle w:val="Heading4"/>
        <w:spacing w:line="240" w:lineRule="auto" w:before="166"/>
        <w:ind w:left="580" w:right="1117"/>
        <w:jc w:val="left"/>
        <w:rPr>
          <w:b w:val="0"/>
          <w:bCs w:val="0"/>
        </w:rPr>
      </w:pPr>
      <w:r>
        <w:rPr>
          <w:rFonts w:ascii="Times New Roman" w:hAnsi="Times New Roman" w:cs="Times New Roman" w:eastAsia="Times New Roman" w:hint="default"/>
        </w:rPr>
        <w:t>2.</w:t>
      </w:r>
      <w:r>
        <w:rPr/>
        <w:t>使用寿命有限的无形资产的使用寿命估计情况：</w:t>
      </w:r>
      <w:r>
        <w:rPr>
          <w:b w:val="0"/>
          <w:bCs w:val="0"/>
        </w:rPr>
      </w:r>
    </w:p>
    <w:p>
      <w:pPr>
        <w:spacing w:line="240" w:lineRule="auto" w:before="12"/>
        <w:rPr>
          <w:rFonts w:ascii="宋体" w:hAnsi="宋体" w:cs="宋体" w:eastAsia="宋体" w:hint="default"/>
          <w:b/>
          <w:bCs/>
          <w:sz w:val="17"/>
          <w:szCs w:val="17"/>
        </w:rPr>
      </w:pPr>
    </w:p>
    <w:tbl>
      <w:tblPr>
        <w:tblW w:w="0" w:type="auto"/>
        <w:jc w:val="left"/>
        <w:tblInd w:w="753" w:type="dxa"/>
        <w:tblLayout w:type="fixed"/>
        <w:tblCellMar>
          <w:top w:w="0" w:type="dxa"/>
          <w:left w:w="0" w:type="dxa"/>
          <w:bottom w:w="0" w:type="dxa"/>
          <w:right w:w="0" w:type="dxa"/>
        </w:tblCellMar>
        <w:tblLook w:val="01E0"/>
      </w:tblPr>
      <w:tblGrid>
        <w:gridCol w:w="3055"/>
        <w:gridCol w:w="1913"/>
        <w:gridCol w:w="2846"/>
      </w:tblGrid>
      <w:tr>
        <w:trPr>
          <w:trHeight w:val="347" w:hRule="exact"/>
        </w:trPr>
        <w:tc>
          <w:tcPr>
            <w:tcW w:w="3055" w:type="dxa"/>
            <w:tcBorders>
              <w:top w:val="single" w:sz="6" w:space="0" w:color="000000"/>
              <w:left w:val="single" w:sz="6" w:space="0" w:color="000000"/>
              <w:bottom w:val="single" w:sz="6" w:space="0" w:color="000000"/>
              <w:right w:val="single" w:sz="6" w:space="0" w:color="000000"/>
            </w:tcBorders>
          </w:tcPr>
          <w:p>
            <w:pPr>
              <w:pStyle w:val="TableParagraph"/>
              <w:spacing w:line="271" w:lineRule="exact"/>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913" w:type="dxa"/>
            <w:tcBorders>
              <w:top w:val="single" w:sz="6" w:space="0" w:color="000000"/>
              <w:left w:val="single" w:sz="6" w:space="0" w:color="000000"/>
              <w:bottom w:val="single" w:sz="6" w:space="0" w:color="000000"/>
              <w:right w:val="single" w:sz="6" w:space="0" w:color="000000"/>
            </w:tcBorders>
          </w:tcPr>
          <w:p>
            <w:pPr>
              <w:pStyle w:val="TableParagraph"/>
              <w:spacing w:line="271" w:lineRule="exact"/>
              <w:ind w:left="318" w:right="0"/>
              <w:jc w:val="left"/>
              <w:rPr>
                <w:rFonts w:ascii="宋体" w:hAnsi="宋体" w:cs="宋体" w:eastAsia="宋体" w:hint="default"/>
                <w:sz w:val="21"/>
                <w:szCs w:val="21"/>
              </w:rPr>
            </w:pPr>
            <w:r>
              <w:rPr>
                <w:rFonts w:ascii="宋体" w:hAnsi="宋体" w:cs="宋体" w:eastAsia="宋体" w:hint="default"/>
                <w:sz w:val="21"/>
                <w:szCs w:val="21"/>
              </w:rPr>
              <w:t>预计使用寿命</w:t>
            </w:r>
          </w:p>
        </w:tc>
        <w:tc>
          <w:tcPr>
            <w:tcW w:w="2846" w:type="dxa"/>
            <w:tcBorders>
              <w:top w:val="single" w:sz="6" w:space="0" w:color="000000"/>
              <w:left w:val="single" w:sz="6" w:space="0" w:color="000000"/>
              <w:bottom w:val="single" w:sz="6" w:space="0" w:color="000000"/>
              <w:right w:val="single" w:sz="6" w:space="0" w:color="000000"/>
            </w:tcBorders>
          </w:tcPr>
          <w:p>
            <w:pPr>
              <w:pStyle w:val="TableParagraph"/>
              <w:spacing w:line="271" w:lineRule="exact"/>
              <w:ind w:right="1"/>
              <w:jc w:val="center"/>
              <w:rPr>
                <w:rFonts w:ascii="宋体" w:hAnsi="宋体" w:cs="宋体" w:eastAsia="宋体" w:hint="default"/>
                <w:sz w:val="21"/>
                <w:szCs w:val="21"/>
              </w:rPr>
            </w:pPr>
            <w:r>
              <w:rPr>
                <w:rFonts w:ascii="宋体" w:hAnsi="宋体" w:cs="宋体" w:eastAsia="宋体" w:hint="default"/>
                <w:sz w:val="21"/>
                <w:szCs w:val="21"/>
              </w:rPr>
              <w:t>依据</w:t>
            </w:r>
          </w:p>
        </w:tc>
      </w:tr>
      <w:tr>
        <w:trPr>
          <w:trHeight w:val="347" w:hRule="exact"/>
        </w:trPr>
        <w:tc>
          <w:tcPr>
            <w:tcW w:w="3055" w:type="dxa"/>
            <w:tcBorders>
              <w:top w:val="single" w:sz="6" w:space="0" w:color="000000"/>
              <w:left w:val="single" w:sz="6" w:space="0" w:color="000000"/>
              <w:bottom w:val="single" w:sz="6" w:space="0" w:color="000000"/>
              <w:right w:val="single" w:sz="6" w:space="0" w:color="000000"/>
            </w:tcBorders>
          </w:tcPr>
          <w:p>
            <w:pPr>
              <w:pStyle w:val="TableParagraph"/>
              <w:spacing w:line="271" w:lineRule="exact"/>
              <w:ind w:left="2" w:right="0"/>
              <w:jc w:val="left"/>
              <w:rPr>
                <w:rFonts w:ascii="宋体" w:hAnsi="宋体" w:cs="宋体" w:eastAsia="宋体" w:hint="default"/>
                <w:sz w:val="21"/>
                <w:szCs w:val="21"/>
              </w:rPr>
            </w:pPr>
            <w:r>
              <w:rPr>
                <w:rFonts w:ascii="宋体" w:hAnsi="宋体" w:cs="宋体" w:eastAsia="宋体" w:hint="default"/>
                <w:sz w:val="21"/>
                <w:szCs w:val="21"/>
              </w:rPr>
              <w:t>土地使用权</w:t>
            </w:r>
          </w:p>
        </w:tc>
        <w:tc>
          <w:tcPr>
            <w:tcW w:w="1913" w:type="dxa"/>
            <w:tcBorders>
              <w:top w:val="single" w:sz="6" w:space="0" w:color="000000"/>
              <w:left w:val="single" w:sz="6" w:space="0" w:color="000000"/>
              <w:bottom w:val="single" w:sz="6" w:space="0" w:color="000000"/>
              <w:right w:val="single" w:sz="6" w:space="0" w:color="000000"/>
            </w:tcBorders>
          </w:tcPr>
          <w:p>
            <w:pPr>
              <w:pStyle w:val="TableParagraph"/>
              <w:spacing w:line="287" w:lineRule="exact"/>
              <w:ind w:left="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50</w:t>
            </w:r>
            <w:r>
              <w:rPr>
                <w:rFonts w:ascii="宋体" w:hAnsi="宋体" w:cs="宋体" w:eastAsia="宋体" w:hint="default"/>
                <w:sz w:val="21"/>
                <w:szCs w:val="21"/>
              </w:rPr>
              <w:t>年</w:t>
            </w:r>
          </w:p>
        </w:tc>
        <w:tc>
          <w:tcPr>
            <w:tcW w:w="2846" w:type="dxa"/>
            <w:tcBorders>
              <w:top w:val="single" w:sz="6" w:space="0" w:color="000000"/>
              <w:left w:val="single" w:sz="6" w:space="0" w:color="000000"/>
              <w:bottom w:val="single" w:sz="6" w:space="0" w:color="000000"/>
              <w:right w:val="single" w:sz="6" w:space="0" w:color="000000"/>
            </w:tcBorders>
          </w:tcPr>
          <w:p>
            <w:pPr>
              <w:pStyle w:val="TableParagraph"/>
              <w:spacing w:line="271" w:lineRule="exact"/>
              <w:ind w:left="2" w:right="0"/>
              <w:jc w:val="left"/>
              <w:rPr>
                <w:rFonts w:ascii="宋体" w:hAnsi="宋体" w:cs="宋体" w:eastAsia="宋体" w:hint="default"/>
                <w:sz w:val="21"/>
                <w:szCs w:val="21"/>
              </w:rPr>
            </w:pPr>
            <w:r>
              <w:rPr>
                <w:rFonts w:ascii="宋体" w:hAnsi="宋体" w:cs="宋体" w:eastAsia="宋体" w:hint="default"/>
                <w:sz w:val="21"/>
                <w:szCs w:val="21"/>
              </w:rPr>
              <w:t>土地使用权权证规定年限</w:t>
            </w:r>
          </w:p>
        </w:tc>
      </w:tr>
      <w:tr>
        <w:trPr>
          <w:trHeight w:val="347" w:hRule="exact"/>
        </w:trPr>
        <w:tc>
          <w:tcPr>
            <w:tcW w:w="3055" w:type="dxa"/>
            <w:tcBorders>
              <w:top w:val="single" w:sz="6" w:space="0" w:color="000000"/>
              <w:left w:val="single" w:sz="6" w:space="0" w:color="000000"/>
              <w:bottom w:val="single" w:sz="6" w:space="0" w:color="000000"/>
              <w:right w:val="single" w:sz="6" w:space="0" w:color="000000"/>
            </w:tcBorders>
          </w:tcPr>
          <w:p>
            <w:pPr>
              <w:pStyle w:val="TableParagraph"/>
              <w:spacing w:line="271" w:lineRule="exact"/>
              <w:ind w:left="2" w:right="0"/>
              <w:jc w:val="left"/>
              <w:rPr>
                <w:rFonts w:ascii="宋体" w:hAnsi="宋体" w:cs="宋体" w:eastAsia="宋体" w:hint="default"/>
                <w:sz w:val="21"/>
                <w:szCs w:val="21"/>
              </w:rPr>
            </w:pPr>
            <w:r>
              <w:rPr>
                <w:rFonts w:ascii="宋体" w:hAnsi="宋体" w:cs="宋体" w:eastAsia="宋体" w:hint="default"/>
                <w:sz w:val="21"/>
                <w:szCs w:val="21"/>
              </w:rPr>
              <w:t>专利权</w:t>
            </w:r>
          </w:p>
        </w:tc>
        <w:tc>
          <w:tcPr>
            <w:tcW w:w="1913" w:type="dxa"/>
            <w:tcBorders>
              <w:top w:val="single" w:sz="6" w:space="0" w:color="000000"/>
              <w:left w:val="single" w:sz="6" w:space="0" w:color="000000"/>
              <w:bottom w:val="single" w:sz="6" w:space="0" w:color="000000"/>
              <w:right w:val="single" w:sz="6" w:space="0" w:color="000000"/>
            </w:tcBorders>
          </w:tcPr>
          <w:p>
            <w:pPr>
              <w:pStyle w:val="TableParagraph"/>
              <w:spacing w:line="287" w:lineRule="exact"/>
              <w:ind w:left="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10</w:t>
            </w:r>
            <w:r>
              <w:rPr>
                <w:rFonts w:ascii="宋体" w:hAnsi="宋体" w:cs="宋体" w:eastAsia="宋体" w:hint="default"/>
                <w:sz w:val="21"/>
                <w:szCs w:val="21"/>
              </w:rPr>
              <w:t>年</w:t>
            </w:r>
          </w:p>
        </w:tc>
        <w:tc>
          <w:tcPr>
            <w:tcW w:w="2846" w:type="dxa"/>
            <w:tcBorders>
              <w:top w:val="single" w:sz="6" w:space="0" w:color="000000"/>
              <w:left w:val="single" w:sz="6" w:space="0" w:color="000000"/>
              <w:bottom w:val="single" w:sz="6" w:space="0" w:color="000000"/>
              <w:right w:val="single" w:sz="6" w:space="0" w:color="000000"/>
            </w:tcBorders>
          </w:tcPr>
          <w:p>
            <w:pPr>
              <w:pStyle w:val="TableParagraph"/>
              <w:spacing w:line="271" w:lineRule="exact"/>
              <w:ind w:left="2" w:right="0"/>
              <w:jc w:val="left"/>
              <w:rPr>
                <w:rFonts w:ascii="宋体" w:hAnsi="宋体" w:cs="宋体" w:eastAsia="宋体" w:hint="default"/>
                <w:sz w:val="21"/>
                <w:szCs w:val="21"/>
              </w:rPr>
            </w:pPr>
            <w:r>
              <w:rPr>
                <w:rFonts w:ascii="宋体" w:hAnsi="宋体" w:cs="宋体" w:eastAsia="宋体" w:hint="default"/>
                <w:sz w:val="21"/>
                <w:szCs w:val="21"/>
              </w:rPr>
              <w:t>专利权有效期</w:t>
            </w:r>
          </w:p>
        </w:tc>
      </w:tr>
      <w:tr>
        <w:trPr>
          <w:trHeight w:val="348" w:hRule="exact"/>
        </w:trPr>
        <w:tc>
          <w:tcPr>
            <w:tcW w:w="3055" w:type="dxa"/>
            <w:tcBorders>
              <w:top w:val="single" w:sz="6" w:space="0" w:color="000000"/>
              <w:left w:val="single" w:sz="6" w:space="0" w:color="000000"/>
              <w:bottom w:val="single" w:sz="6" w:space="0" w:color="000000"/>
              <w:right w:val="single" w:sz="6" w:space="0" w:color="000000"/>
            </w:tcBorders>
          </w:tcPr>
          <w:p>
            <w:pPr>
              <w:pStyle w:val="TableParagraph"/>
              <w:spacing w:line="271" w:lineRule="exact"/>
              <w:ind w:left="2" w:right="0"/>
              <w:jc w:val="left"/>
              <w:rPr>
                <w:rFonts w:ascii="宋体" w:hAnsi="宋体" w:cs="宋体" w:eastAsia="宋体" w:hint="default"/>
                <w:sz w:val="21"/>
                <w:szCs w:val="21"/>
              </w:rPr>
            </w:pPr>
            <w:r>
              <w:rPr>
                <w:rFonts w:ascii="宋体" w:hAnsi="宋体" w:cs="宋体" w:eastAsia="宋体" w:hint="default"/>
                <w:sz w:val="21"/>
                <w:szCs w:val="21"/>
              </w:rPr>
              <w:t>软件</w:t>
            </w:r>
          </w:p>
        </w:tc>
        <w:tc>
          <w:tcPr>
            <w:tcW w:w="1913" w:type="dxa"/>
            <w:tcBorders>
              <w:top w:val="single" w:sz="6" w:space="0" w:color="000000"/>
              <w:left w:val="single" w:sz="6" w:space="0" w:color="000000"/>
              <w:bottom w:val="single" w:sz="6" w:space="0" w:color="000000"/>
              <w:right w:val="single" w:sz="6" w:space="0" w:color="000000"/>
            </w:tcBorders>
          </w:tcPr>
          <w:p>
            <w:pPr>
              <w:pStyle w:val="TableParagraph"/>
              <w:spacing w:line="287" w:lineRule="exact"/>
              <w:ind w:left="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5</w:t>
            </w:r>
            <w:r>
              <w:rPr>
                <w:rFonts w:ascii="宋体" w:hAnsi="宋体" w:cs="宋体" w:eastAsia="宋体" w:hint="default"/>
                <w:sz w:val="21"/>
                <w:szCs w:val="21"/>
              </w:rPr>
              <w:t>年</w:t>
            </w:r>
          </w:p>
        </w:tc>
        <w:tc>
          <w:tcPr>
            <w:tcW w:w="2846" w:type="dxa"/>
            <w:tcBorders>
              <w:top w:val="single" w:sz="6" w:space="0" w:color="000000"/>
              <w:left w:val="single" w:sz="6" w:space="0" w:color="000000"/>
              <w:bottom w:val="single" w:sz="6" w:space="0" w:color="000000"/>
              <w:right w:val="single" w:sz="6" w:space="0" w:color="000000"/>
            </w:tcBorders>
          </w:tcPr>
          <w:p>
            <w:pPr>
              <w:pStyle w:val="TableParagraph"/>
              <w:spacing w:line="271" w:lineRule="exact"/>
              <w:ind w:left="2" w:right="0"/>
              <w:jc w:val="left"/>
              <w:rPr>
                <w:rFonts w:ascii="宋体" w:hAnsi="宋体" w:cs="宋体" w:eastAsia="宋体" w:hint="default"/>
                <w:sz w:val="21"/>
                <w:szCs w:val="21"/>
              </w:rPr>
            </w:pPr>
            <w:r>
              <w:rPr>
                <w:rFonts w:ascii="宋体" w:hAnsi="宋体" w:cs="宋体" w:eastAsia="宋体" w:hint="default"/>
                <w:sz w:val="21"/>
                <w:szCs w:val="21"/>
              </w:rPr>
              <w:t>会计估计</w:t>
            </w:r>
          </w:p>
        </w:tc>
      </w:tr>
    </w:tbl>
    <w:p>
      <w:pPr>
        <w:spacing w:line="400" w:lineRule="auto" w:before="63"/>
        <w:ind w:left="721" w:right="1179" w:firstLine="0"/>
        <w:jc w:val="left"/>
        <w:rPr>
          <w:rFonts w:ascii="宋体" w:hAnsi="宋体" w:cs="宋体" w:eastAsia="宋体" w:hint="default"/>
          <w:sz w:val="21"/>
          <w:szCs w:val="21"/>
        </w:rPr>
      </w:pPr>
      <w:r>
        <w:rPr>
          <w:rFonts w:ascii="宋体" w:hAnsi="宋体" w:cs="宋体" w:eastAsia="宋体" w:hint="default"/>
          <w:sz w:val="21"/>
          <w:szCs w:val="21"/>
        </w:rPr>
        <w:t>每年度终了，对使用寿命有限的无形资产的使用寿命及摊销方法进行复核。 经复核，本年期末无形资产的使用寿命及摊销方法与以前估计未有不同。 </w: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使用寿命不确定的无形资产的判断依据以及对其使用寿命进行复核的程序</w:t>
      </w:r>
      <w:r>
        <w:rPr>
          <w:rFonts w:ascii="宋体" w:hAnsi="宋体" w:cs="宋体" w:eastAsia="宋体" w:hint="default"/>
          <w:b/>
          <w:bCs/>
          <w:w w:val="99"/>
          <w:sz w:val="21"/>
          <w:szCs w:val="21"/>
        </w:rPr>
        <w:t> </w:t>
      </w:r>
      <w:r>
        <w:rPr>
          <w:rFonts w:ascii="宋体" w:hAnsi="宋体" w:cs="宋体" w:eastAsia="宋体" w:hint="default"/>
          <w:sz w:val="21"/>
          <w:szCs w:val="21"/>
        </w:rPr>
        <w:t>本公司拥有</w:t>
      </w:r>
      <w:r>
        <w:rPr>
          <w:rFonts w:ascii="Times New Roman" w:hAnsi="Times New Roman" w:cs="Times New Roman" w:eastAsia="Times New Roman" w:hint="default"/>
          <w:sz w:val="21"/>
          <w:szCs w:val="21"/>
        </w:rPr>
        <w:t>“</w:t>
      </w:r>
      <w:r>
        <w:rPr>
          <w:rFonts w:ascii="宋体" w:hAnsi="宋体" w:cs="宋体" w:eastAsia="宋体" w:hint="default"/>
          <w:sz w:val="21"/>
          <w:szCs w:val="21"/>
        </w:rPr>
        <w:t>新开普</w:t>
      </w:r>
      <w:r>
        <w:rPr>
          <w:rFonts w:ascii="Times New Roman" w:hAnsi="Times New Roman" w:cs="Times New Roman" w:eastAsia="Times New Roman" w:hint="default"/>
          <w:sz w:val="21"/>
          <w:szCs w:val="21"/>
        </w:rPr>
        <w:t>”</w:t>
      </w:r>
      <w:r>
        <w:rPr>
          <w:rFonts w:ascii="宋体" w:hAnsi="宋体" w:cs="宋体" w:eastAsia="宋体" w:hint="default"/>
          <w:sz w:val="21"/>
          <w:szCs w:val="21"/>
        </w:rPr>
        <w:t>商标，本公司认为在可预见的将来该商标均会使用并带给本公司预期的经济利</w:t>
      </w:r>
    </w:p>
    <w:p>
      <w:pPr>
        <w:pStyle w:val="BodyText"/>
        <w:spacing w:line="408" w:lineRule="auto" w:before="21"/>
        <w:ind w:left="721" w:right="4515" w:hanging="568"/>
        <w:jc w:val="left"/>
      </w:pPr>
      <w:r>
        <w:rPr/>
        <w:t>益流入，故认定其使用寿命为不确定。 每期末，对使用寿命不确定的无形资产的使用寿命进行复核。</w:t>
      </w:r>
    </w:p>
    <w:p>
      <w:pPr>
        <w:spacing w:after="0" w:line="408" w:lineRule="auto"/>
        <w:jc w:val="left"/>
        <w:sectPr>
          <w:pgSz w:w="11910" w:h="16840"/>
          <w:pgMar w:header="877" w:footer="979" w:top="1060" w:bottom="1160" w:left="980" w:right="0"/>
        </w:sectPr>
      </w:pPr>
    </w:p>
    <w:p>
      <w:pPr>
        <w:spacing w:line="240" w:lineRule="auto" w:before="0"/>
        <w:rPr>
          <w:rFonts w:ascii="宋体" w:hAnsi="宋体" w:cs="宋体" w:eastAsia="宋体" w:hint="default"/>
          <w:sz w:val="20"/>
          <w:szCs w:val="20"/>
        </w:rPr>
      </w:pPr>
    </w:p>
    <w:p>
      <w:pPr>
        <w:pStyle w:val="BodyText"/>
        <w:spacing w:line="240" w:lineRule="auto" w:before="174"/>
        <w:ind w:left="0" w:right="5070"/>
        <w:jc w:val="center"/>
      </w:pPr>
      <w:r>
        <w:rPr/>
        <w:t>经复核，该类无形资产的使用寿命仍为不确定。</w:t>
      </w:r>
    </w:p>
    <w:p>
      <w:pPr>
        <w:spacing w:line="240" w:lineRule="auto" w:before="0"/>
        <w:rPr>
          <w:rFonts w:ascii="宋体" w:hAnsi="宋体" w:cs="宋体" w:eastAsia="宋体" w:hint="default"/>
          <w:sz w:val="20"/>
          <w:szCs w:val="20"/>
        </w:rPr>
      </w:pPr>
    </w:p>
    <w:p>
      <w:pPr>
        <w:pStyle w:val="Heading4"/>
        <w:spacing w:line="240" w:lineRule="auto" w:before="154"/>
        <w:ind w:right="1117"/>
        <w:jc w:val="left"/>
        <w:rPr>
          <w:b w:val="0"/>
          <w:bCs w:val="0"/>
        </w:rPr>
      </w:pPr>
      <w:bookmarkStart w:name="（2）内部研究开发支出会计政策" w:id="197"/>
      <w:bookmarkEnd w:id="197"/>
      <w:r>
        <w:rPr>
          <w:b w:val="0"/>
          <w:bCs w:val="0"/>
        </w:rPr>
      </w:r>
      <w:r>
        <w:rPr/>
        <w:t>（</w:t>
      </w:r>
      <w:r>
        <w:rPr>
          <w:rFonts w:ascii="Times New Roman" w:hAnsi="Times New Roman" w:cs="Times New Roman" w:eastAsia="Times New Roman" w:hint="default"/>
        </w:rPr>
        <w:t>2</w:t>
      </w:r>
      <w:r>
        <w:rPr/>
        <w:t>）内部研究开发支出会计政策</w:t>
      </w:r>
      <w:r>
        <w:rPr>
          <w:b w:val="0"/>
          <w:bCs w:val="0"/>
        </w:rPr>
      </w:r>
    </w:p>
    <w:p>
      <w:pPr>
        <w:spacing w:line="240" w:lineRule="auto" w:before="7"/>
        <w:rPr>
          <w:rFonts w:ascii="宋体" w:hAnsi="宋体" w:cs="宋体" w:eastAsia="宋体" w:hint="default"/>
          <w:b/>
          <w:bCs/>
          <w:sz w:val="30"/>
          <w:szCs w:val="30"/>
        </w:rPr>
      </w:pPr>
    </w:p>
    <w:p>
      <w:pPr>
        <w:pStyle w:val="BodyText"/>
        <w:spacing w:line="400" w:lineRule="auto" w:before="0"/>
        <w:ind w:left="576" w:right="1117" w:firstLine="1"/>
        <w:jc w:val="left"/>
      </w:pPr>
      <w:r>
        <w:rPr>
          <w:rFonts w:ascii="Times New Roman" w:hAnsi="Times New Roman" w:cs="Times New Roman" w:eastAsia="Times New Roman" w:hint="default"/>
          <w:b/>
          <w:bCs/>
        </w:rPr>
        <w:t>1</w:t>
      </w:r>
      <w:r>
        <w:rPr>
          <w:rFonts w:ascii="宋体" w:hAnsi="宋体" w:cs="宋体" w:eastAsia="宋体" w:hint="default"/>
          <w:b/>
          <w:bCs/>
        </w:rPr>
        <w:t>、划分研究阶段和开发阶段的具体标准</w:t>
      </w:r>
      <w:r>
        <w:rPr>
          <w:rFonts w:ascii="宋体" w:hAnsi="宋体" w:cs="宋体" w:eastAsia="宋体" w:hint="default"/>
          <w:b/>
          <w:bCs/>
          <w:w w:val="99"/>
        </w:rPr>
        <w:t> </w:t>
      </w:r>
      <w:r>
        <w:rPr/>
        <w:t>公司内部研究开发项目的支出分为研究阶段支出和开发阶段支出。 研究阶段：为获取并理解新的科学或技术知识等而进行的独创性的有计划调查、研究活动的阶段。 </w:t>
      </w:r>
      <w:r>
        <w:rPr>
          <w:spacing w:val="-1"/>
        </w:rPr>
        <w:t>开发阶段：在进行商业性生产或使用前，将研究成果或其他知识应用于某项计划或设计，以生产出新</w:t>
      </w:r>
    </w:p>
    <w:p>
      <w:pPr>
        <w:spacing w:line="398" w:lineRule="auto" w:before="52"/>
        <w:ind w:left="576" w:right="3400" w:hanging="423"/>
        <w:jc w:val="left"/>
        <w:rPr>
          <w:rFonts w:ascii="宋体" w:hAnsi="宋体" w:cs="宋体" w:eastAsia="宋体" w:hint="default"/>
          <w:sz w:val="21"/>
          <w:szCs w:val="21"/>
        </w:rPr>
      </w:pPr>
      <w:r>
        <w:rPr>
          <w:rFonts w:ascii="宋体" w:hAnsi="宋体" w:cs="宋体" w:eastAsia="宋体" w:hint="default"/>
          <w:sz w:val="21"/>
          <w:szCs w:val="21"/>
        </w:rPr>
        <w:t>的或具有实质性改进的材料、装置、产品等活动的阶段。 </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、开发阶段支出资本化的具体条件</w:t>
      </w:r>
      <w:r>
        <w:rPr>
          <w:rFonts w:ascii="宋体" w:hAnsi="宋体" w:cs="宋体" w:eastAsia="宋体" w:hint="default"/>
          <w:b/>
          <w:bCs/>
          <w:w w:val="99"/>
          <w:sz w:val="21"/>
          <w:szCs w:val="21"/>
        </w:rPr>
        <w:t> </w:t>
      </w:r>
      <w:r>
        <w:rPr>
          <w:rFonts w:ascii="宋体" w:hAnsi="宋体" w:cs="宋体" w:eastAsia="宋体" w:hint="default"/>
          <w:sz w:val="21"/>
          <w:szCs w:val="21"/>
        </w:rPr>
        <w:t>内部研究开发项目开发阶段的支出，同时满足下列条件时确认为无形资产：</w:t>
      </w:r>
    </w:p>
    <w:p>
      <w:pPr>
        <w:pStyle w:val="BodyText"/>
        <w:spacing w:line="240" w:lineRule="auto" w:before="54"/>
        <w:ind w:left="576" w:right="1117"/>
        <w:jc w:val="left"/>
      </w:pPr>
      <w:r>
        <w:rPr/>
        <w:t>（</w:t>
      </w:r>
      <w:r>
        <w:rPr>
          <w:rFonts w:ascii="Times New Roman" w:hAnsi="Times New Roman" w:cs="Times New Roman" w:eastAsia="Times New Roman" w:hint="default"/>
        </w:rPr>
        <w:t>1</w:t>
      </w:r>
      <w:r>
        <w:rPr/>
        <w:t>）完成该无形资产以使其能够使用或出售在技术上具有可行性；</w:t>
      </w:r>
    </w:p>
    <w:p>
      <w:pPr>
        <w:pStyle w:val="BodyText"/>
        <w:spacing w:line="240" w:lineRule="auto" w:before="177"/>
        <w:ind w:left="576" w:right="1117"/>
        <w:jc w:val="left"/>
      </w:pPr>
      <w:r>
        <w:rPr/>
        <w:t>（</w:t>
      </w:r>
      <w:r>
        <w:rPr>
          <w:rFonts w:ascii="Times New Roman" w:hAnsi="Times New Roman" w:cs="Times New Roman" w:eastAsia="Times New Roman" w:hint="default"/>
        </w:rPr>
        <w:t>2</w:t>
      </w:r>
      <w:r>
        <w:rPr/>
        <w:t>）具有完成该无形资产并使用或出售的意图；</w:t>
      </w:r>
    </w:p>
    <w:p>
      <w:pPr>
        <w:pStyle w:val="BodyText"/>
        <w:spacing w:line="386" w:lineRule="auto" w:before="177"/>
        <w:ind w:right="1117" w:firstLine="422"/>
        <w:jc w:val="left"/>
      </w:pPr>
      <w:r>
        <w:rPr/>
        <w:t>（</w:t>
      </w:r>
      <w:r>
        <w:rPr>
          <w:rFonts w:ascii="Times New Roman" w:hAnsi="Times New Roman" w:cs="Times New Roman" w:eastAsia="Times New Roman" w:hint="default"/>
        </w:rPr>
        <w:t>3</w:t>
      </w:r>
      <w:r>
        <w:rPr/>
        <w:t>）无形资产产生经济利益的方式，包括能够证明运用该无形资产生产的产品存在市场或无形资产 自身存在市场，无形资产将在内部使用的，能够证明其有用性；</w:t>
      </w:r>
    </w:p>
    <w:p>
      <w:pPr>
        <w:pStyle w:val="BodyText"/>
        <w:spacing w:line="386" w:lineRule="auto" w:before="65"/>
        <w:ind w:right="1117" w:firstLine="422"/>
        <w:jc w:val="left"/>
      </w:pPr>
      <w:r>
        <w:rPr/>
        <w:t>（</w:t>
      </w:r>
      <w:r>
        <w:rPr>
          <w:rFonts w:ascii="Times New Roman" w:hAnsi="Times New Roman" w:cs="Times New Roman" w:eastAsia="Times New Roman" w:hint="default"/>
        </w:rPr>
        <w:t>4</w:t>
      </w:r>
      <w:r>
        <w:rPr/>
        <w:t>）有足够的技术、财务资源和其他资源支持，以完成该无形资产的开发，并有能力使用或出售该 无形资产；</w:t>
      </w:r>
    </w:p>
    <w:p>
      <w:pPr>
        <w:pStyle w:val="BodyText"/>
        <w:spacing w:line="386" w:lineRule="auto" w:before="65"/>
        <w:ind w:left="576" w:right="1117"/>
        <w:jc w:val="left"/>
      </w:pPr>
      <w:r>
        <w:rPr/>
        <w:t>（</w:t>
      </w:r>
      <w:r>
        <w:rPr>
          <w:rFonts w:ascii="Times New Roman" w:hAnsi="Times New Roman" w:cs="Times New Roman" w:eastAsia="Times New Roman" w:hint="default"/>
        </w:rPr>
        <w:t>5</w:t>
      </w:r>
      <w:r>
        <w:rPr/>
        <w:t>）归属于该无形资产开发阶段的支出能够可靠地计量。 </w:t>
      </w:r>
      <w:r>
        <w:rPr>
          <w:spacing w:val="-1"/>
        </w:rPr>
        <w:t>开发阶段的支出，若不满足上列条件的，于发生时计入当期损益。研究阶段的支出，在发生时计入当</w:t>
      </w:r>
    </w:p>
    <w:p>
      <w:pPr>
        <w:pStyle w:val="BodyText"/>
        <w:spacing w:line="240" w:lineRule="auto" w:before="65"/>
        <w:ind w:right="1117"/>
        <w:jc w:val="left"/>
      </w:pPr>
      <w:r>
        <w:rPr/>
        <w:t>期损益。</w:t>
      </w:r>
    </w:p>
    <w:p>
      <w:pPr>
        <w:pStyle w:val="BodyText"/>
        <w:spacing w:line="670" w:lineRule="atLeast" w:before="37"/>
        <w:ind w:left="577" w:right="1117" w:hanging="424"/>
        <w:jc w:val="left"/>
      </w:pPr>
      <w:bookmarkStart w:name="20、长期资产减值" w:id="198"/>
      <w:bookmarkEnd w:id="198"/>
      <w:r>
        <w:rPr/>
      </w:r>
      <w:r>
        <w:rPr>
          <w:rFonts w:ascii="Times New Roman" w:hAnsi="Times New Roman" w:cs="Times New Roman" w:eastAsia="Times New Roman" w:hint="default"/>
          <w:b/>
          <w:bCs/>
        </w:rPr>
        <w:t>20</w:t>
      </w:r>
      <w:r>
        <w:rPr>
          <w:rFonts w:ascii="宋体" w:hAnsi="宋体" w:cs="宋体" w:eastAsia="宋体" w:hint="default"/>
          <w:b/>
          <w:bCs/>
        </w:rPr>
        <w:t>、长期资产减值</w:t>
      </w:r>
      <w:r>
        <w:rPr>
          <w:rFonts w:ascii="宋体" w:hAnsi="宋体" w:cs="宋体" w:eastAsia="宋体" w:hint="default"/>
          <w:b/>
          <w:bCs/>
          <w:w w:val="99"/>
        </w:rPr>
        <w:t> </w:t>
      </w:r>
      <w:r>
        <w:rPr>
          <w:spacing w:val="-1"/>
        </w:rPr>
        <w:t>长期股权投资、采用成本模式计量的投资性房地产、固定资产、在建工程、使用寿命有限的无形资产</w:t>
      </w:r>
    </w:p>
    <w:p>
      <w:pPr>
        <w:spacing w:line="240" w:lineRule="auto" w:before="10"/>
        <w:rPr>
          <w:rFonts w:ascii="宋体" w:hAnsi="宋体" w:cs="宋体" w:eastAsia="宋体" w:hint="default"/>
          <w:sz w:val="14"/>
          <w:szCs w:val="14"/>
        </w:rPr>
      </w:pPr>
    </w:p>
    <w:p>
      <w:pPr>
        <w:pStyle w:val="BodyText"/>
        <w:spacing w:line="408" w:lineRule="auto" w:before="0"/>
        <w:ind w:right="1131"/>
        <w:jc w:val="both"/>
      </w:pPr>
      <w:r>
        <w:rPr>
          <w:spacing w:val="-1"/>
        </w:rPr>
        <w:t>等长期资产，于资产负债表日存在减值迹象的，进行减值测试。减值测试结果表明资产的可收回金额低于</w:t>
      </w:r>
      <w:r>
        <w:rPr>
          <w:spacing w:val="-83"/>
        </w:rPr>
        <w:t> </w:t>
      </w:r>
      <w:r>
        <w:rPr>
          <w:spacing w:val="-83"/>
        </w:rPr>
      </w:r>
      <w:r>
        <w:rPr>
          <w:spacing w:val="-1"/>
        </w:rPr>
        <w:t>其账面价值的，按其差额计提减值准备并计入减值损失。可收回金额为资产的公允价值减去处置费用后的</w:t>
      </w:r>
      <w:r>
        <w:rPr>
          <w:spacing w:val="-81"/>
        </w:rPr>
        <w:t> </w:t>
      </w:r>
      <w:r>
        <w:rPr>
          <w:spacing w:val="-81"/>
        </w:rPr>
      </w:r>
      <w:r>
        <w:rPr>
          <w:spacing w:val="-1"/>
        </w:rPr>
        <w:t>净额与资产预计未来现金流量的现值两者之间的较高者。资产减值准备按单项资产为基础计算并确认，如</w:t>
      </w:r>
      <w:r>
        <w:rPr>
          <w:spacing w:val="-81"/>
        </w:rPr>
        <w:t> </w:t>
      </w:r>
      <w:r>
        <w:rPr>
          <w:spacing w:val="-81"/>
        </w:rPr>
      </w:r>
      <w:r>
        <w:rPr>
          <w:spacing w:val="-1"/>
        </w:rPr>
        <w:t>果难以对单项资产的可收回金额进行估计的，以该资产所属的资产组确定资产组的可收回金额。资产组是</w:t>
      </w:r>
      <w:r>
        <w:rPr>
          <w:spacing w:val="-81"/>
        </w:rPr>
        <w:t> </w:t>
      </w:r>
      <w:r>
        <w:rPr>
          <w:spacing w:val="-81"/>
        </w:rPr>
      </w:r>
      <w:r>
        <w:rPr/>
        <w:t>能够独立产生现金流入的最小资产组合。</w:t>
      </w:r>
    </w:p>
    <w:p>
      <w:pPr>
        <w:pStyle w:val="BodyText"/>
        <w:spacing w:line="408" w:lineRule="auto"/>
        <w:ind w:left="577" w:right="1117"/>
        <w:jc w:val="left"/>
      </w:pPr>
      <w:r>
        <w:rPr/>
        <w:t>商誉和使用寿命不确定的无形资产至少在每年年度终了进行减值测试。 </w:t>
      </w:r>
      <w:r>
        <w:rPr>
          <w:spacing w:val="-1"/>
        </w:rPr>
        <w:t>本公司进行商誉减值测试，对于因企业合并形成的商誉的账面价值，自购买日起按照合理的方法分摊</w:t>
      </w:r>
    </w:p>
    <w:p>
      <w:pPr>
        <w:pStyle w:val="BodyText"/>
        <w:spacing w:line="240" w:lineRule="auto"/>
        <w:ind w:right="0"/>
        <w:jc w:val="left"/>
      </w:pPr>
      <w:r>
        <w:rPr/>
        <w:t>至相关的资产组；难以分摊至相关的资产组的，将其分摊至相关的资产组组合。在将商誉的账面价值分摊</w:t>
      </w:r>
    </w:p>
    <w:p>
      <w:pPr>
        <w:spacing w:after="0" w:line="240" w:lineRule="auto"/>
        <w:jc w:val="left"/>
        <w:sectPr>
          <w:pgSz w:w="11910" w:h="16840"/>
          <w:pgMar w:header="877" w:footer="979" w:top="1060" w:bottom="1160" w:left="980" w:right="0"/>
        </w:sectPr>
      </w:pPr>
    </w:p>
    <w:p>
      <w:pPr>
        <w:spacing w:line="240" w:lineRule="auto" w:before="0"/>
        <w:rPr>
          <w:rFonts w:ascii="宋体" w:hAnsi="宋体" w:cs="宋体" w:eastAsia="宋体" w:hint="default"/>
          <w:sz w:val="20"/>
          <w:szCs w:val="20"/>
        </w:rPr>
      </w:pPr>
    </w:p>
    <w:p>
      <w:pPr>
        <w:pStyle w:val="BodyText"/>
        <w:spacing w:line="408" w:lineRule="auto" w:before="174"/>
        <w:ind w:left="254" w:right="1131"/>
        <w:jc w:val="both"/>
      </w:pPr>
      <w:r>
        <w:rPr>
          <w:spacing w:val="-1"/>
        </w:rPr>
        <w:t>至相关的资产组或者资产组组合时，按照各资产组或者资产组组合的公允价值占相关资产组或者资产组组</w:t>
      </w:r>
      <w:r>
        <w:rPr>
          <w:spacing w:val="-81"/>
        </w:rPr>
        <w:t> </w:t>
      </w:r>
      <w:r>
        <w:rPr>
          <w:spacing w:val="-81"/>
        </w:rPr>
      </w:r>
      <w:r>
        <w:rPr>
          <w:spacing w:val="-1"/>
        </w:rPr>
        <w:t>合公允价值总额的比例进行分摊。公允价值难以可靠计量的，按照各资产组或者资产组组合的账面价值占</w:t>
      </w:r>
      <w:r>
        <w:rPr>
          <w:spacing w:val="-81"/>
        </w:rPr>
        <w:t> </w:t>
      </w:r>
      <w:r>
        <w:rPr>
          <w:spacing w:val="-81"/>
        </w:rPr>
      </w:r>
      <w:r>
        <w:rPr/>
        <w:t>相关资产组或者资产组组合账面价值总额的比例进行分摊。</w:t>
      </w:r>
    </w:p>
    <w:p>
      <w:pPr>
        <w:pStyle w:val="BodyText"/>
        <w:spacing w:line="408" w:lineRule="auto"/>
        <w:ind w:left="254" w:right="127" w:firstLine="423"/>
        <w:jc w:val="left"/>
      </w:pPr>
      <w:r>
        <w:rPr/>
        <w:t>在对包含商誉的相关资产组或者资产组组合进行减值测试时，如与商誉相关的资产组或者资产组组合 存在减值迹象的，先对不包含商誉的资产组或者资产组组合进行减值测试，计算可收回金额，并与相关账 面价值相比较，确认相应的减值损失。再对包含商誉的资产组或者资产组组合进行减值测试，比较这些相 关资产组或者资产组组合的账面价值（包括所分摊的商誉的账面价值部分）与其可收回金额，如相关资产 组或者资产组组合的可收回金额低于其账面价值的，确认商誉的减值损失。上述资产减值损失一经确认，</w:t>
      </w:r>
      <w:r>
        <w:rPr>
          <w:spacing w:val="-38"/>
        </w:rPr>
        <w:t> </w:t>
      </w:r>
      <w:r>
        <w:rPr>
          <w:spacing w:val="-38"/>
        </w:rPr>
      </w:r>
      <w:r>
        <w:rPr/>
        <w:t>在以后会计期间不予转回。</w:t>
      </w:r>
    </w:p>
    <w:p>
      <w:pPr>
        <w:spacing w:line="240" w:lineRule="auto" w:before="8"/>
        <w:rPr>
          <w:rFonts w:ascii="宋体" w:hAnsi="宋体" w:cs="宋体" w:eastAsia="宋体" w:hint="default"/>
          <w:sz w:val="20"/>
          <w:szCs w:val="20"/>
        </w:rPr>
      </w:pPr>
    </w:p>
    <w:p>
      <w:pPr>
        <w:pStyle w:val="Heading4"/>
        <w:spacing w:line="240" w:lineRule="auto"/>
        <w:ind w:left="254" w:right="127"/>
        <w:jc w:val="left"/>
        <w:rPr>
          <w:b w:val="0"/>
          <w:bCs w:val="0"/>
        </w:rPr>
      </w:pPr>
      <w:bookmarkStart w:name="21、长期待摊费用" w:id="199"/>
      <w:bookmarkEnd w:id="199"/>
      <w:r>
        <w:rPr>
          <w:b w:val="0"/>
          <w:bCs w:val="0"/>
        </w:rPr>
      </w:r>
      <w:r>
        <w:rPr>
          <w:rFonts w:ascii="Times New Roman" w:hAnsi="Times New Roman" w:cs="Times New Roman" w:eastAsia="Times New Roman" w:hint="default"/>
        </w:rPr>
        <w:t>21</w:t>
      </w:r>
      <w:r>
        <w:rPr/>
        <w:t>、长期待摊费用</w:t>
      </w:r>
      <w:r>
        <w:rPr>
          <w:b w:val="0"/>
          <w:bCs w:val="0"/>
        </w:rPr>
      </w:r>
    </w:p>
    <w:p>
      <w:pPr>
        <w:spacing w:line="240" w:lineRule="auto" w:before="7"/>
        <w:rPr>
          <w:rFonts w:ascii="宋体" w:hAnsi="宋体" w:cs="宋体" w:eastAsia="宋体" w:hint="default"/>
          <w:b/>
          <w:bCs/>
          <w:sz w:val="30"/>
          <w:szCs w:val="30"/>
        </w:rPr>
      </w:pPr>
    </w:p>
    <w:p>
      <w:pPr>
        <w:pStyle w:val="BodyText"/>
        <w:spacing w:line="408" w:lineRule="auto" w:before="0"/>
        <w:ind w:left="254" w:right="127" w:firstLine="423"/>
        <w:jc w:val="left"/>
      </w:pPr>
      <w:r>
        <w:rPr>
          <w:spacing w:val="-1"/>
        </w:rPr>
        <w:t>长期待摊费用为已经发生但应由本期和以后各期负担的分摊期限在一年以上的各项费用。本公司长期</w:t>
      </w:r>
      <w:r>
        <w:rPr/>
        <w:t> 待摊费用包括租入房屋改良支出、车辆租赁服务支出、法定披露及网站域名邮箱等服务。</w:t>
      </w:r>
    </w:p>
    <w:p>
      <w:pPr>
        <w:spacing w:line="408" w:lineRule="auto" w:before="46"/>
        <w:ind w:left="677" w:right="6759" w:hanging="2"/>
        <w:jc w:val="left"/>
        <w:rPr>
          <w:rFonts w:ascii="宋体" w:hAnsi="宋体" w:cs="宋体" w:eastAsia="宋体" w:hint="default"/>
          <w:sz w:val="21"/>
          <w:szCs w:val="21"/>
        </w:rPr>
      </w:pPr>
      <w:r>
        <w:rPr>
          <w:rFonts w:ascii="宋体" w:hAnsi="宋体" w:cs="宋体" w:eastAsia="宋体" w:hint="default"/>
          <w:b/>
          <w:bCs/>
          <w:sz w:val="21"/>
          <w:szCs w:val="21"/>
        </w:rPr>
        <w:t>1.</w:t>
      </w:r>
      <w:r>
        <w:rPr>
          <w:rFonts w:ascii="宋体" w:hAnsi="宋体" w:cs="宋体" w:eastAsia="宋体" w:hint="default"/>
          <w:b/>
          <w:bCs/>
          <w:sz w:val="21"/>
          <w:szCs w:val="21"/>
        </w:rPr>
        <w:t>摊销方法</w:t>
      </w:r>
      <w:r>
        <w:rPr>
          <w:rFonts w:ascii="宋体" w:hAnsi="宋体" w:cs="宋体" w:eastAsia="宋体" w:hint="default"/>
          <w:b/>
          <w:bCs/>
          <w:w w:val="99"/>
          <w:sz w:val="21"/>
          <w:szCs w:val="21"/>
        </w:rPr>
        <w:t> </w:t>
      </w:r>
      <w:r>
        <w:rPr>
          <w:rFonts w:ascii="宋体" w:hAnsi="宋体" w:cs="宋体" w:eastAsia="宋体" w:hint="default"/>
          <w:sz w:val="21"/>
          <w:szCs w:val="21"/>
        </w:rPr>
        <w:t>长期待摊费用在受益期内平均摊销 </w:t>
      </w:r>
      <w:r>
        <w:rPr>
          <w:rFonts w:ascii="宋体" w:hAnsi="宋体" w:cs="宋体" w:eastAsia="宋体" w:hint="default"/>
          <w:b/>
          <w:bCs/>
          <w:sz w:val="21"/>
          <w:szCs w:val="21"/>
        </w:rPr>
        <w:t>2.</w:t>
      </w:r>
      <w:r>
        <w:rPr>
          <w:rFonts w:ascii="宋体" w:hAnsi="宋体" w:cs="宋体" w:eastAsia="宋体" w:hint="default"/>
          <w:b/>
          <w:bCs/>
          <w:sz w:val="21"/>
          <w:szCs w:val="21"/>
        </w:rPr>
        <w:t>摊销年限</w:t>
      </w:r>
      <w:r>
        <w:rPr>
          <w:rFonts w:ascii="宋体" w:hAnsi="宋体" w:cs="宋体" w:eastAsia="宋体" w:hint="default"/>
          <w:b/>
          <w:bCs/>
          <w:w w:val="99"/>
          <w:sz w:val="21"/>
          <w:szCs w:val="21"/>
        </w:rPr>
        <w:t> </w:t>
      </w:r>
      <w:r>
        <w:rPr>
          <w:rFonts w:ascii="宋体" w:hAnsi="宋体" w:cs="宋体" w:eastAsia="宋体" w:hint="default"/>
          <w:sz w:val="21"/>
          <w:szCs w:val="21"/>
        </w:rPr>
        <w:t>长期待摊费用的摊销年限为受益期间。</w:t>
      </w:r>
    </w:p>
    <w:p>
      <w:pPr>
        <w:spacing w:line="240" w:lineRule="auto" w:before="8"/>
        <w:rPr>
          <w:rFonts w:ascii="宋体" w:hAnsi="宋体" w:cs="宋体" w:eastAsia="宋体" w:hint="default"/>
          <w:sz w:val="20"/>
          <w:szCs w:val="20"/>
        </w:rPr>
      </w:pPr>
    </w:p>
    <w:p>
      <w:pPr>
        <w:pStyle w:val="Heading4"/>
        <w:spacing w:line="240" w:lineRule="auto"/>
        <w:ind w:left="254" w:right="127"/>
        <w:jc w:val="left"/>
        <w:rPr>
          <w:b w:val="0"/>
          <w:bCs w:val="0"/>
        </w:rPr>
      </w:pPr>
      <w:bookmarkStart w:name="22、职工薪酬" w:id="200"/>
      <w:bookmarkEnd w:id="200"/>
      <w:r>
        <w:rPr>
          <w:b w:val="0"/>
          <w:bCs w:val="0"/>
        </w:rPr>
      </w:r>
      <w:r>
        <w:rPr>
          <w:rFonts w:ascii="Times New Roman" w:hAnsi="Times New Roman" w:cs="Times New Roman" w:eastAsia="Times New Roman" w:hint="default"/>
        </w:rPr>
        <w:t>22</w:t>
      </w:r>
      <w:r>
        <w:rPr/>
        <w:t>、职工薪酬</w:t>
      </w:r>
      <w:r>
        <w:rPr>
          <w:b w:val="0"/>
          <w:bCs w:val="0"/>
        </w:rPr>
      </w:r>
    </w:p>
    <w:p>
      <w:pPr>
        <w:spacing w:line="240" w:lineRule="auto" w:before="7"/>
        <w:rPr>
          <w:rFonts w:ascii="宋体" w:hAnsi="宋体" w:cs="宋体" w:eastAsia="宋体" w:hint="default"/>
          <w:b/>
          <w:bCs/>
          <w:sz w:val="30"/>
          <w:szCs w:val="30"/>
        </w:rPr>
      </w:pPr>
    </w:p>
    <w:p>
      <w:pPr>
        <w:spacing w:line="386" w:lineRule="auto" w:before="0"/>
        <w:ind w:left="676" w:right="127" w:hanging="563"/>
        <w:jc w:val="left"/>
        <w:rPr>
          <w:rFonts w:ascii="宋体" w:hAnsi="宋体" w:cs="宋体" w:eastAsia="宋体" w:hint="default"/>
          <w:sz w:val="21"/>
          <w:szCs w:val="21"/>
        </w:rPr>
      </w:pPr>
      <w:bookmarkStart w:name="（1）短期薪酬的会计处理方法" w:id="201"/>
      <w:bookmarkEnd w:id="201"/>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）短期薪酬的会计处理方法</w:t>
      </w:r>
      <w:r>
        <w:rPr>
          <w:rFonts w:ascii="宋体" w:hAnsi="宋体" w:cs="宋体" w:eastAsia="宋体" w:hint="default"/>
          <w:b/>
          <w:bCs/>
          <w:w w:val="99"/>
          <w:sz w:val="21"/>
          <w:szCs w:val="21"/>
        </w:rPr>
        <w:t> </w:t>
      </w:r>
      <w:r>
        <w:rPr>
          <w:rFonts w:ascii="宋体" w:hAnsi="宋体" w:cs="宋体" w:eastAsia="宋体" w:hint="default"/>
          <w:spacing w:val="-1"/>
          <w:sz w:val="21"/>
          <w:szCs w:val="21"/>
        </w:rPr>
        <w:t>本公司在职工为本公司提供服务的会计期间，将实际发生的短期薪酬确认为负债，并计入当期损益或</w:t>
      </w:r>
    </w:p>
    <w:p>
      <w:pPr>
        <w:pStyle w:val="BodyText"/>
        <w:spacing w:line="408" w:lineRule="auto" w:before="65"/>
        <w:ind w:left="676" w:right="127" w:hanging="423"/>
        <w:jc w:val="left"/>
      </w:pPr>
      <w:r>
        <w:rPr/>
        <w:t>相关资产成本。 </w:t>
      </w:r>
      <w:r>
        <w:rPr>
          <w:spacing w:val="-1"/>
        </w:rPr>
        <w:t>本公司为职工缴纳的社会保险费和住房公积金，以及按规定提取的工会经费和职工教育经费，在职工</w:t>
      </w:r>
    </w:p>
    <w:p>
      <w:pPr>
        <w:pStyle w:val="BodyText"/>
        <w:spacing w:line="408" w:lineRule="auto"/>
        <w:ind w:left="676" w:right="1933" w:hanging="423"/>
        <w:jc w:val="left"/>
      </w:pPr>
      <w:r>
        <w:rPr/>
        <w:t>为本公司提供服务的会计期间，根据规定的计提基础和计提比例计算确定相应的职工薪酬金额。 职工福利费为非货币性福利的，如能够可靠计量的，按照公允价值计量。</w:t>
      </w:r>
    </w:p>
    <w:p>
      <w:pPr>
        <w:pStyle w:val="Heading4"/>
        <w:spacing w:line="386" w:lineRule="auto" w:before="46"/>
        <w:ind w:left="677" w:right="7798" w:hanging="564"/>
        <w:jc w:val="left"/>
        <w:rPr>
          <w:b w:val="0"/>
          <w:bCs w:val="0"/>
        </w:rPr>
      </w:pPr>
      <w:bookmarkStart w:name="（2）离职后福利的会计处理方法" w:id="202"/>
      <w:bookmarkEnd w:id="202"/>
      <w:r>
        <w:rPr>
          <w:b w:val="0"/>
          <w:bCs w:val="0"/>
        </w:rPr>
      </w:r>
      <w:r>
        <w:rPr/>
        <w:t>（</w:t>
      </w:r>
      <w:r>
        <w:rPr>
          <w:rFonts w:ascii="Times New Roman" w:hAnsi="Times New Roman" w:cs="Times New Roman" w:eastAsia="Times New Roman" w:hint="default"/>
        </w:rPr>
        <w:t>2</w:t>
      </w:r>
      <w:r>
        <w:rPr/>
        <w:t>）离职后福利的会计处理方法</w:t>
      </w:r>
      <w:r>
        <w:rPr>
          <w:w w:val="99"/>
        </w:rPr>
        <w:t> </w:t>
      </w:r>
      <w:r>
        <w:rPr>
          <w:rFonts w:ascii="宋体" w:hAnsi="宋体" w:cs="宋体" w:eastAsia="宋体" w:hint="default"/>
        </w:rPr>
        <w:t>1.</w:t>
      </w:r>
      <w:r>
        <w:rPr/>
        <w:t>短期薪酬的会计处理方法</w:t>
      </w:r>
      <w:r>
        <w:rPr>
          <w:b w:val="0"/>
          <w:bCs w:val="0"/>
        </w:rPr>
      </w:r>
    </w:p>
    <w:p>
      <w:pPr>
        <w:pStyle w:val="BodyText"/>
        <w:spacing w:line="408" w:lineRule="auto" w:before="65"/>
        <w:ind w:left="254" w:right="127" w:firstLine="422"/>
        <w:jc w:val="left"/>
      </w:pPr>
      <w:r>
        <w:rPr>
          <w:spacing w:val="-1"/>
        </w:rPr>
        <w:t>本公司在职工为本公司提供服务的会计期间，将实际发生的短期薪酬确认为负债，并计入当期损益或</w:t>
      </w:r>
      <w:r>
        <w:rPr/>
        <w:t> 相关资产成本。</w:t>
      </w:r>
    </w:p>
    <w:p>
      <w:pPr>
        <w:pStyle w:val="BodyText"/>
        <w:spacing w:line="240" w:lineRule="auto"/>
        <w:ind w:left="676" w:right="127"/>
        <w:jc w:val="left"/>
      </w:pPr>
      <w:r>
        <w:rPr/>
        <w:t>本公司为职工缴纳的社会保险费和住房公积金，以及按规定提取的工会经费和职工教育经费，在职工</w:t>
      </w:r>
    </w:p>
    <w:p>
      <w:pPr>
        <w:spacing w:after="0" w:line="240" w:lineRule="auto"/>
        <w:jc w:val="left"/>
        <w:sectPr>
          <w:pgSz w:w="11910" w:h="16840"/>
          <w:pgMar w:header="877" w:footer="979" w:top="1060" w:bottom="1160" w:left="880" w:right="0"/>
        </w:sectPr>
      </w:pPr>
    </w:p>
    <w:p>
      <w:pPr>
        <w:spacing w:line="240" w:lineRule="auto" w:before="0"/>
        <w:rPr>
          <w:rFonts w:ascii="宋体" w:hAnsi="宋体" w:cs="宋体" w:eastAsia="宋体" w:hint="default"/>
          <w:sz w:val="20"/>
          <w:szCs w:val="20"/>
        </w:rPr>
      </w:pPr>
    </w:p>
    <w:p>
      <w:pPr>
        <w:pStyle w:val="BodyText"/>
        <w:spacing w:line="408" w:lineRule="auto" w:before="174"/>
        <w:ind w:left="676" w:right="1933" w:hanging="423"/>
        <w:jc w:val="left"/>
        <w:rPr>
          <w:rFonts w:ascii="宋体" w:hAnsi="宋体" w:cs="宋体" w:eastAsia="宋体" w:hint="default"/>
        </w:rPr>
      </w:pPr>
      <w:r>
        <w:rPr/>
        <w:t>为本公司提供服务的会计期间，根据规定的计提基础和计提比例计算确定相应的职工薪酬金额。 职工福利费为非货币性福利的，如能够可靠计量的，按照公允价值计量。 </w:t>
      </w:r>
      <w:r>
        <w:rPr>
          <w:rFonts w:ascii="宋体" w:hAnsi="宋体" w:cs="宋体" w:eastAsia="宋体" w:hint="default"/>
          <w:b/>
          <w:bCs/>
        </w:rPr>
        <w:t>2.</w:t>
      </w:r>
      <w:r>
        <w:rPr>
          <w:rFonts w:ascii="宋体" w:hAnsi="宋体" w:cs="宋体" w:eastAsia="宋体" w:hint="default"/>
          <w:b/>
          <w:bCs/>
        </w:rPr>
        <w:t>离职后福利的会计处理方法</w:t>
      </w:r>
      <w:r>
        <w:rPr>
          <w:rFonts w:ascii="宋体" w:hAnsi="宋体" w:cs="宋体" w:eastAsia="宋体" w:hint="default"/>
        </w:rPr>
      </w:r>
    </w:p>
    <w:p>
      <w:pPr>
        <w:pStyle w:val="BodyText"/>
        <w:spacing w:line="408" w:lineRule="auto"/>
        <w:ind w:left="676" w:right="127"/>
        <w:jc w:val="left"/>
      </w:pPr>
      <w:r>
        <w:rPr/>
        <w:t>①设定提存计划 </w:t>
      </w:r>
      <w:r>
        <w:rPr>
          <w:spacing w:val="-1"/>
        </w:rPr>
        <w:t>本公司按当地政府的相关规定为职工缴纳基本养老保险和失业保险，在职工为本公司提供服务的会计</w:t>
      </w:r>
    </w:p>
    <w:p>
      <w:pPr>
        <w:pStyle w:val="BodyText"/>
        <w:spacing w:line="408" w:lineRule="auto"/>
        <w:ind w:left="676" w:right="127" w:hanging="423"/>
        <w:jc w:val="left"/>
      </w:pPr>
      <w:r>
        <w:rPr/>
        <w:t>期间，按以当地规定的缴纳基数和比例计算应缴纳金额，确认为负债，并计入当期损益或相关资产成本。</w:t>
      </w:r>
      <w:r>
        <w:rPr>
          <w:spacing w:val="-38"/>
        </w:rPr>
        <w:t> </w:t>
      </w:r>
      <w:r>
        <w:rPr>
          <w:spacing w:val="-38"/>
        </w:rPr>
      </w:r>
      <w:r>
        <w:rPr/>
        <w:t>除基本养老保险外，本公司还依据国家企业年金制度的相关政策建立了企业年金缴费制度（补充养老</w:t>
      </w:r>
    </w:p>
    <w:p>
      <w:pPr>
        <w:pStyle w:val="BodyText"/>
        <w:spacing w:line="386" w:lineRule="auto"/>
        <w:ind w:left="254" w:right="1185"/>
        <w:jc w:val="left"/>
      </w:pPr>
      <w:r>
        <w:rPr/>
        <w:t>保险）</w:t>
      </w:r>
      <w:r>
        <w:rPr>
          <w:rFonts w:ascii="Times New Roman" w:hAnsi="Times New Roman" w:cs="Times New Roman" w:eastAsia="Times New Roman" w:hint="default"/>
        </w:rPr>
        <w:t>/</w:t>
      </w:r>
      <w:r>
        <w:rPr/>
        <w:t>企业年金计划。本公司按职工工资总额的一定比例向当地社会保险机构缴费</w:t>
      </w:r>
      <w:r>
        <w:rPr>
          <w:rFonts w:ascii="Times New Roman" w:hAnsi="Times New Roman" w:cs="Times New Roman" w:eastAsia="Times New Roman" w:hint="default"/>
        </w:rPr>
        <w:t>/</w:t>
      </w:r>
      <w:r>
        <w:rPr/>
        <w:t>年金计划缴费，相应 支出计入当期损益或相关资产成本。</w:t>
      </w:r>
    </w:p>
    <w:p>
      <w:pPr>
        <w:pStyle w:val="BodyText"/>
        <w:spacing w:line="408" w:lineRule="auto" w:before="65"/>
        <w:ind w:left="676" w:right="1300"/>
        <w:jc w:val="left"/>
      </w:pPr>
      <w:r>
        <w:rPr/>
        <w:t>②设定受益计划 本公司根据预期累计福利单位法确定的公式将设定受益计划产生的福利义务归属于职工提供服务的</w:t>
      </w:r>
    </w:p>
    <w:p>
      <w:pPr>
        <w:pStyle w:val="BodyText"/>
        <w:spacing w:line="408" w:lineRule="auto"/>
        <w:ind w:left="676" w:right="1300" w:hanging="423"/>
        <w:jc w:val="left"/>
      </w:pPr>
      <w:r>
        <w:rPr/>
        <w:t>期间，并计入当期损益或相关资产成本。 设定受益计划义务现值减去设定受益计划资产公允价值所形成的赤字或盈余确认为一项设定受益计</w:t>
      </w:r>
    </w:p>
    <w:p>
      <w:pPr>
        <w:pStyle w:val="BodyText"/>
        <w:spacing w:line="408" w:lineRule="auto"/>
        <w:ind w:left="254" w:right="127"/>
        <w:jc w:val="left"/>
      </w:pPr>
      <w:r>
        <w:rPr>
          <w:spacing w:val="-1"/>
        </w:rPr>
        <w:t>划净负债或净资产。设定受益计划存在盈余的，本公司以设定受益计划的盈余和资产上限两项的孰低者计</w:t>
      </w:r>
      <w:r>
        <w:rPr>
          <w:spacing w:val="-81"/>
        </w:rPr>
        <w:t> </w:t>
      </w:r>
      <w:r>
        <w:rPr>
          <w:spacing w:val="-81"/>
        </w:rPr>
      </w:r>
      <w:r>
        <w:rPr/>
        <w:t>量设定受益计划净资产。</w:t>
      </w:r>
    </w:p>
    <w:p>
      <w:pPr>
        <w:pStyle w:val="BodyText"/>
        <w:spacing w:line="408" w:lineRule="auto"/>
        <w:ind w:left="254" w:right="127" w:firstLine="422"/>
        <w:jc w:val="left"/>
      </w:pPr>
      <w:r>
        <w:rPr/>
        <w:t>所有设定受益计划义务，包括预期在职工提供服务的年度报告期间结束后的十二个月内支付的义务， 根据资产负债表日与设定受益计划义务期限和币种相匹配的国债或活跃市场上的高质量公司债券的市场 收益率予以折现。</w:t>
      </w:r>
    </w:p>
    <w:p>
      <w:pPr>
        <w:pStyle w:val="BodyText"/>
        <w:spacing w:line="408" w:lineRule="auto"/>
        <w:ind w:left="254" w:right="127" w:firstLine="422"/>
        <w:jc w:val="left"/>
      </w:pPr>
      <w:r>
        <w:rPr/>
        <w:t>设定受益计划产生的服务成本和设定受益计划净负债或净资产的利息净额计入当期损益或相关资产 成本；重新计量设定受益计划净负债或净资产所产生的变动计入其他综合收益，并且在后续会计期间不转 回至损益，在原设定受益计划终止时在权益范围内将原计入其他综合收益的部分全部结转至未分配利润。</w:t>
      </w:r>
    </w:p>
    <w:p>
      <w:pPr>
        <w:pStyle w:val="BodyText"/>
        <w:spacing w:line="408" w:lineRule="auto"/>
        <w:ind w:left="254" w:right="127" w:firstLine="422"/>
        <w:jc w:val="left"/>
      </w:pPr>
      <w:r>
        <w:rPr>
          <w:spacing w:val="-1"/>
        </w:rPr>
        <w:t>在设定受益计划结算时，按在结算日确定的设定受益计划义务现值和结算价格两者的差额，确认结算</w:t>
      </w:r>
      <w:r>
        <w:rPr/>
        <w:t> 利得或损失。</w:t>
      </w:r>
    </w:p>
    <w:p>
      <w:pPr>
        <w:pStyle w:val="BodyText"/>
        <w:spacing w:line="240" w:lineRule="auto"/>
        <w:ind w:left="676" w:right="127"/>
        <w:jc w:val="left"/>
      </w:pPr>
      <w:r>
        <w:rPr/>
        <w:t>详见本附注</w:t>
      </w:r>
      <w:r>
        <w:rPr>
          <w:rFonts w:ascii="Times New Roman" w:hAnsi="Times New Roman" w:cs="Times New Roman" w:eastAsia="Times New Roman" w:hint="default"/>
        </w:rPr>
        <w:t>“</w:t>
      </w:r>
      <w:r>
        <w:rPr/>
        <w:t>五、</w:t>
      </w:r>
      <w:r>
        <w:rPr>
          <w:rFonts w:ascii="Times New Roman" w:hAnsi="Times New Roman" w:cs="Times New Roman" w:eastAsia="Times New Roman" w:hint="default"/>
        </w:rPr>
        <w:t>(</w:t>
      </w:r>
      <w:r>
        <w:rPr/>
        <w:t>二十二</w:t>
      </w:r>
      <w:r>
        <w:rPr>
          <w:rFonts w:ascii="Times New Roman" w:hAnsi="Times New Roman" w:cs="Times New Roman" w:eastAsia="Times New Roman" w:hint="default"/>
        </w:rPr>
        <w:t>)</w:t>
      </w:r>
      <w:r>
        <w:rPr/>
        <w:t>应付职工薪酬</w:t>
      </w:r>
      <w:r>
        <w:rPr>
          <w:rFonts w:ascii="Times New Roman" w:hAnsi="Times New Roman" w:cs="Times New Roman" w:eastAsia="Times New Roman" w:hint="default"/>
        </w:rPr>
        <w:t>”</w:t>
      </w:r>
      <w:r>
        <w:rPr/>
        <w:t>。</w:t>
      </w:r>
    </w:p>
    <w:p>
      <w:pPr>
        <w:spacing w:line="386" w:lineRule="auto" w:before="177"/>
        <w:ind w:left="676" w:right="127" w:hanging="563"/>
        <w:jc w:val="left"/>
        <w:rPr>
          <w:rFonts w:ascii="宋体" w:hAnsi="宋体" w:cs="宋体" w:eastAsia="宋体" w:hint="default"/>
          <w:sz w:val="21"/>
          <w:szCs w:val="21"/>
        </w:rPr>
      </w:pPr>
      <w:bookmarkStart w:name="（3）辞退福利的会计处理方法" w:id="203"/>
      <w:bookmarkEnd w:id="203"/>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）辞退福利的会计处理方法</w:t>
      </w:r>
      <w:r>
        <w:rPr>
          <w:rFonts w:ascii="宋体" w:hAnsi="宋体" w:cs="宋体" w:eastAsia="宋体" w:hint="default"/>
          <w:b/>
          <w:bCs/>
          <w:w w:val="99"/>
          <w:sz w:val="21"/>
          <w:szCs w:val="21"/>
        </w:rPr>
        <w:t> </w:t>
      </w:r>
      <w:r>
        <w:rPr>
          <w:rFonts w:ascii="宋体" w:hAnsi="宋体" w:cs="宋体" w:eastAsia="宋体" w:hint="default"/>
          <w:spacing w:val="-1"/>
          <w:sz w:val="21"/>
          <w:szCs w:val="21"/>
        </w:rPr>
        <w:t>本公司在不能单方面撤回因解除劳动关系计划或裁减建议所提供的辞退福利时，或确认与涉及支付辞</w:t>
      </w:r>
    </w:p>
    <w:p>
      <w:pPr>
        <w:pStyle w:val="BodyText"/>
        <w:spacing w:line="240" w:lineRule="auto" w:before="65"/>
        <w:ind w:left="254" w:right="127"/>
        <w:jc w:val="left"/>
      </w:pPr>
      <w:r>
        <w:rPr/>
        <w:t>退福利的重组相关的成本或费用时（两者孰早），确认辞退福利产生的职工薪酬负债，并计入当期损益。</w:t>
      </w:r>
    </w:p>
    <w:p>
      <w:pPr>
        <w:spacing w:after="0" w:line="240" w:lineRule="auto"/>
        <w:jc w:val="left"/>
        <w:sectPr>
          <w:pgSz w:w="11910" w:h="16840"/>
          <w:pgMar w:header="877" w:footer="979" w:top="1060" w:bottom="1160" w:left="880" w:right="0"/>
        </w:sectPr>
      </w:pPr>
    </w:p>
    <w:p>
      <w:pPr>
        <w:spacing w:line="240" w:lineRule="auto" w:before="0"/>
        <w:rPr>
          <w:rFonts w:ascii="宋体" w:hAnsi="宋体" w:cs="宋体" w:eastAsia="宋体" w:hint="default"/>
          <w:sz w:val="20"/>
          <w:szCs w:val="20"/>
        </w:rPr>
      </w:pPr>
    </w:p>
    <w:p>
      <w:pPr>
        <w:pStyle w:val="Heading4"/>
        <w:spacing w:line="240" w:lineRule="auto" w:before="174"/>
        <w:ind w:right="1117"/>
        <w:jc w:val="left"/>
        <w:rPr>
          <w:b w:val="0"/>
          <w:bCs w:val="0"/>
        </w:rPr>
      </w:pPr>
      <w:bookmarkStart w:name="（4）其他长期职工福利的会计处理方法" w:id="204"/>
      <w:bookmarkEnd w:id="204"/>
      <w:r>
        <w:rPr>
          <w:b w:val="0"/>
          <w:bCs w:val="0"/>
        </w:rPr>
      </w:r>
      <w:r>
        <w:rPr/>
        <w:t>（</w:t>
      </w:r>
      <w:r>
        <w:rPr>
          <w:rFonts w:ascii="Times New Roman" w:hAnsi="Times New Roman" w:cs="Times New Roman" w:eastAsia="Times New Roman" w:hint="default"/>
        </w:rPr>
        <w:t>4</w:t>
      </w:r>
      <w:r>
        <w:rPr/>
        <w:t>）其他长期职工福利的会计处理方法</w:t>
      </w:r>
      <w:r>
        <w:rPr>
          <w:b w:val="0"/>
          <w:bCs w:val="0"/>
        </w:rPr>
      </w:r>
    </w:p>
    <w:p>
      <w:pPr>
        <w:spacing w:line="240" w:lineRule="auto" w:before="8"/>
        <w:rPr>
          <w:rFonts w:ascii="宋体" w:hAnsi="宋体" w:cs="宋体" w:eastAsia="宋体" w:hint="default"/>
          <w:b/>
          <w:bCs/>
          <w:sz w:val="30"/>
          <w:szCs w:val="30"/>
        </w:rPr>
      </w:pPr>
    </w:p>
    <w:p>
      <w:pPr>
        <w:pStyle w:val="Heading4"/>
        <w:spacing w:line="240" w:lineRule="auto"/>
        <w:ind w:right="1117"/>
        <w:jc w:val="left"/>
        <w:rPr>
          <w:b w:val="0"/>
          <w:bCs w:val="0"/>
        </w:rPr>
      </w:pPr>
      <w:bookmarkStart w:name="23、预计负债" w:id="205"/>
      <w:bookmarkEnd w:id="205"/>
      <w:r>
        <w:rPr>
          <w:b w:val="0"/>
          <w:bCs w:val="0"/>
        </w:rPr>
      </w:r>
      <w:r>
        <w:rPr>
          <w:rFonts w:ascii="Times New Roman" w:hAnsi="Times New Roman" w:cs="Times New Roman" w:eastAsia="Times New Roman" w:hint="default"/>
        </w:rPr>
        <w:t>23</w:t>
      </w:r>
      <w:r>
        <w:rPr/>
        <w:t>、预计负债</w:t>
      </w:r>
      <w:r>
        <w:rPr>
          <w:b w:val="0"/>
          <w:bCs w:val="0"/>
        </w:rPr>
      </w:r>
    </w:p>
    <w:p>
      <w:pPr>
        <w:spacing w:line="240" w:lineRule="auto" w:before="7"/>
        <w:rPr>
          <w:rFonts w:ascii="宋体" w:hAnsi="宋体" w:cs="宋体" w:eastAsia="宋体" w:hint="default"/>
          <w:b/>
          <w:bCs/>
          <w:sz w:val="30"/>
          <w:szCs w:val="30"/>
        </w:rPr>
      </w:pPr>
    </w:p>
    <w:p>
      <w:pPr>
        <w:spacing w:line="408" w:lineRule="auto" w:before="0"/>
        <w:ind w:left="580" w:right="1130" w:firstLine="0"/>
        <w:jc w:val="left"/>
        <w:rPr>
          <w:rFonts w:ascii="宋体" w:hAnsi="宋体" w:cs="宋体" w:eastAsia="宋体" w:hint="default"/>
          <w:sz w:val="21"/>
          <w:szCs w:val="21"/>
        </w:rPr>
      </w:pPr>
      <w:r>
        <w:rPr>
          <w:rFonts w:ascii="宋体" w:hAnsi="宋体" w:cs="宋体" w:eastAsia="宋体" w:hint="default"/>
          <w:b/>
          <w:bCs/>
          <w:sz w:val="21"/>
          <w:szCs w:val="21"/>
        </w:rPr>
        <w:t>1.</w:t>
      </w:r>
      <w:r>
        <w:rPr>
          <w:rFonts w:ascii="宋体" w:hAnsi="宋体" w:cs="宋体" w:eastAsia="宋体" w:hint="default"/>
          <w:b/>
          <w:bCs/>
          <w:sz w:val="21"/>
          <w:szCs w:val="21"/>
        </w:rPr>
        <w:t>预计负债的确认标准</w:t>
      </w:r>
      <w:r>
        <w:rPr>
          <w:rFonts w:ascii="宋体" w:hAnsi="宋体" w:cs="宋体" w:eastAsia="宋体" w:hint="default"/>
          <w:b/>
          <w:bCs/>
          <w:w w:val="99"/>
          <w:sz w:val="21"/>
          <w:szCs w:val="21"/>
        </w:rPr>
        <w:t> </w:t>
      </w:r>
      <w:r>
        <w:rPr>
          <w:rFonts w:ascii="宋体" w:hAnsi="宋体" w:cs="宋体" w:eastAsia="宋体" w:hint="default"/>
          <w:spacing w:val="-1"/>
          <w:sz w:val="21"/>
          <w:szCs w:val="21"/>
        </w:rPr>
        <w:t>与诉讼、债务担保、亏损合同、重组事项等或有事项相关的义务同时满足下列条件时，本公司确认为</w:t>
      </w:r>
    </w:p>
    <w:p>
      <w:pPr>
        <w:pStyle w:val="BodyText"/>
        <w:spacing w:line="240" w:lineRule="auto"/>
        <w:ind w:right="1117"/>
        <w:jc w:val="left"/>
      </w:pPr>
      <w:r>
        <w:rPr/>
        <w:t>预计负债：</w:t>
      </w:r>
    </w:p>
    <w:p>
      <w:pPr>
        <w:spacing w:line="240" w:lineRule="auto" w:before="10"/>
        <w:rPr>
          <w:rFonts w:ascii="宋体" w:hAnsi="宋体" w:cs="宋体" w:eastAsia="宋体" w:hint="default"/>
          <w:sz w:val="14"/>
          <w:szCs w:val="14"/>
        </w:rPr>
      </w:pPr>
    </w:p>
    <w:p>
      <w:pPr>
        <w:pStyle w:val="BodyText"/>
        <w:spacing w:line="240" w:lineRule="auto" w:before="0"/>
        <w:ind w:left="574" w:right="1117"/>
        <w:jc w:val="left"/>
      </w:pPr>
      <w:r>
        <w:rPr/>
        <w:t>（</w:t>
      </w:r>
      <w:r>
        <w:rPr>
          <w:rFonts w:ascii="宋体" w:hAnsi="宋体" w:cs="宋体" w:eastAsia="宋体" w:hint="default"/>
        </w:rPr>
        <w:t>1</w:t>
      </w:r>
      <w:r>
        <w:rPr/>
        <w:t>）</w:t>
      </w:r>
      <w:r>
        <w:rPr>
          <w:spacing w:val="-59"/>
        </w:rPr>
        <w:t> </w:t>
      </w:r>
      <w:r>
        <w:rPr/>
        <w:t>该义务是本公司承担的现时义务；</w:t>
      </w:r>
    </w:p>
    <w:p>
      <w:pPr>
        <w:spacing w:line="240" w:lineRule="auto" w:before="10"/>
        <w:rPr>
          <w:rFonts w:ascii="宋体" w:hAnsi="宋体" w:cs="宋体" w:eastAsia="宋体" w:hint="default"/>
          <w:sz w:val="14"/>
          <w:szCs w:val="14"/>
        </w:rPr>
      </w:pPr>
    </w:p>
    <w:p>
      <w:pPr>
        <w:pStyle w:val="BodyText"/>
        <w:spacing w:line="240" w:lineRule="auto" w:before="0"/>
        <w:ind w:left="576" w:right="1117"/>
        <w:jc w:val="left"/>
      </w:pPr>
      <w:r>
        <w:rPr/>
        <w:t>（</w:t>
      </w:r>
      <w:r>
        <w:rPr>
          <w:rFonts w:ascii="宋体" w:hAnsi="宋体" w:cs="宋体" w:eastAsia="宋体" w:hint="default"/>
        </w:rPr>
        <w:t>2</w:t>
      </w:r>
      <w:r>
        <w:rPr/>
        <w:t>）</w:t>
      </w:r>
      <w:r>
        <w:rPr>
          <w:spacing w:val="-63"/>
        </w:rPr>
        <w:t> </w:t>
      </w:r>
      <w:r>
        <w:rPr/>
        <w:t>履行该义务很可能导致经济利益流出本公司；</w:t>
      </w:r>
    </w:p>
    <w:p>
      <w:pPr>
        <w:spacing w:line="240" w:lineRule="auto" w:before="10"/>
        <w:rPr>
          <w:rFonts w:ascii="宋体" w:hAnsi="宋体" w:cs="宋体" w:eastAsia="宋体" w:hint="default"/>
          <w:sz w:val="14"/>
          <w:szCs w:val="14"/>
        </w:rPr>
      </w:pPr>
    </w:p>
    <w:p>
      <w:pPr>
        <w:spacing w:line="408" w:lineRule="auto" w:before="0"/>
        <w:ind w:left="580" w:right="6867" w:hanging="6"/>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3</w:t>
      </w:r>
      <w:r>
        <w:rPr>
          <w:rFonts w:ascii="宋体" w:hAnsi="宋体" w:cs="宋体" w:eastAsia="宋体" w:hint="default"/>
          <w:sz w:val="21"/>
          <w:szCs w:val="21"/>
        </w:rPr>
        <w:t>）该义务的金额能够可靠地计量。 </w:t>
      </w:r>
      <w:r>
        <w:rPr>
          <w:rFonts w:ascii="宋体" w:hAnsi="宋体" w:cs="宋体" w:eastAsia="宋体" w:hint="default"/>
          <w:b/>
          <w:bCs/>
          <w:sz w:val="21"/>
          <w:szCs w:val="21"/>
        </w:rPr>
        <w:t>2.</w:t>
      </w:r>
      <w:r>
        <w:rPr>
          <w:rFonts w:ascii="宋体" w:hAnsi="宋体" w:cs="宋体" w:eastAsia="宋体" w:hint="default"/>
          <w:b/>
          <w:bCs/>
          <w:sz w:val="21"/>
          <w:szCs w:val="21"/>
        </w:rPr>
        <w:t>各类预计负债的计量方法</w:t>
      </w:r>
      <w:r>
        <w:rPr>
          <w:rFonts w:ascii="宋体" w:hAnsi="宋体" w:cs="宋体" w:eastAsia="宋体" w:hint="default"/>
          <w:sz w:val="21"/>
          <w:szCs w:val="21"/>
        </w:rPr>
      </w:r>
    </w:p>
    <w:p>
      <w:pPr>
        <w:pStyle w:val="BodyText"/>
        <w:spacing w:line="408" w:lineRule="auto"/>
        <w:ind w:left="580" w:right="1130"/>
        <w:jc w:val="left"/>
      </w:pPr>
      <w:r>
        <w:rPr/>
        <w:t>本公司预计负债按履行相关现时义务所需的支出的最佳估计数进行初始计量。 </w:t>
      </w:r>
      <w:r>
        <w:rPr>
          <w:spacing w:val="-1"/>
        </w:rPr>
        <w:t>本公司在确定最佳估计数时，综合考虑与或有事项有关的风险、不确定性和货币时间价值等因素。对</w:t>
      </w:r>
    </w:p>
    <w:p>
      <w:pPr>
        <w:pStyle w:val="BodyText"/>
        <w:spacing w:line="408" w:lineRule="auto"/>
        <w:ind w:left="580" w:right="1130" w:hanging="426"/>
        <w:jc w:val="left"/>
      </w:pPr>
      <w:r>
        <w:rPr/>
        <w:t>于货币时间价值影响重大的，通过对相关未来现金流出进行折现后确定最佳估计数。 最佳估计数分别以下情况处理： </w:t>
      </w:r>
      <w:r>
        <w:rPr>
          <w:spacing w:val="-1"/>
        </w:rPr>
        <w:t>所需支出存在一个连续范围（或区间），且该范围内各种结果发生的可能性相同的，则最佳估计数按</w:t>
      </w:r>
    </w:p>
    <w:p>
      <w:pPr>
        <w:pStyle w:val="BodyText"/>
        <w:spacing w:line="408" w:lineRule="auto"/>
        <w:ind w:left="580" w:right="1130" w:hanging="426"/>
        <w:jc w:val="left"/>
      </w:pPr>
      <w:r>
        <w:rPr/>
        <w:t>照该范围的中间值即上下限金额的平均数确定。 </w:t>
      </w:r>
      <w:r>
        <w:rPr>
          <w:spacing w:val="-1"/>
        </w:rPr>
        <w:t>所需支出不存在一个连续范围（或区间），或虽然存在一个连续范围但该范围内各种结果发生的可能</w:t>
      </w:r>
    </w:p>
    <w:p>
      <w:pPr>
        <w:pStyle w:val="BodyText"/>
        <w:spacing w:line="408" w:lineRule="auto"/>
        <w:ind w:right="1117"/>
        <w:jc w:val="left"/>
      </w:pPr>
      <w:r>
        <w:rPr>
          <w:spacing w:val="-1"/>
        </w:rPr>
        <w:t>性不相同的，如或有事项涉及单个项目的，则最佳估计数按照最可能发生金额确定；如或有事项涉及多个</w:t>
      </w:r>
      <w:r>
        <w:rPr>
          <w:spacing w:val="-83"/>
        </w:rPr>
        <w:t> </w:t>
      </w:r>
      <w:r>
        <w:rPr>
          <w:spacing w:val="-83"/>
        </w:rPr>
      </w:r>
      <w:r>
        <w:rPr/>
        <w:t>项目的，则最佳估计数按各种可能结果及相关概率计算确定。</w:t>
      </w:r>
    </w:p>
    <w:p>
      <w:pPr>
        <w:pStyle w:val="BodyText"/>
        <w:spacing w:line="408" w:lineRule="auto"/>
        <w:ind w:right="1130" w:firstLine="426"/>
        <w:jc w:val="left"/>
      </w:pPr>
      <w:r>
        <w:rPr>
          <w:spacing w:val="-1"/>
        </w:rPr>
        <w:t>本公司清偿预计负债所需支出全部或部分预期由第三方补偿的，补偿金额在基本确定能够收到时，作</w:t>
      </w:r>
      <w:r>
        <w:rPr/>
        <w:t> 为资产单独确认，确认的补偿金额不超过预计负债的账面价值。</w:t>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4"/>
          <w:szCs w:val="24"/>
        </w:rPr>
      </w:pPr>
    </w:p>
    <w:p>
      <w:pPr>
        <w:pStyle w:val="Heading4"/>
        <w:spacing w:line="240" w:lineRule="auto"/>
        <w:ind w:right="1117"/>
        <w:jc w:val="left"/>
        <w:rPr>
          <w:b w:val="0"/>
          <w:bCs w:val="0"/>
        </w:rPr>
      </w:pPr>
      <w:bookmarkStart w:name="24、股份支付" w:id="206"/>
      <w:bookmarkEnd w:id="206"/>
      <w:r>
        <w:rPr>
          <w:b w:val="0"/>
          <w:bCs w:val="0"/>
        </w:rPr>
      </w:r>
      <w:r>
        <w:rPr>
          <w:rFonts w:ascii="Times New Roman" w:hAnsi="Times New Roman" w:cs="Times New Roman" w:eastAsia="Times New Roman" w:hint="default"/>
        </w:rPr>
        <w:t>24</w:t>
      </w:r>
      <w:r>
        <w:rPr/>
        <w:t>、股份支付</w:t>
      </w:r>
      <w:r>
        <w:rPr>
          <w:b w:val="0"/>
          <w:bCs w:val="0"/>
        </w:rPr>
      </w:r>
    </w:p>
    <w:p>
      <w:pPr>
        <w:spacing w:line="240" w:lineRule="auto" w:before="7"/>
        <w:rPr>
          <w:rFonts w:ascii="宋体" w:hAnsi="宋体" w:cs="宋体" w:eastAsia="宋体" w:hint="default"/>
          <w:b/>
          <w:bCs/>
          <w:sz w:val="30"/>
          <w:szCs w:val="30"/>
        </w:rPr>
      </w:pPr>
    </w:p>
    <w:p>
      <w:pPr>
        <w:pStyle w:val="BodyText"/>
        <w:spacing w:line="386" w:lineRule="auto" w:before="0"/>
        <w:ind w:right="1159" w:firstLine="423"/>
        <w:jc w:val="left"/>
      </w:pPr>
      <w:r>
        <w:rPr/>
        <w:t>本公司的股份支付是为了获取职工</w:t>
      </w:r>
      <w:r>
        <w:rPr>
          <w:rFonts w:ascii="Times New Roman" w:hAnsi="Times New Roman" w:cs="Times New Roman" w:eastAsia="Times New Roman" w:hint="default"/>
        </w:rPr>
        <w:t>[</w:t>
      </w:r>
      <w:r>
        <w:rPr/>
        <w:t>或其他方</w:t>
      </w:r>
      <w:r>
        <w:rPr>
          <w:rFonts w:ascii="Times New Roman" w:hAnsi="Times New Roman" w:cs="Times New Roman" w:eastAsia="Times New Roman" w:hint="default"/>
        </w:rPr>
        <w:t>]</w:t>
      </w:r>
      <w:r>
        <w:rPr/>
        <w:t>提供服务而授予权益工具或者承担以权益工具为基础确 定的负债的交易。本公司的股份支付分为以权益结算的股份支付和以现金结算的股份支付。</w:t>
      </w:r>
    </w:p>
    <w:p>
      <w:pPr>
        <w:spacing w:line="408" w:lineRule="auto" w:before="65"/>
        <w:ind w:left="577" w:right="1117" w:firstLine="2"/>
        <w:jc w:val="left"/>
        <w:rPr>
          <w:rFonts w:ascii="宋体" w:hAnsi="宋体" w:cs="宋体" w:eastAsia="宋体" w:hint="default"/>
          <w:sz w:val="21"/>
          <w:szCs w:val="21"/>
        </w:rPr>
      </w:pPr>
      <w:r>
        <w:rPr>
          <w:rFonts w:ascii="宋体" w:hAnsi="宋体" w:cs="宋体" w:eastAsia="宋体" w:hint="default"/>
          <w:b/>
          <w:bCs/>
          <w:sz w:val="21"/>
          <w:szCs w:val="21"/>
        </w:rPr>
        <w:t>1.</w:t>
      </w:r>
      <w:r>
        <w:rPr>
          <w:rFonts w:ascii="宋体" w:hAnsi="宋体" w:cs="宋体" w:eastAsia="宋体" w:hint="default"/>
          <w:b/>
          <w:bCs/>
          <w:sz w:val="21"/>
          <w:szCs w:val="21"/>
        </w:rPr>
        <w:t>以权益结算的股份支付及权益工具</w:t>
      </w:r>
      <w:r>
        <w:rPr>
          <w:rFonts w:ascii="宋体" w:hAnsi="宋体" w:cs="宋体" w:eastAsia="宋体" w:hint="default"/>
          <w:b/>
          <w:bCs/>
          <w:w w:val="99"/>
          <w:sz w:val="21"/>
          <w:szCs w:val="21"/>
        </w:rPr>
        <w:t> </w:t>
      </w:r>
      <w:r>
        <w:rPr>
          <w:rFonts w:ascii="宋体" w:hAnsi="宋体" w:cs="宋体" w:eastAsia="宋体" w:hint="default"/>
          <w:spacing w:val="-1"/>
          <w:sz w:val="21"/>
          <w:szCs w:val="21"/>
        </w:rPr>
        <w:t>以权益结算的股份支付换取职工提供服务的，以授予职工权益工具的公允价值计量。本公司以限制性</w:t>
      </w:r>
    </w:p>
    <w:p>
      <w:pPr>
        <w:pStyle w:val="BodyText"/>
        <w:spacing w:line="408" w:lineRule="auto"/>
        <w:ind w:right="1117"/>
        <w:jc w:val="left"/>
      </w:pPr>
      <w:r>
        <w:rPr>
          <w:spacing w:val="-1"/>
        </w:rPr>
        <w:t>股票进行股份支付的，职工出资认购股票，股票在达到解锁条件并解锁前不得上市流通或转让；如果最终</w:t>
      </w:r>
      <w:r>
        <w:rPr>
          <w:spacing w:val="-83"/>
        </w:rPr>
        <w:t> </w:t>
      </w:r>
      <w:r>
        <w:rPr>
          <w:spacing w:val="-83"/>
        </w:rPr>
      </w:r>
      <w:r>
        <w:rPr>
          <w:spacing w:val="-1"/>
        </w:rPr>
        <w:t>股权激励计划规定的解锁条件未能达到，则本公司按照事先约定的价格回购股票。本公司取得职工认购限</w:t>
      </w:r>
    </w:p>
    <w:p>
      <w:pPr>
        <w:spacing w:after="0" w:line="408" w:lineRule="auto"/>
        <w:jc w:val="left"/>
        <w:sectPr>
          <w:pgSz w:w="11910" w:h="16840"/>
          <w:pgMar w:header="877" w:footer="979" w:top="1060" w:bottom="1160" w:left="980" w:right="0"/>
        </w:sectPr>
      </w:pPr>
    </w:p>
    <w:p>
      <w:pPr>
        <w:spacing w:line="240" w:lineRule="auto" w:before="0"/>
        <w:rPr>
          <w:rFonts w:ascii="宋体" w:hAnsi="宋体" w:cs="宋体" w:eastAsia="宋体" w:hint="default"/>
          <w:sz w:val="20"/>
          <w:szCs w:val="20"/>
        </w:rPr>
      </w:pPr>
    </w:p>
    <w:p>
      <w:pPr>
        <w:pStyle w:val="BodyText"/>
        <w:spacing w:line="400" w:lineRule="auto" w:before="174"/>
        <w:ind w:right="1129"/>
        <w:jc w:val="both"/>
      </w:pPr>
      <w:r>
        <w:rPr>
          <w:spacing w:val="-1"/>
        </w:rPr>
        <w:t>制性股票支付的款项时，按照取得的认股款确认股本和资本公积（股本溢价），同时就回购义务全额确认</w:t>
      </w:r>
      <w:r>
        <w:rPr>
          <w:spacing w:val="-85"/>
        </w:rPr>
        <w:t> </w:t>
      </w:r>
      <w:r>
        <w:rPr>
          <w:spacing w:val="-85"/>
        </w:rPr>
      </w:r>
      <w:r>
        <w:rPr>
          <w:spacing w:val="-5"/>
        </w:rPr>
        <w:t>一项负债并确认库存股。在等待期内每个资产负债表日，本公司根据最新取得的</w:t>
      </w:r>
      <w:r>
        <w:rPr>
          <w:rFonts w:ascii="Times New Roman" w:hAnsi="Times New Roman" w:cs="Times New Roman" w:eastAsia="Times New Roman" w:hint="default"/>
          <w:spacing w:val="-5"/>
        </w:rPr>
        <w:t>[</w:t>
      </w:r>
      <w:r>
        <w:rPr>
          <w:spacing w:val="-5"/>
        </w:rPr>
        <w:t>可行权职工人数变动</w:t>
      </w:r>
      <w:r>
        <w:rPr>
          <w:rFonts w:ascii="Times New Roman" w:hAnsi="Times New Roman" w:cs="Times New Roman" w:eastAsia="Times New Roman" w:hint="default"/>
          <w:spacing w:val="-5"/>
        </w:rPr>
        <w:t>]</w:t>
      </w:r>
      <w:r>
        <w:rPr>
          <w:spacing w:val="-5"/>
        </w:rPr>
        <w:t>、</w:t>
      </w:r>
      <w:r>
        <w:rPr>
          <w:rFonts w:ascii="Times New Roman" w:hAnsi="Times New Roman" w:cs="Times New Roman" w:eastAsia="Times New Roman" w:hint="default"/>
          <w:spacing w:val="-5"/>
        </w:rPr>
        <w:t>[</w:t>
      </w:r>
      <w:r>
        <w:rPr>
          <w:spacing w:val="-5"/>
        </w:rPr>
        <w:t>是</w:t>
      </w:r>
      <w:r>
        <w:rPr>
          <w:spacing w:val="-93"/>
        </w:rPr>
        <w:t> </w:t>
      </w:r>
      <w:r>
        <w:rPr>
          <w:spacing w:val="-2"/>
        </w:rPr>
        <w:t>否达到规定业绩条件</w:t>
      </w:r>
      <w:r>
        <w:rPr>
          <w:rFonts w:ascii="Times New Roman" w:hAnsi="Times New Roman" w:cs="Times New Roman" w:eastAsia="Times New Roman" w:hint="default"/>
          <w:spacing w:val="-2"/>
        </w:rPr>
        <w:t>]</w:t>
      </w:r>
      <w:r>
        <w:rPr>
          <w:spacing w:val="-2"/>
        </w:rPr>
        <w:t>等后续信息对可行权权益工具数量作出最佳估计，以此为基础，按照授予日的公允价</w:t>
      </w:r>
      <w:r>
        <w:rPr/>
        <w:t> </w:t>
      </w:r>
      <w:r>
        <w:rPr>
          <w:spacing w:val="-1"/>
        </w:rPr>
        <w:t>值，将当期取得的服务计入相关成本或费用，相应增加资本公积。在可行权日之后不再对已确认的相关成</w:t>
      </w:r>
      <w:r>
        <w:rPr>
          <w:spacing w:val="-83"/>
        </w:rPr>
        <w:t> </w:t>
      </w:r>
      <w:r>
        <w:rPr>
          <w:spacing w:val="-83"/>
        </w:rPr>
      </w:r>
      <w:r>
        <w:rPr>
          <w:spacing w:val="-1"/>
        </w:rPr>
        <w:t>本或费用和所有者权益总额进行调整。但授予后立即可行权的，在授予日按照公允价值计入相关成本或费</w:t>
      </w:r>
      <w:r>
        <w:rPr>
          <w:spacing w:val="-81"/>
        </w:rPr>
        <w:t> </w:t>
      </w:r>
      <w:r>
        <w:rPr>
          <w:spacing w:val="-81"/>
        </w:rPr>
      </w:r>
      <w:r>
        <w:rPr/>
        <w:t>用，相应增加资本公积。</w:t>
      </w:r>
    </w:p>
    <w:p>
      <w:pPr>
        <w:pStyle w:val="BodyText"/>
        <w:spacing w:line="408" w:lineRule="auto" w:before="52"/>
        <w:ind w:right="1117" w:firstLine="423"/>
        <w:jc w:val="left"/>
      </w:pPr>
      <w:r>
        <w:rPr>
          <w:spacing w:val="-1"/>
        </w:rPr>
        <w:t>对于最终未能行权的股份支付，不确认成本或费用，除非行权条件是市场条件或非可行权条件，此时</w:t>
      </w:r>
      <w:r>
        <w:rPr/>
        <w:t> 无论是否满足市场条件或非可行权条件，只要满足所有可行权条件中的非市场条件，即视为可行权。</w:t>
      </w:r>
    </w:p>
    <w:p>
      <w:pPr>
        <w:pStyle w:val="BodyText"/>
        <w:spacing w:line="408" w:lineRule="auto"/>
        <w:ind w:right="1117" w:firstLine="423"/>
        <w:jc w:val="left"/>
      </w:pPr>
      <w:r>
        <w:rPr>
          <w:spacing w:val="-1"/>
        </w:rPr>
        <w:t>如果修改了以权益结算的股份支付的条款，至少按照未修改条款的情况确认取得的服务。此外，任何</w:t>
      </w:r>
      <w:r>
        <w:rPr/>
        <w:t> 增加所授予权益工具公允价值的修改，或在修改日对职工有利的变更，均确认取得服务的增加。</w:t>
      </w:r>
    </w:p>
    <w:p>
      <w:pPr>
        <w:pStyle w:val="BodyText"/>
        <w:spacing w:line="408" w:lineRule="auto"/>
        <w:ind w:right="0" w:firstLine="423"/>
        <w:jc w:val="left"/>
      </w:pPr>
      <w:r>
        <w:rPr/>
        <w:t>如果取消了以权益结算的股份支付，则于取消日作为加速行权处理，立即确认尚未确认的金额。职工 </w:t>
      </w:r>
      <w:r>
        <w:rPr>
          <w:spacing w:val="-3"/>
        </w:rPr>
        <w:t>或其他方能够选择满足非可行权条件但在等待期内未满足的，作为取消以权益结算的股份支付处理。但是，</w:t>
      </w:r>
      <w:r>
        <w:rPr>
          <w:spacing w:val="-92"/>
        </w:rPr>
        <w:t> </w:t>
      </w:r>
      <w:r>
        <w:rPr>
          <w:spacing w:val="-92"/>
        </w:rPr>
      </w:r>
      <w:r>
        <w:rPr>
          <w:spacing w:val="-1"/>
        </w:rPr>
        <w:t>如果授予新的权益工具，并在新权益工具授予日认定所授予的新权益工具是用于替代被取消的权益工具的，</w:t>
      </w:r>
      <w:r>
        <w:rPr>
          <w:spacing w:val="-80"/>
        </w:rPr>
        <w:t> </w:t>
      </w:r>
      <w:r>
        <w:rPr>
          <w:spacing w:val="-80"/>
        </w:rPr>
      </w:r>
      <w:r>
        <w:rPr/>
        <w:t>则以与处理原权益工具条款和条件修改相同的方式，对所授予的替代权益工具进行处理。</w:t>
      </w:r>
    </w:p>
    <w:p>
      <w:pPr>
        <w:spacing w:line="408" w:lineRule="auto" w:before="46"/>
        <w:ind w:left="577" w:right="1117" w:hanging="2"/>
        <w:jc w:val="left"/>
        <w:rPr>
          <w:rFonts w:ascii="宋体" w:hAnsi="宋体" w:cs="宋体" w:eastAsia="宋体" w:hint="default"/>
          <w:sz w:val="21"/>
          <w:szCs w:val="21"/>
        </w:rPr>
      </w:pPr>
      <w:r>
        <w:rPr>
          <w:rFonts w:ascii="宋体" w:hAnsi="宋体" w:cs="宋体" w:eastAsia="宋体" w:hint="default"/>
          <w:b/>
          <w:bCs/>
          <w:sz w:val="21"/>
          <w:szCs w:val="21"/>
        </w:rPr>
        <w:t>2.</w:t>
      </w:r>
      <w:r>
        <w:rPr>
          <w:rFonts w:ascii="宋体" w:hAnsi="宋体" w:cs="宋体" w:eastAsia="宋体" w:hint="default"/>
          <w:b/>
          <w:bCs/>
          <w:sz w:val="21"/>
          <w:szCs w:val="21"/>
        </w:rPr>
        <w:t>以现金结算的股份支付及权益工具</w:t>
      </w:r>
      <w:r>
        <w:rPr>
          <w:rFonts w:ascii="宋体" w:hAnsi="宋体" w:cs="宋体" w:eastAsia="宋体" w:hint="default"/>
          <w:b/>
          <w:bCs/>
          <w:w w:val="99"/>
          <w:sz w:val="21"/>
          <w:szCs w:val="21"/>
        </w:rPr>
        <w:t> </w:t>
      </w:r>
      <w:r>
        <w:rPr>
          <w:rFonts w:ascii="宋体" w:hAnsi="宋体" w:cs="宋体" w:eastAsia="宋体" w:hint="default"/>
          <w:spacing w:val="-1"/>
          <w:sz w:val="21"/>
          <w:szCs w:val="21"/>
        </w:rPr>
        <w:t>以现金结算的股份支付，按照本公司承担的以股份或其他权益工具为基础计算确定的负债的公允价值</w:t>
      </w:r>
    </w:p>
    <w:p>
      <w:pPr>
        <w:pStyle w:val="BodyText"/>
        <w:spacing w:line="398" w:lineRule="auto"/>
        <w:ind w:right="1131"/>
        <w:jc w:val="both"/>
      </w:pPr>
      <w:r>
        <w:rPr>
          <w:spacing w:val="-3"/>
        </w:rPr>
        <w:t>计量。初始采用估值模型按照授予日的公允价值计量，并考虑授予权益工具的条款和条件，详见本附注</w:t>
      </w:r>
      <w:r>
        <w:rPr>
          <w:rFonts w:ascii="Times New Roman" w:hAnsi="Times New Roman" w:cs="Times New Roman" w:eastAsia="Times New Roman" w:hint="default"/>
          <w:spacing w:val="-3"/>
        </w:rPr>
        <w:t>“</w:t>
      </w:r>
      <w:r>
        <w:rPr>
          <w:spacing w:val="-3"/>
        </w:rPr>
        <w:t>十</w:t>
      </w:r>
      <w:r>
        <w:rPr>
          <w:spacing w:val="-81"/>
        </w:rPr>
        <w:t> </w:t>
      </w:r>
      <w:r>
        <w:rPr>
          <w:spacing w:val="-3"/>
        </w:rPr>
        <w:t>一、股份支付</w:t>
      </w:r>
      <w:r>
        <w:rPr>
          <w:rFonts w:ascii="Times New Roman" w:hAnsi="Times New Roman" w:cs="Times New Roman" w:eastAsia="Times New Roman" w:hint="default"/>
          <w:spacing w:val="-3"/>
        </w:rPr>
        <w:t>”</w:t>
      </w:r>
      <w:r>
        <w:rPr>
          <w:spacing w:val="-3"/>
        </w:rPr>
        <w:t>。授予后立即可行权的，在授予日以承担负债的公允价值计入成本或费用，相应增加负债；</w:t>
      </w:r>
      <w:r>
        <w:rPr>
          <w:spacing w:val="-80"/>
        </w:rPr>
        <w:t> </w:t>
      </w:r>
      <w:r>
        <w:rPr>
          <w:spacing w:val="-80"/>
        </w:rPr>
      </w:r>
      <w:r>
        <w:rPr>
          <w:spacing w:val="-1"/>
        </w:rPr>
        <w:t>完成等待期内的服务或达到规定业绩条件才可行权的，在等待期内以对可行权情况的最佳估计为基础，按</w:t>
      </w:r>
      <w:r>
        <w:rPr>
          <w:spacing w:val="-81"/>
        </w:rPr>
        <w:t> </w:t>
      </w:r>
      <w:r>
        <w:rPr>
          <w:spacing w:val="-81"/>
        </w:rPr>
      </w:r>
      <w:r>
        <w:rPr>
          <w:spacing w:val="-1"/>
        </w:rPr>
        <w:t>照承担负债的公允价值，将当期取得的服务计入相关成本或费用，增加相应负债。在相关负债结算前的每</w:t>
      </w:r>
      <w:r>
        <w:rPr>
          <w:spacing w:val="-83"/>
        </w:rPr>
        <w:t> </w:t>
      </w:r>
      <w:r>
        <w:rPr>
          <w:spacing w:val="-83"/>
        </w:rPr>
      </w:r>
      <w:r>
        <w:rPr/>
        <w:t>个资产负债表日以及结算日，对负债的公允价值重新计量，其变动计入当期损益。</w:t>
      </w:r>
    </w:p>
    <w:p>
      <w:pPr>
        <w:spacing w:line="240" w:lineRule="auto" w:before="3"/>
        <w:rPr>
          <w:rFonts w:ascii="宋体" w:hAnsi="宋体" w:cs="宋体" w:eastAsia="宋体" w:hint="default"/>
          <w:sz w:val="21"/>
          <w:szCs w:val="21"/>
        </w:rPr>
      </w:pPr>
    </w:p>
    <w:p>
      <w:pPr>
        <w:pStyle w:val="Heading4"/>
        <w:spacing w:line="240" w:lineRule="auto"/>
        <w:ind w:right="0"/>
        <w:jc w:val="both"/>
        <w:rPr>
          <w:b w:val="0"/>
          <w:bCs w:val="0"/>
        </w:rPr>
      </w:pPr>
      <w:bookmarkStart w:name="25、收入" w:id="207"/>
      <w:bookmarkEnd w:id="207"/>
      <w:r>
        <w:rPr>
          <w:b w:val="0"/>
          <w:bCs w:val="0"/>
        </w:rPr>
      </w:r>
      <w:r>
        <w:rPr>
          <w:rFonts w:ascii="Times New Roman" w:hAnsi="Times New Roman" w:cs="Times New Roman" w:eastAsia="Times New Roman" w:hint="default"/>
        </w:rPr>
        <w:t>25</w:t>
      </w:r>
      <w:r>
        <w:rPr/>
        <w:t>、收入</w:t>
      </w:r>
      <w:r>
        <w:rPr>
          <w:b w:val="0"/>
          <w:bCs w:val="0"/>
        </w:rPr>
      </w:r>
    </w:p>
    <w:p>
      <w:pPr>
        <w:spacing w:line="240" w:lineRule="auto" w:before="8"/>
        <w:rPr>
          <w:rFonts w:ascii="宋体" w:hAnsi="宋体" w:cs="宋体" w:eastAsia="宋体" w:hint="default"/>
          <w:b/>
          <w:bCs/>
          <w:sz w:val="26"/>
          <w:szCs w:val="26"/>
        </w:rPr>
      </w:pPr>
    </w:p>
    <w:p>
      <w:pPr>
        <w:spacing w:line="357" w:lineRule="auto" w:before="0"/>
        <w:ind w:left="154" w:right="7692" w:firstLine="0"/>
        <w:jc w:val="left"/>
        <w:rPr>
          <w:rFonts w:ascii="宋体" w:hAnsi="宋体" w:cs="宋体" w:eastAsia="宋体" w:hint="default"/>
          <w:sz w:val="18"/>
          <w:szCs w:val="18"/>
        </w:rPr>
      </w:pPr>
      <w:r>
        <w:rPr>
          <w:rFonts w:ascii="宋体" w:hAnsi="宋体" w:cs="宋体" w:eastAsia="宋体" w:hint="default"/>
          <w:sz w:val="18"/>
          <w:szCs w:val="18"/>
        </w:rPr>
        <w:t>公司是否需要遵守特殊行业的披露要求 否</w:t>
      </w:r>
    </w:p>
    <w:p>
      <w:pPr>
        <w:pStyle w:val="Heading4"/>
        <w:spacing w:line="240" w:lineRule="auto" w:before="80"/>
        <w:ind w:left="580" w:right="1117"/>
        <w:jc w:val="left"/>
        <w:rPr>
          <w:b w:val="0"/>
          <w:bCs w:val="0"/>
        </w:rPr>
      </w:pPr>
      <w:r>
        <w:rPr>
          <w:rFonts w:ascii="宋体" w:hAnsi="宋体" w:cs="宋体" w:eastAsia="宋体" w:hint="default"/>
        </w:rPr>
        <w:t>1.</w:t>
      </w:r>
      <w:r>
        <w:rPr/>
        <w:t>销售商品收入确认的一般原则：</w:t>
      </w:r>
      <w:r>
        <w:rPr>
          <w:b w:val="0"/>
          <w:bCs w:val="0"/>
        </w:rPr>
      </w:r>
    </w:p>
    <w:p>
      <w:pPr>
        <w:spacing w:line="240" w:lineRule="auto" w:before="10"/>
        <w:rPr>
          <w:rFonts w:ascii="宋体" w:hAnsi="宋体" w:cs="宋体" w:eastAsia="宋体" w:hint="default"/>
          <w:b/>
          <w:bCs/>
          <w:sz w:val="14"/>
          <w:szCs w:val="14"/>
        </w:rPr>
      </w:pPr>
    </w:p>
    <w:p>
      <w:pPr>
        <w:pStyle w:val="BodyText"/>
        <w:spacing w:line="240" w:lineRule="auto" w:before="0"/>
        <w:ind w:left="580" w:right="1117"/>
        <w:jc w:val="left"/>
      </w:pPr>
      <w:r>
        <w:rPr/>
        <w:t>（</w:t>
      </w:r>
      <w:r>
        <w:rPr>
          <w:rFonts w:ascii="Times New Roman" w:hAnsi="Times New Roman" w:cs="Times New Roman" w:eastAsia="Times New Roman" w:hint="default"/>
        </w:rPr>
        <w:t>1</w:t>
      </w:r>
      <w:r>
        <w:rPr/>
        <w:t>）本公司已将商品所有权上的主要风险和报酬转移给购货方；</w:t>
      </w:r>
    </w:p>
    <w:p>
      <w:pPr>
        <w:pStyle w:val="BodyText"/>
        <w:spacing w:line="240" w:lineRule="auto" w:before="177"/>
        <w:ind w:left="580" w:right="1117"/>
        <w:jc w:val="left"/>
      </w:pPr>
      <w:r>
        <w:rPr/>
        <w:t>（</w:t>
      </w:r>
      <w:r>
        <w:rPr>
          <w:rFonts w:ascii="Times New Roman" w:hAnsi="Times New Roman" w:cs="Times New Roman" w:eastAsia="Times New Roman" w:hint="default"/>
        </w:rPr>
        <w:t>2</w:t>
      </w:r>
      <w:r>
        <w:rPr/>
        <w:t>）本公司既没有保留通常与所有权相联系的继续管理权，也没有对已售出的商品实施有效控制；</w:t>
      </w:r>
    </w:p>
    <w:p>
      <w:pPr>
        <w:pStyle w:val="BodyText"/>
        <w:spacing w:line="240" w:lineRule="auto" w:before="177"/>
        <w:ind w:left="580" w:right="1117"/>
        <w:jc w:val="left"/>
      </w:pPr>
      <w:r>
        <w:rPr/>
        <w:t>（</w:t>
      </w:r>
      <w:r>
        <w:rPr>
          <w:rFonts w:ascii="Times New Roman" w:hAnsi="Times New Roman" w:cs="Times New Roman" w:eastAsia="Times New Roman" w:hint="default"/>
        </w:rPr>
        <w:t>3</w:t>
      </w:r>
      <w:r>
        <w:rPr/>
        <w:t>）收入的金额能够可靠地计量；</w:t>
      </w:r>
    </w:p>
    <w:p>
      <w:pPr>
        <w:pStyle w:val="BodyText"/>
        <w:spacing w:line="240" w:lineRule="auto" w:before="177"/>
        <w:ind w:left="580" w:right="1117"/>
        <w:jc w:val="left"/>
      </w:pPr>
      <w:r>
        <w:rPr/>
        <w:t>（</w:t>
      </w:r>
      <w:r>
        <w:rPr>
          <w:rFonts w:ascii="Times New Roman" w:hAnsi="Times New Roman" w:cs="Times New Roman" w:eastAsia="Times New Roman" w:hint="default"/>
        </w:rPr>
        <w:t>4</w:t>
      </w:r>
      <w:r>
        <w:rPr/>
        <w:t>）相关的经济利益很可能流入本公司；</w:t>
      </w:r>
    </w:p>
    <w:p>
      <w:pPr>
        <w:spacing w:after="0" w:line="240" w:lineRule="auto"/>
        <w:jc w:val="left"/>
        <w:sectPr>
          <w:pgSz w:w="11910" w:h="16840"/>
          <w:pgMar w:header="877" w:footer="979" w:top="1060" w:bottom="1160" w:left="980" w:right="0"/>
        </w:sectPr>
      </w:pPr>
    </w:p>
    <w:p>
      <w:pPr>
        <w:spacing w:line="240" w:lineRule="auto" w:before="0"/>
        <w:rPr>
          <w:rFonts w:ascii="宋体" w:hAnsi="宋体" w:cs="宋体" w:eastAsia="宋体" w:hint="default"/>
          <w:sz w:val="20"/>
          <w:szCs w:val="20"/>
        </w:rPr>
      </w:pPr>
    </w:p>
    <w:p>
      <w:pPr>
        <w:pStyle w:val="BodyText"/>
        <w:spacing w:line="398" w:lineRule="auto" w:before="174"/>
        <w:ind w:left="580" w:right="4987"/>
        <w:jc w:val="left"/>
      </w:pPr>
      <w:r>
        <w:rPr/>
        <w:t>（</w:t>
      </w:r>
      <w:r>
        <w:rPr>
          <w:rFonts w:ascii="Times New Roman" w:hAnsi="Times New Roman" w:cs="Times New Roman" w:eastAsia="Times New Roman" w:hint="default"/>
        </w:rPr>
        <w:t>5</w:t>
      </w:r>
      <w:r>
        <w:rPr/>
        <w:t>）</w:t>
      </w:r>
      <w:r>
        <w:rPr>
          <w:spacing w:val="89"/>
        </w:rPr>
        <w:t> </w:t>
      </w:r>
      <w:r>
        <w:rPr/>
        <w:t>相关的、已发生或将发生的成本能够可靠地计量。</w:t>
      </w:r>
      <w:r>
        <w:rPr/>
        <w:t> </w:t>
      </w:r>
      <w:r>
        <w:rPr>
          <w:rFonts w:ascii="宋体" w:hAnsi="宋体" w:cs="宋体" w:eastAsia="宋体" w:hint="default"/>
          <w:b/>
          <w:bCs/>
        </w:rPr>
        <w:t>2.</w:t>
      </w:r>
      <w:r>
        <w:rPr>
          <w:rFonts w:ascii="宋体" w:hAnsi="宋体" w:cs="宋体" w:eastAsia="宋体" w:hint="default"/>
          <w:b/>
          <w:bCs/>
        </w:rPr>
        <w:t>具体原则</w:t>
      </w:r>
      <w:r>
        <w:rPr>
          <w:rFonts w:ascii="宋体" w:hAnsi="宋体" w:cs="宋体" w:eastAsia="宋体" w:hint="default"/>
          <w:b/>
          <w:bCs/>
          <w:w w:val="99"/>
        </w:rPr>
        <w:t> </w:t>
      </w:r>
      <w:r>
        <w:rPr/>
        <w:t>本公司销售商品收入相应的业务特点分析和介绍：</w:t>
      </w:r>
    </w:p>
    <w:p>
      <w:pPr>
        <w:pStyle w:val="BodyText"/>
        <w:spacing w:line="400" w:lineRule="auto" w:before="55"/>
        <w:ind w:right="1131" w:firstLine="426"/>
        <w:jc w:val="both"/>
      </w:pPr>
      <w:r>
        <w:rPr/>
        <w:t>本公司商品销售采取</w:t>
      </w:r>
      <w:r>
        <w:rPr>
          <w:rFonts w:ascii="Times New Roman" w:hAnsi="Times New Roman" w:cs="Times New Roman" w:eastAsia="Times New Roman" w:hint="default"/>
        </w:rPr>
        <w:t>“</w:t>
      </w:r>
      <w:r>
        <w:rPr/>
        <w:t>直销</w:t>
      </w:r>
      <w:r>
        <w:rPr>
          <w:rFonts w:ascii="Times New Roman" w:hAnsi="Times New Roman" w:cs="Times New Roman" w:eastAsia="Times New Roman" w:hint="default"/>
        </w:rPr>
        <w:t>+</w:t>
      </w:r>
      <w:r>
        <w:rPr/>
        <w:t>经销</w:t>
      </w:r>
      <w:r>
        <w:rPr>
          <w:rFonts w:ascii="Times New Roman" w:hAnsi="Times New Roman" w:cs="Times New Roman" w:eastAsia="Times New Roman" w:hint="default"/>
        </w:rPr>
        <w:t>”</w:t>
      </w:r>
      <w:r>
        <w:rPr/>
        <w:t>并重的销售模式。经销模式的主要特征是公司与经销商之间实际发 </w:t>
      </w:r>
      <w:r>
        <w:rPr>
          <w:spacing w:val="-1"/>
        </w:rPr>
        <w:t>生买卖关系，经销商按双方约定的价格从本公司购进产品，取得商品所有权，然后销售给最终用户，通过</w:t>
      </w:r>
      <w:r>
        <w:rPr>
          <w:spacing w:val="-86"/>
        </w:rPr>
        <w:t> </w:t>
      </w:r>
      <w:r>
        <w:rPr>
          <w:spacing w:val="-86"/>
        </w:rPr>
      </w:r>
      <w:r>
        <w:rPr>
          <w:spacing w:val="-1"/>
        </w:rPr>
        <w:t>差价来获得利润。直销模式是公司直接向最终用户销售产品的一种销售方式，直销模式下的销售又可分为</w:t>
      </w:r>
      <w:r>
        <w:rPr>
          <w:spacing w:val="-81"/>
        </w:rPr>
        <w:t> </w:t>
      </w:r>
      <w:r>
        <w:rPr>
          <w:spacing w:val="-81"/>
        </w:rPr>
      </w:r>
      <w:r>
        <w:rPr/>
        <w:t>附安装义务的销售和不附安装义务的销售。</w:t>
      </w:r>
    </w:p>
    <w:p>
      <w:pPr>
        <w:pStyle w:val="BodyText"/>
        <w:spacing w:line="240" w:lineRule="auto" w:before="52"/>
        <w:ind w:left="580" w:right="1117"/>
        <w:jc w:val="left"/>
      </w:pPr>
      <w:r>
        <w:rPr/>
        <w:t>销售商品收入确认的确认标准及收入确认时间的具体判断标准：</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4"/>
          <w:szCs w:val="14"/>
        </w:rPr>
      </w:pPr>
    </w:p>
    <w:tbl>
      <w:tblPr>
        <w:tblW w:w="0" w:type="auto"/>
        <w:jc w:val="left"/>
        <w:tblInd w:w="1092" w:type="dxa"/>
        <w:tblLayout w:type="fixed"/>
        <w:tblCellMar>
          <w:top w:w="0" w:type="dxa"/>
          <w:left w:w="0" w:type="dxa"/>
          <w:bottom w:w="0" w:type="dxa"/>
          <w:right w:w="0" w:type="dxa"/>
        </w:tblCellMar>
        <w:tblLook w:val="01E0"/>
      </w:tblPr>
      <w:tblGrid>
        <w:gridCol w:w="1133"/>
        <w:gridCol w:w="2812"/>
        <w:gridCol w:w="3807"/>
      </w:tblGrid>
      <w:tr>
        <w:trPr>
          <w:trHeight w:val="326" w:hRule="exact"/>
        </w:trPr>
        <w:tc>
          <w:tcPr>
            <w:tcW w:w="113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left="266" w:right="0"/>
              <w:jc w:val="left"/>
              <w:rPr>
                <w:rFonts w:ascii="宋体" w:hAnsi="宋体" w:cs="宋体" w:eastAsia="宋体" w:hint="default"/>
                <w:sz w:val="18"/>
                <w:szCs w:val="18"/>
              </w:rPr>
            </w:pPr>
            <w:r>
              <w:rPr>
                <w:rFonts w:ascii="宋体" w:hAnsi="宋体" w:cs="宋体" w:eastAsia="宋体" w:hint="default"/>
                <w:sz w:val="18"/>
                <w:szCs w:val="18"/>
              </w:rPr>
              <w:t>销售模式</w:t>
            </w:r>
          </w:p>
        </w:tc>
        <w:tc>
          <w:tcPr>
            <w:tcW w:w="281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left="130" w:right="0"/>
              <w:jc w:val="center"/>
              <w:rPr>
                <w:rFonts w:ascii="宋体" w:hAnsi="宋体" w:cs="宋体" w:eastAsia="宋体" w:hint="default"/>
                <w:sz w:val="18"/>
                <w:szCs w:val="18"/>
              </w:rPr>
            </w:pPr>
            <w:r>
              <w:rPr>
                <w:rFonts w:ascii="宋体" w:hAnsi="宋体" w:cs="宋体" w:eastAsia="宋体" w:hint="default"/>
                <w:sz w:val="18"/>
                <w:szCs w:val="18"/>
              </w:rPr>
              <w:t>直销模式</w:t>
            </w:r>
          </w:p>
        </w:tc>
        <w:tc>
          <w:tcPr>
            <w:tcW w:w="380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left="131" w:right="0"/>
              <w:jc w:val="center"/>
              <w:rPr>
                <w:rFonts w:ascii="宋体" w:hAnsi="宋体" w:cs="宋体" w:eastAsia="宋体" w:hint="default"/>
                <w:sz w:val="18"/>
                <w:szCs w:val="18"/>
              </w:rPr>
            </w:pPr>
            <w:r>
              <w:rPr>
                <w:rFonts w:ascii="宋体" w:hAnsi="宋体" w:cs="宋体" w:eastAsia="宋体" w:hint="default"/>
                <w:sz w:val="18"/>
                <w:szCs w:val="18"/>
              </w:rPr>
              <w:t>经销模式</w:t>
            </w:r>
          </w:p>
        </w:tc>
      </w:tr>
      <w:tr>
        <w:trPr>
          <w:trHeight w:val="2531" w:hRule="exact"/>
        </w:trPr>
        <w:tc>
          <w:tcPr>
            <w:tcW w:w="113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left="4" w:right="0"/>
              <w:jc w:val="left"/>
              <w:rPr>
                <w:rFonts w:ascii="宋体" w:hAnsi="宋体" w:cs="宋体" w:eastAsia="宋体" w:hint="default"/>
                <w:sz w:val="18"/>
                <w:szCs w:val="18"/>
              </w:rPr>
            </w:pPr>
            <w:r>
              <w:rPr>
                <w:rFonts w:ascii="宋体" w:hAnsi="宋体" w:cs="宋体" w:eastAsia="宋体" w:hint="default"/>
                <w:sz w:val="18"/>
                <w:szCs w:val="18"/>
              </w:rPr>
              <w:t>收入确认时点</w:t>
            </w:r>
          </w:p>
        </w:tc>
        <w:tc>
          <w:tcPr>
            <w:tcW w:w="2812"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5"/>
                <w:szCs w:val="25"/>
              </w:rPr>
            </w:pPr>
          </w:p>
          <w:p>
            <w:pPr>
              <w:pStyle w:val="TableParagraph"/>
              <w:spacing w:line="312" w:lineRule="auto"/>
              <w:ind w:left="4" w:right="3"/>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、附安装义务销售：在履行完毕安 </w:t>
            </w:r>
            <w:r>
              <w:rPr>
                <w:rFonts w:ascii="宋体" w:hAnsi="宋体" w:cs="宋体" w:eastAsia="宋体" w:hint="default"/>
                <w:spacing w:val="-6"/>
                <w:sz w:val="18"/>
                <w:szCs w:val="18"/>
              </w:rPr>
              <w:t>装义务，经客户验收合格后，开具发</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票账单交付客户，确认收入。 </w:t>
            </w:r>
            <w:r>
              <w:rPr>
                <w:rFonts w:ascii="Times New Roman" w:hAnsi="Times New Roman" w:cs="Times New Roman" w:eastAsia="Times New Roman" w:hint="default"/>
                <w:sz w:val="18"/>
                <w:szCs w:val="18"/>
              </w:rPr>
              <w:t>2</w:t>
            </w:r>
            <w:r>
              <w:rPr>
                <w:rFonts w:ascii="宋体" w:hAnsi="宋体" w:cs="宋体" w:eastAsia="宋体" w:hint="default"/>
                <w:sz w:val="18"/>
                <w:szCs w:val="18"/>
              </w:rPr>
              <w:t>、不附安装义务销售：在客户收到 </w:t>
            </w:r>
            <w:r>
              <w:rPr>
                <w:rFonts w:ascii="宋体" w:hAnsi="宋体" w:cs="宋体" w:eastAsia="宋体" w:hint="default"/>
                <w:spacing w:val="-6"/>
                <w:sz w:val="18"/>
                <w:szCs w:val="18"/>
              </w:rPr>
              <w:t>货物，验收合格并确认付款后，开具</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发票账单交付客户，确认收入。</w:t>
            </w:r>
          </w:p>
        </w:tc>
        <w:tc>
          <w:tcPr>
            <w:tcW w:w="3807" w:type="dxa"/>
            <w:tcBorders>
              <w:top w:val="single" w:sz="8" w:space="0" w:color="000000"/>
              <w:left w:val="single" w:sz="4" w:space="0" w:color="000000"/>
              <w:bottom w:val="single" w:sz="4" w:space="0" w:color="000000"/>
              <w:right w:val="single" w:sz="4" w:space="0" w:color="000000"/>
            </w:tcBorders>
          </w:tcPr>
          <w:p>
            <w:pPr>
              <w:pStyle w:val="TableParagraph"/>
              <w:spacing w:line="312" w:lineRule="auto" w:before="21"/>
              <w:ind w:left="14" w:right="3"/>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、无需安装调试或经销商可自行安装调试的产</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品：经销商收到货物，验收合格、账目核对并确</w:t>
            </w:r>
            <w:r>
              <w:rPr>
                <w:rFonts w:ascii="宋体" w:hAnsi="宋体" w:cs="宋体" w:eastAsia="宋体" w:hint="default"/>
                <w:sz w:val="18"/>
                <w:szCs w:val="18"/>
              </w:rPr>
              <w:t> 认付款后，开具发票交付经销商，确认收入。 </w:t>
            </w: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、需本公司提供技术支持的新产品、复杂系统</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项目产品：经销商在收到货物、待系统安装和调</w:t>
            </w:r>
            <w:r>
              <w:rPr>
                <w:rFonts w:ascii="宋体" w:hAnsi="宋体" w:cs="宋体" w:eastAsia="宋体" w:hint="default"/>
                <w:sz w:val="18"/>
                <w:szCs w:val="18"/>
              </w:rPr>
              <w:t> 试通过后（本公司提供技术支持），对方确认产 品合格。经销商确认产品合格、账目核对并同意 付款后，开具发票交付经销商，确认收入。</w:t>
            </w:r>
          </w:p>
        </w:tc>
      </w:tr>
    </w:tbl>
    <w:p>
      <w:pPr>
        <w:spacing w:line="240" w:lineRule="auto" w:before="1"/>
        <w:rPr>
          <w:rFonts w:ascii="宋体" w:hAnsi="宋体" w:cs="宋体" w:eastAsia="宋体" w:hint="default"/>
          <w:sz w:val="20"/>
          <w:szCs w:val="20"/>
        </w:rPr>
      </w:pPr>
    </w:p>
    <w:p>
      <w:pPr>
        <w:spacing w:line="321" w:lineRule="auto" w:before="35"/>
        <w:ind w:left="721" w:right="1155" w:firstLine="141"/>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w:t>
      </w:r>
      <w:r>
        <w:rPr>
          <w:rFonts w:ascii="宋体" w:hAnsi="宋体" w:cs="宋体" w:eastAsia="宋体" w:hint="default"/>
          <w:b/>
          <w:bCs/>
          <w:sz w:val="21"/>
          <w:szCs w:val="21"/>
        </w:rPr>
        <w:t>让渡资产使用权收入的确认和计量原则</w:t>
      </w:r>
      <w:r>
        <w:rPr>
          <w:rFonts w:ascii="宋体" w:hAnsi="宋体" w:cs="宋体" w:eastAsia="宋体" w:hint="default"/>
          <w:b/>
          <w:bCs/>
          <w:w w:val="99"/>
          <w:sz w:val="21"/>
          <w:szCs w:val="21"/>
        </w:rPr>
        <w:t> </w:t>
      </w:r>
      <w:r>
        <w:rPr>
          <w:rFonts w:ascii="宋体" w:hAnsi="宋体" w:cs="宋体" w:eastAsia="宋体" w:hint="default"/>
          <w:sz w:val="21"/>
          <w:szCs w:val="21"/>
        </w:rPr>
        <w:t>与交易相关的经济利益很可能流入企业，收入的金额能够可靠地计量时。分别下列情况确定让渡资</w:t>
      </w:r>
    </w:p>
    <w:p>
      <w:pPr>
        <w:pStyle w:val="BodyText"/>
        <w:spacing w:line="240" w:lineRule="auto" w:before="121"/>
        <w:ind w:right="1117"/>
        <w:jc w:val="left"/>
      </w:pPr>
      <w:r>
        <w:rPr/>
        <w:t>产使用权收入金额：</w:t>
      </w:r>
    </w:p>
    <w:p>
      <w:pPr>
        <w:spacing w:line="240" w:lineRule="auto" w:before="10"/>
        <w:rPr>
          <w:rFonts w:ascii="宋体" w:hAnsi="宋体" w:cs="宋体" w:eastAsia="宋体" w:hint="default"/>
          <w:sz w:val="14"/>
          <w:szCs w:val="14"/>
        </w:rPr>
      </w:pPr>
    </w:p>
    <w:p>
      <w:pPr>
        <w:pStyle w:val="BodyText"/>
        <w:spacing w:line="240" w:lineRule="auto" w:before="0"/>
        <w:ind w:left="721" w:right="1117"/>
        <w:jc w:val="left"/>
      </w:pPr>
      <w:r>
        <w:rPr/>
        <w:t>（</w:t>
      </w:r>
      <w:r>
        <w:rPr>
          <w:rFonts w:ascii="宋体" w:hAnsi="宋体" w:cs="宋体" w:eastAsia="宋体" w:hint="default"/>
        </w:rPr>
        <w:t>1</w:t>
      </w:r>
      <w:r>
        <w:rPr/>
        <w:t>）利息收入金额，按照他人使用本企业货币资金的时间和实际利率计算确定。</w:t>
      </w:r>
    </w:p>
    <w:p>
      <w:pPr>
        <w:spacing w:line="240" w:lineRule="auto" w:before="10"/>
        <w:rPr>
          <w:rFonts w:ascii="宋体" w:hAnsi="宋体" w:cs="宋体" w:eastAsia="宋体" w:hint="default"/>
          <w:sz w:val="14"/>
          <w:szCs w:val="14"/>
        </w:rPr>
      </w:pPr>
    </w:p>
    <w:p>
      <w:pPr>
        <w:pStyle w:val="BodyText"/>
        <w:spacing w:line="240" w:lineRule="auto" w:before="0"/>
        <w:ind w:left="721" w:right="1117"/>
        <w:jc w:val="left"/>
      </w:pPr>
      <w:r>
        <w:rPr/>
        <w:t>（</w:t>
      </w:r>
      <w:r>
        <w:rPr>
          <w:rFonts w:ascii="宋体" w:hAnsi="宋体" w:cs="宋体" w:eastAsia="宋体" w:hint="default"/>
        </w:rPr>
        <w:t>2</w:t>
      </w:r>
      <w:r>
        <w:rPr/>
        <w:t>）使用费收入金额，按照有关合同或协议约定的收费时间和方法计算确定。</w:t>
      </w:r>
    </w:p>
    <w:p>
      <w:pPr>
        <w:spacing w:line="240" w:lineRule="auto" w:before="0"/>
        <w:rPr>
          <w:rFonts w:ascii="宋体" w:hAnsi="宋体" w:cs="宋体" w:eastAsia="宋体" w:hint="default"/>
          <w:sz w:val="20"/>
          <w:szCs w:val="20"/>
        </w:rPr>
      </w:pPr>
    </w:p>
    <w:p>
      <w:pPr>
        <w:pStyle w:val="Heading4"/>
        <w:spacing w:line="240" w:lineRule="auto" w:before="154"/>
        <w:ind w:right="1117"/>
        <w:jc w:val="left"/>
        <w:rPr>
          <w:b w:val="0"/>
          <w:bCs w:val="0"/>
        </w:rPr>
      </w:pPr>
      <w:bookmarkStart w:name="26、政府补助" w:id="208"/>
      <w:bookmarkEnd w:id="208"/>
      <w:r>
        <w:rPr>
          <w:b w:val="0"/>
          <w:bCs w:val="0"/>
        </w:rPr>
      </w:r>
      <w:r>
        <w:rPr>
          <w:rFonts w:ascii="Times New Roman" w:hAnsi="Times New Roman" w:cs="Times New Roman" w:eastAsia="Times New Roman" w:hint="default"/>
        </w:rPr>
        <w:t>26</w:t>
      </w:r>
      <w:r>
        <w:rPr/>
        <w:t>、政府补助</w:t>
      </w:r>
      <w:r>
        <w:rPr>
          <w:b w:val="0"/>
          <w:bCs w:val="0"/>
        </w:rPr>
      </w:r>
    </w:p>
    <w:p>
      <w:pPr>
        <w:spacing w:line="240" w:lineRule="auto" w:before="7"/>
        <w:rPr>
          <w:rFonts w:ascii="宋体" w:hAnsi="宋体" w:cs="宋体" w:eastAsia="宋体" w:hint="default"/>
          <w:b/>
          <w:bCs/>
          <w:sz w:val="30"/>
          <w:szCs w:val="30"/>
        </w:rPr>
      </w:pPr>
    </w:p>
    <w:p>
      <w:pPr>
        <w:pStyle w:val="BodyText"/>
        <w:spacing w:line="408" w:lineRule="auto" w:before="0"/>
        <w:ind w:left="580" w:right="1130"/>
        <w:jc w:val="left"/>
      </w:pPr>
      <w:r>
        <w:rPr>
          <w:rFonts w:ascii="宋体" w:hAnsi="宋体" w:cs="宋体" w:eastAsia="宋体" w:hint="default"/>
          <w:b/>
          <w:bCs/>
        </w:rPr>
        <w:t>1.</w:t>
      </w:r>
      <w:r>
        <w:rPr>
          <w:rFonts w:ascii="宋体" w:hAnsi="宋体" w:cs="宋体" w:eastAsia="宋体" w:hint="default"/>
          <w:b/>
          <w:bCs/>
        </w:rPr>
        <w:t>类型</w:t>
      </w:r>
      <w:r>
        <w:rPr>
          <w:rFonts w:ascii="宋体" w:hAnsi="宋体" w:cs="宋体" w:eastAsia="宋体" w:hint="default"/>
          <w:b/>
          <w:bCs/>
          <w:spacing w:val="1"/>
          <w:w w:val="99"/>
        </w:rPr>
        <w:t> </w:t>
      </w:r>
      <w:r>
        <w:rPr>
          <w:spacing w:val="-1"/>
        </w:rPr>
        <w:t>政府补助，是本公司从政府无偿取得的货币性资产与非货币性资产。分为与资产相关的政府补助和与</w:t>
      </w:r>
    </w:p>
    <w:p>
      <w:pPr>
        <w:pStyle w:val="BodyText"/>
        <w:spacing w:line="408" w:lineRule="auto"/>
        <w:ind w:left="580" w:right="1130" w:hanging="426"/>
        <w:jc w:val="left"/>
      </w:pPr>
      <w:r>
        <w:rPr/>
        <w:t>收益相关的政府补助。 </w:t>
      </w:r>
      <w:r>
        <w:rPr>
          <w:spacing w:val="-1"/>
        </w:rPr>
        <w:t>与资产相关的政府补助，是指本公司取得的、用于购建或以其他方式形成长期资产的政府补助。与收</w:t>
      </w:r>
    </w:p>
    <w:p>
      <w:pPr>
        <w:pStyle w:val="BodyText"/>
        <w:spacing w:line="408" w:lineRule="auto"/>
        <w:ind w:left="580" w:right="1130" w:hanging="426"/>
        <w:jc w:val="left"/>
      </w:pPr>
      <w:r>
        <w:rPr/>
        <w:t>益相关的政府补助，是指除与资产相关的政府补助之外的政府补助。 </w:t>
      </w:r>
      <w:r>
        <w:rPr>
          <w:spacing w:val="-1"/>
        </w:rPr>
        <w:t>本公司将政府补助划分为与资产相关的具体标准为：本公司取得的、用于购建或以其他方式形成长期</w:t>
      </w:r>
    </w:p>
    <w:p>
      <w:pPr>
        <w:pStyle w:val="BodyText"/>
        <w:spacing w:line="240" w:lineRule="auto"/>
        <w:ind w:right="1117"/>
        <w:jc w:val="left"/>
      </w:pPr>
      <w:r>
        <w:rPr/>
        <w:t>资产的政府补助，包括购买固定资产或无形资产的财政拨款、固定资产专门借款的财政贴息等。</w:t>
      </w:r>
    </w:p>
    <w:p>
      <w:pPr>
        <w:spacing w:after="0" w:line="240" w:lineRule="auto"/>
        <w:jc w:val="left"/>
        <w:sectPr>
          <w:pgSz w:w="11910" w:h="16840"/>
          <w:pgMar w:header="877" w:footer="979" w:top="1060" w:bottom="1160" w:left="980" w:right="0"/>
        </w:sectPr>
      </w:pPr>
    </w:p>
    <w:p>
      <w:pPr>
        <w:spacing w:line="240" w:lineRule="auto" w:before="0"/>
        <w:rPr>
          <w:rFonts w:ascii="宋体" w:hAnsi="宋体" w:cs="宋体" w:eastAsia="宋体" w:hint="default"/>
          <w:sz w:val="20"/>
          <w:szCs w:val="20"/>
        </w:rPr>
      </w:pPr>
    </w:p>
    <w:p>
      <w:pPr>
        <w:pStyle w:val="BodyText"/>
        <w:spacing w:line="408" w:lineRule="auto" w:before="174"/>
        <w:ind w:left="580" w:right="0"/>
        <w:jc w:val="left"/>
        <w:rPr>
          <w:rFonts w:ascii="宋体" w:hAnsi="宋体" w:cs="宋体" w:eastAsia="宋体" w:hint="default"/>
        </w:rPr>
      </w:pPr>
      <w:r>
        <w:rPr/>
        <w:t>本公司将政府补助划分为与收益相关的具体标准为：是指除与资产相关的政府补助之外的政府补助。</w:t>
      </w:r>
      <w:r>
        <w:rPr>
          <w:spacing w:val="-43"/>
        </w:rPr>
        <w:t> </w:t>
      </w:r>
      <w:r>
        <w:rPr>
          <w:spacing w:val="-43"/>
        </w:rPr>
      </w:r>
      <w:r>
        <w:rPr>
          <w:rFonts w:ascii="宋体" w:hAnsi="宋体" w:cs="宋体" w:eastAsia="宋体" w:hint="default"/>
          <w:b/>
          <w:bCs/>
        </w:rPr>
        <w:t>2</w:t>
      </w:r>
      <w:r>
        <w:rPr>
          <w:rFonts w:ascii="宋体" w:hAnsi="宋体" w:cs="宋体" w:eastAsia="宋体" w:hint="default"/>
          <w:b/>
          <w:bCs/>
        </w:rPr>
        <w:t>．确认时点</w:t>
      </w:r>
      <w:r>
        <w:rPr>
          <w:rFonts w:ascii="宋体" w:hAnsi="宋体" w:cs="宋体" w:eastAsia="宋体" w:hint="default"/>
        </w:rPr>
      </w:r>
    </w:p>
    <w:p>
      <w:pPr>
        <w:spacing w:line="408" w:lineRule="auto" w:before="46"/>
        <w:ind w:left="576" w:right="6337" w:firstLine="3"/>
        <w:jc w:val="left"/>
        <w:rPr>
          <w:rFonts w:ascii="宋体" w:hAnsi="宋体" w:cs="宋体" w:eastAsia="宋体" w:hint="default"/>
          <w:sz w:val="21"/>
          <w:szCs w:val="21"/>
        </w:rPr>
      </w:pPr>
      <w:r>
        <w:rPr>
          <w:rFonts w:ascii="宋体" w:hAnsi="宋体" w:cs="宋体" w:eastAsia="宋体" w:hint="default"/>
          <w:sz w:val="21"/>
          <w:szCs w:val="21"/>
        </w:rPr>
        <w:t>以实际收到的政府补助日期作为确认时点。 </w:t>
      </w:r>
      <w:r>
        <w:rPr>
          <w:rFonts w:ascii="宋体" w:hAnsi="宋体" w:cs="宋体" w:eastAsia="宋体" w:hint="default"/>
          <w:b/>
          <w:bCs/>
          <w:sz w:val="21"/>
          <w:szCs w:val="21"/>
        </w:rPr>
        <w:t>3.</w:t>
      </w:r>
      <w:r>
        <w:rPr>
          <w:rFonts w:ascii="宋体" w:hAnsi="宋体" w:cs="宋体" w:eastAsia="宋体" w:hint="default"/>
          <w:b/>
          <w:bCs/>
          <w:sz w:val="21"/>
          <w:szCs w:val="21"/>
        </w:rPr>
        <w:t>会计处理</w:t>
      </w:r>
      <w:r>
        <w:rPr>
          <w:rFonts w:ascii="宋体" w:hAnsi="宋体" w:cs="宋体" w:eastAsia="宋体" w:hint="default"/>
          <w:sz w:val="21"/>
          <w:szCs w:val="21"/>
        </w:rPr>
      </w:r>
    </w:p>
    <w:p>
      <w:pPr>
        <w:pStyle w:val="BodyText"/>
        <w:spacing w:line="408" w:lineRule="auto"/>
        <w:ind w:right="1133" w:firstLine="426"/>
        <w:jc w:val="both"/>
      </w:pPr>
      <w:r>
        <w:rPr>
          <w:spacing w:val="-1"/>
        </w:rPr>
        <w:t>与资产相关的政府补助，冲减相关资产账面价值或确认为递延收益。确认为递延收益的，在相关资产</w:t>
      </w:r>
      <w:r>
        <w:rPr/>
        <w:t> </w:t>
      </w:r>
      <w:r>
        <w:rPr>
          <w:spacing w:val="-1"/>
        </w:rPr>
        <w:t>使用寿命内按照合理、系统的方法分期计入当期损益（与本公司日常活动相关的，计入其他收益；与本公</w:t>
      </w:r>
      <w:r>
        <w:rPr>
          <w:spacing w:val="-86"/>
        </w:rPr>
        <w:t> </w:t>
      </w:r>
      <w:r>
        <w:rPr>
          <w:spacing w:val="-86"/>
        </w:rPr>
      </w:r>
      <w:r>
        <w:rPr/>
        <w:t>司日常活动无关的，计入营业外收入）；</w:t>
      </w:r>
    </w:p>
    <w:p>
      <w:pPr>
        <w:pStyle w:val="BodyText"/>
        <w:spacing w:line="408" w:lineRule="auto"/>
        <w:ind w:right="1131" w:firstLine="426"/>
        <w:jc w:val="both"/>
      </w:pPr>
      <w:r>
        <w:rPr>
          <w:spacing w:val="-1"/>
        </w:rPr>
        <w:t>与收益相关的政府补助，用于补偿本公司以后期间的相关成本费用或损失的，确认为递延收益，并在</w:t>
      </w:r>
      <w:r>
        <w:rPr/>
        <w:t> </w:t>
      </w:r>
      <w:r>
        <w:rPr>
          <w:spacing w:val="-1"/>
        </w:rPr>
        <w:t>确认相关成本费用或损失的期间，计入当期损益（与本公司日常活动相关的，计入其他收益；与本公司日</w:t>
      </w:r>
      <w:r>
        <w:rPr>
          <w:spacing w:val="-86"/>
        </w:rPr>
        <w:t> </w:t>
      </w:r>
      <w:r>
        <w:rPr>
          <w:spacing w:val="-86"/>
        </w:rPr>
      </w:r>
      <w:r>
        <w:rPr>
          <w:spacing w:val="-1"/>
        </w:rPr>
        <w:t>常活动无关的，计入营业外收入）或冲减相关成本费用或损失；用于补偿本公司已发生的相关成本费用或</w:t>
      </w:r>
      <w:r>
        <w:rPr>
          <w:spacing w:val="-83"/>
        </w:rPr>
        <w:t> </w:t>
      </w:r>
      <w:r>
        <w:rPr>
          <w:spacing w:val="-83"/>
        </w:rPr>
      </w:r>
      <w:r>
        <w:rPr>
          <w:spacing w:val="-1"/>
        </w:rPr>
        <w:t>损失的，直接计入当期损益（与本公司日常活动相关的，计入其他收益；与本公司日常活动无关的，计入</w:t>
      </w:r>
      <w:r>
        <w:rPr>
          <w:spacing w:val="-83"/>
        </w:rPr>
        <w:t> </w:t>
      </w:r>
      <w:r>
        <w:rPr>
          <w:spacing w:val="-83"/>
        </w:rPr>
      </w:r>
      <w:r>
        <w:rPr/>
        <w:t>营业外收入）或冲减相关成本费用或损失。</w:t>
      </w:r>
    </w:p>
    <w:p>
      <w:pPr>
        <w:pStyle w:val="BodyText"/>
        <w:spacing w:line="240" w:lineRule="auto"/>
        <w:ind w:left="580" w:right="1117"/>
        <w:jc w:val="left"/>
      </w:pPr>
      <w:r>
        <w:rPr/>
        <w:t>本公司取得的政策性优惠贷款贴息，区分以下两种情况，分别进行会计处理：</w:t>
      </w:r>
    </w:p>
    <w:p>
      <w:pPr>
        <w:spacing w:line="240" w:lineRule="auto" w:before="10"/>
        <w:rPr>
          <w:rFonts w:ascii="宋体" w:hAnsi="宋体" w:cs="宋体" w:eastAsia="宋体" w:hint="default"/>
          <w:sz w:val="14"/>
          <w:szCs w:val="14"/>
        </w:rPr>
      </w:pPr>
    </w:p>
    <w:p>
      <w:pPr>
        <w:pStyle w:val="BodyText"/>
        <w:spacing w:line="386" w:lineRule="auto" w:before="0"/>
        <w:ind w:right="1142" w:firstLine="426"/>
        <w:jc w:val="both"/>
      </w:pPr>
      <w:r>
        <w:rPr/>
        <w:t>（</w:t>
      </w:r>
      <w:r>
        <w:rPr>
          <w:rFonts w:ascii="Times New Roman" w:hAnsi="Times New Roman" w:cs="Times New Roman" w:eastAsia="Times New Roman" w:hint="default"/>
        </w:rPr>
        <w:t>1</w:t>
      </w:r>
      <w:r>
        <w:rPr/>
        <w:t>）财政将贴息资金拨付给贷款银行，由贷款银行以政策性优惠利率向本公司提供贷款的，本公司 以实际收到的借款金额作为借款的入账价值，按照借款本金和该政策性优惠利率计算相关借款费用。</w:t>
      </w:r>
    </w:p>
    <w:p>
      <w:pPr>
        <w:pStyle w:val="BodyText"/>
        <w:spacing w:line="240" w:lineRule="auto" w:before="65"/>
        <w:ind w:left="580" w:right="1117"/>
        <w:jc w:val="left"/>
      </w:pPr>
      <w:r>
        <w:rPr/>
        <w:t>（</w:t>
      </w:r>
      <w:r>
        <w:rPr>
          <w:rFonts w:ascii="Times New Roman" w:hAnsi="Times New Roman" w:cs="Times New Roman" w:eastAsia="Times New Roman" w:hint="default"/>
        </w:rPr>
        <w:t>2</w:t>
      </w:r>
      <w:r>
        <w:rPr/>
        <w:t>）财政将贴息资金直接拨付给本公司的，本公司将对应的贴息冲减相关借款费用。</w:t>
      </w:r>
    </w:p>
    <w:p>
      <w:pPr>
        <w:spacing w:line="670" w:lineRule="atLeast" w:before="21"/>
        <w:ind w:left="577" w:right="1117" w:hanging="424"/>
        <w:jc w:val="left"/>
        <w:rPr>
          <w:rFonts w:ascii="宋体" w:hAnsi="宋体" w:cs="宋体" w:eastAsia="宋体" w:hint="default"/>
          <w:sz w:val="21"/>
          <w:szCs w:val="21"/>
        </w:rPr>
      </w:pPr>
      <w:bookmarkStart w:name="27、递延所得税资产/递延所得税负债" w:id="209"/>
      <w:bookmarkEnd w:id="209"/>
      <w:r>
        <w:rPr/>
      </w:r>
      <w:r>
        <w:rPr>
          <w:rFonts w:ascii="Times New Roman" w:hAnsi="Times New Roman" w:cs="Times New Roman" w:eastAsia="Times New Roman" w:hint="default"/>
          <w:b/>
          <w:bCs/>
          <w:sz w:val="21"/>
          <w:szCs w:val="21"/>
        </w:rPr>
        <w:t>27</w:t>
      </w:r>
      <w:r>
        <w:rPr>
          <w:rFonts w:ascii="宋体" w:hAnsi="宋体" w:cs="宋体" w:eastAsia="宋体" w:hint="default"/>
          <w:b/>
          <w:bCs/>
          <w:sz w:val="21"/>
          <w:szCs w:val="21"/>
        </w:rPr>
        <w:t>、递延所得税资产</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递延所得税负债</w:t>
      </w:r>
      <w:r>
        <w:rPr>
          <w:rFonts w:ascii="宋体" w:hAnsi="宋体" w:cs="宋体" w:eastAsia="宋体" w:hint="default"/>
          <w:b/>
          <w:bCs/>
          <w:w w:val="99"/>
          <w:sz w:val="21"/>
          <w:szCs w:val="21"/>
        </w:rPr>
        <w:t> </w:t>
      </w:r>
      <w:r>
        <w:rPr>
          <w:rFonts w:ascii="宋体" w:hAnsi="宋体" w:cs="宋体" w:eastAsia="宋体" w:hint="default"/>
          <w:spacing w:val="-1"/>
          <w:sz w:val="21"/>
          <w:szCs w:val="21"/>
        </w:rPr>
        <w:t>对于可抵扣暂时性差异确认递延所得税资产，以未来期间很可能取得的用来抵扣可抵扣暂时性差异的</w:t>
      </w:r>
    </w:p>
    <w:p>
      <w:pPr>
        <w:spacing w:line="240" w:lineRule="auto" w:before="10"/>
        <w:rPr>
          <w:rFonts w:ascii="宋体" w:hAnsi="宋体" w:cs="宋体" w:eastAsia="宋体" w:hint="default"/>
          <w:sz w:val="14"/>
          <w:szCs w:val="14"/>
        </w:rPr>
      </w:pPr>
    </w:p>
    <w:p>
      <w:pPr>
        <w:pStyle w:val="BodyText"/>
        <w:spacing w:line="408" w:lineRule="auto" w:before="0"/>
        <w:ind w:right="1131"/>
        <w:jc w:val="both"/>
      </w:pPr>
      <w:r>
        <w:rPr>
          <w:spacing w:val="-1"/>
        </w:rPr>
        <w:t>应纳税所得额为限。对于能够结转以后年度的可抵扣亏损和税款抵减，以很可能获得用来抵扣可抵扣亏损</w:t>
      </w:r>
      <w:r>
        <w:rPr>
          <w:spacing w:val="-81"/>
        </w:rPr>
        <w:t> </w:t>
      </w:r>
      <w:r>
        <w:rPr>
          <w:spacing w:val="-81"/>
        </w:rPr>
      </w:r>
      <w:r>
        <w:rPr/>
        <w:t>和税款抵减的未来应纳税所得额为限，确认相应的递延所得税资产。</w:t>
      </w:r>
    </w:p>
    <w:p>
      <w:pPr>
        <w:pStyle w:val="BodyText"/>
        <w:spacing w:line="408" w:lineRule="auto"/>
        <w:ind w:left="577" w:right="1117"/>
        <w:jc w:val="left"/>
      </w:pPr>
      <w:r>
        <w:rPr/>
        <w:t>对于应纳税暂时性差异，除特殊情况外，确认递延所得税负债。 </w:t>
      </w:r>
      <w:r>
        <w:rPr>
          <w:spacing w:val="-1"/>
        </w:rPr>
        <w:t>不确认递延所得税资产或递延所得税负债的特殊情况包括：商誉的初始确认；除企业合并以外的发生</w:t>
      </w:r>
    </w:p>
    <w:p>
      <w:pPr>
        <w:pStyle w:val="BodyText"/>
        <w:spacing w:line="408" w:lineRule="auto"/>
        <w:ind w:left="577" w:right="1117" w:hanging="424"/>
        <w:jc w:val="left"/>
      </w:pPr>
      <w:r>
        <w:rPr/>
        <w:t>时既不影响会计利润也不影响应纳税所得额（或可抵扣亏损）的其他交易或事项。 </w:t>
      </w:r>
      <w:r>
        <w:rPr>
          <w:spacing w:val="-1"/>
        </w:rPr>
        <w:t>当拥有以净额结算的法定权利，且意图以净额结算或取得资产、清偿负债同时进行时，当期所得税资</w:t>
      </w:r>
    </w:p>
    <w:p>
      <w:pPr>
        <w:pStyle w:val="BodyText"/>
        <w:spacing w:line="408" w:lineRule="auto"/>
        <w:ind w:left="577" w:right="1117" w:hanging="424"/>
        <w:jc w:val="left"/>
      </w:pPr>
      <w:r>
        <w:rPr/>
        <w:t>产及当期所得税负债以抵销后的净额列报。 </w:t>
      </w:r>
      <w:r>
        <w:rPr>
          <w:spacing w:val="-1"/>
        </w:rPr>
        <w:t>当拥有以净额结算当期所得税资产及当期所得税负债的法定权利，且递延所得税资产及递延所得税负</w:t>
      </w:r>
    </w:p>
    <w:p>
      <w:pPr>
        <w:pStyle w:val="BodyText"/>
        <w:spacing w:line="408" w:lineRule="auto"/>
        <w:ind w:right="1131"/>
        <w:jc w:val="both"/>
      </w:pPr>
      <w:r>
        <w:rPr>
          <w:spacing w:val="-1"/>
        </w:rPr>
        <w:t>债是与同一税收征管部门对同一纳税主体征收的所得税相关或者是对不同的纳税主体相关，但在未来每一</w:t>
      </w:r>
      <w:r>
        <w:rPr>
          <w:spacing w:val="-81"/>
        </w:rPr>
        <w:t> </w:t>
      </w:r>
      <w:r>
        <w:rPr>
          <w:spacing w:val="-81"/>
        </w:rPr>
      </w:r>
      <w:r>
        <w:rPr>
          <w:spacing w:val="-1"/>
        </w:rPr>
        <w:t>具有重要性的递延所得税资产及负债转回的期间内，涉及的纳税主体意图以净额结算当期所得税资产和负</w:t>
      </w:r>
      <w:r>
        <w:rPr>
          <w:spacing w:val="-81"/>
        </w:rPr>
        <w:t> </w:t>
      </w:r>
      <w:r>
        <w:rPr>
          <w:spacing w:val="-81"/>
        </w:rPr>
      </w:r>
      <w:r>
        <w:rPr/>
        <w:t>债或是同时取得资产、清偿负债时，递延所得税资产及递延所得税负债以抵销后的净额列报。</w:t>
      </w:r>
    </w:p>
    <w:p>
      <w:pPr>
        <w:spacing w:after="0" w:line="408" w:lineRule="auto"/>
        <w:jc w:val="both"/>
        <w:sectPr>
          <w:pgSz w:w="11910" w:h="16840"/>
          <w:pgMar w:header="877" w:footer="979" w:top="1060" w:bottom="1160" w:left="980" w:right="0"/>
        </w:sectPr>
      </w:pPr>
    </w:p>
    <w:p>
      <w:pPr>
        <w:spacing w:line="240" w:lineRule="auto" w:before="10"/>
        <w:rPr>
          <w:rFonts w:ascii="宋体" w:hAnsi="宋体" w:cs="宋体" w:eastAsia="宋体" w:hint="default"/>
          <w:sz w:val="24"/>
          <w:szCs w:val="24"/>
        </w:rPr>
      </w:pPr>
    </w:p>
    <w:p>
      <w:pPr>
        <w:pStyle w:val="Heading4"/>
        <w:spacing w:line="240" w:lineRule="auto" w:before="35"/>
        <w:ind w:right="1117"/>
        <w:jc w:val="left"/>
        <w:rPr>
          <w:b w:val="0"/>
          <w:bCs w:val="0"/>
        </w:rPr>
      </w:pPr>
      <w:bookmarkStart w:name="28、租赁" w:id="210"/>
      <w:bookmarkEnd w:id="210"/>
      <w:r>
        <w:rPr>
          <w:b w:val="0"/>
          <w:bCs w:val="0"/>
        </w:rPr>
      </w:r>
      <w:r>
        <w:rPr>
          <w:rFonts w:ascii="Times New Roman" w:hAnsi="Times New Roman" w:cs="Times New Roman" w:eastAsia="Times New Roman" w:hint="default"/>
        </w:rPr>
        <w:t>28</w:t>
      </w:r>
      <w:r>
        <w:rPr/>
        <w:t>、租赁</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1117"/>
        <w:jc w:val="left"/>
        <w:rPr>
          <w:b w:val="0"/>
          <w:bCs w:val="0"/>
        </w:rPr>
      </w:pPr>
      <w:bookmarkStart w:name="（1）经营租赁的会计处理方法" w:id="211"/>
      <w:bookmarkEnd w:id="211"/>
      <w:r>
        <w:rPr>
          <w:b w:val="0"/>
          <w:bCs w:val="0"/>
        </w:rPr>
      </w:r>
      <w:r>
        <w:rPr/>
        <w:t>（</w:t>
      </w:r>
      <w:r>
        <w:rPr>
          <w:rFonts w:ascii="Times New Roman" w:hAnsi="Times New Roman" w:cs="Times New Roman" w:eastAsia="Times New Roman" w:hint="default"/>
        </w:rPr>
        <w:t>1</w:t>
      </w:r>
      <w:r>
        <w:rPr/>
        <w:t>）经营租赁的会计处理方法</w:t>
      </w:r>
      <w:r>
        <w:rPr>
          <w:b w:val="0"/>
          <w:bCs w:val="0"/>
        </w:rPr>
      </w:r>
    </w:p>
    <w:p>
      <w:pPr>
        <w:spacing w:line="240" w:lineRule="auto" w:before="7"/>
        <w:rPr>
          <w:rFonts w:ascii="宋体" w:hAnsi="宋体" w:cs="宋体" w:eastAsia="宋体" w:hint="default"/>
          <w:b/>
          <w:bCs/>
          <w:sz w:val="30"/>
          <w:szCs w:val="30"/>
        </w:rPr>
      </w:pPr>
    </w:p>
    <w:p>
      <w:pPr>
        <w:pStyle w:val="BodyText"/>
        <w:spacing w:line="408" w:lineRule="auto" w:before="0"/>
        <w:ind w:left="721" w:right="1135" w:firstLine="423"/>
        <w:jc w:val="both"/>
      </w:pPr>
      <w:r>
        <w:rPr/>
        <w:t>①公司租入资产所支付的租赁费，在不扣除免租期的整个租赁期内，按直线法进行分摊，计入 当期费用。公司支付的与租赁交易相关的初始直接费用，计入当期费用。</w:t>
      </w:r>
    </w:p>
    <w:p>
      <w:pPr>
        <w:pStyle w:val="BodyText"/>
        <w:spacing w:line="408" w:lineRule="auto"/>
        <w:ind w:left="721" w:right="1026" w:firstLine="423"/>
        <w:jc w:val="left"/>
      </w:pPr>
      <w:r>
        <w:rPr>
          <w:spacing w:val="-2"/>
        </w:rPr>
        <w:t>资产出租方承担了应由公司承担的与租赁相关的费用时，公司将该部分费用从租金总额中扣除，</w:t>
      </w:r>
      <w:r>
        <w:rPr/>
        <w:t> 按扣除后的租金费用在租赁期内分摊，计入当期费用。</w:t>
      </w:r>
    </w:p>
    <w:p>
      <w:pPr>
        <w:pStyle w:val="BodyText"/>
        <w:spacing w:line="408" w:lineRule="auto"/>
        <w:ind w:left="721" w:right="1131" w:firstLine="423"/>
        <w:jc w:val="both"/>
      </w:pPr>
      <w:r>
        <w:rPr/>
        <w:t>②公司出租资产所收取的租赁费，在不扣除免租期的整个租赁期内，按直线法进行分摊，确认 为租赁相关收入。公司支付的与租赁交易相关的初始直接费用，计入当期费用；如金额较大的，则</w:t>
      </w:r>
      <w:r>
        <w:rPr>
          <w:spacing w:val="-72"/>
        </w:rPr>
        <w:t> </w:t>
      </w:r>
      <w:r>
        <w:rPr>
          <w:spacing w:val="-72"/>
        </w:rPr>
      </w:r>
      <w:r>
        <w:rPr/>
        <w:t>予以资本化，在整个租赁期间内按照与租赁相关收入确认相同的基础分期计入当期收益。</w:t>
      </w:r>
    </w:p>
    <w:p>
      <w:pPr>
        <w:pStyle w:val="BodyText"/>
        <w:spacing w:line="408" w:lineRule="auto"/>
        <w:ind w:left="721" w:right="1026" w:firstLine="423"/>
        <w:jc w:val="left"/>
      </w:pPr>
      <w:r>
        <w:rPr>
          <w:spacing w:val="-2"/>
        </w:rPr>
        <w:t>公司承担了应由承租方承担的与租赁相关的费用时，公司将该部分费用从租金收入总额中扣除，</w:t>
      </w:r>
      <w:r>
        <w:rPr/>
        <w:t> 按扣除后的租金费用在租赁期内分配。</w:t>
      </w:r>
    </w:p>
    <w:p>
      <w:pPr>
        <w:spacing w:line="240" w:lineRule="auto" w:before="8"/>
        <w:rPr>
          <w:rFonts w:ascii="宋体" w:hAnsi="宋体" w:cs="宋体" w:eastAsia="宋体" w:hint="default"/>
          <w:sz w:val="20"/>
          <w:szCs w:val="20"/>
        </w:rPr>
      </w:pPr>
    </w:p>
    <w:p>
      <w:pPr>
        <w:pStyle w:val="Heading4"/>
        <w:spacing w:line="240" w:lineRule="auto"/>
        <w:ind w:right="1117"/>
        <w:jc w:val="left"/>
        <w:rPr>
          <w:b w:val="0"/>
          <w:bCs w:val="0"/>
        </w:rPr>
      </w:pPr>
      <w:bookmarkStart w:name="（2）融资租赁的会计处理方法" w:id="212"/>
      <w:bookmarkEnd w:id="212"/>
      <w:r>
        <w:rPr>
          <w:b w:val="0"/>
          <w:bCs w:val="0"/>
        </w:rPr>
      </w:r>
      <w:r>
        <w:rPr/>
        <w:t>（</w:t>
      </w:r>
      <w:r>
        <w:rPr>
          <w:rFonts w:ascii="Times New Roman" w:hAnsi="Times New Roman" w:cs="Times New Roman" w:eastAsia="Times New Roman" w:hint="default"/>
        </w:rPr>
        <w:t>2</w:t>
      </w:r>
      <w:r>
        <w:rPr/>
        <w:t>）融资租赁的会计处理方法</w:t>
      </w:r>
      <w:r>
        <w:rPr>
          <w:b w:val="0"/>
          <w:bCs w:val="0"/>
        </w:rPr>
      </w:r>
    </w:p>
    <w:p>
      <w:pPr>
        <w:spacing w:line="240" w:lineRule="auto" w:before="7"/>
        <w:rPr>
          <w:rFonts w:ascii="宋体" w:hAnsi="宋体" w:cs="宋体" w:eastAsia="宋体" w:hint="default"/>
          <w:b/>
          <w:bCs/>
          <w:sz w:val="30"/>
          <w:szCs w:val="30"/>
        </w:rPr>
      </w:pPr>
    </w:p>
    <w:p>
      <w:pPr>
        <w:pStyle w:val="BodyText"/>
        <w:spacing w:line="408" w:lineRule="auto" w:before="0"/>
        <w:ind w:left="721" w:right="1135" w:firstLine="423"/>
        <w:jc w:val="both"/>
      </w:pPr>
      <w:r>
        <w:rPr/>
        <w:t>①融资租入资产：公司在承租开始日，将租赁资产公允价值与最低租赁付款额现值两者中较低 者作为租入资产的入账价值，将最低租赁付款额作为长期应付款的入账价值，其差额作为未确认的</w:t>
      </w:r>
      <w:r>
        <w:rPr>
          <w:spacing w:val="-72"/>
        </w:rPr>
        <w:t> </w:t>
      </w:r>
      <w:r>
        <w:rPr>
          <w:spacing w:val="-72"/>
        </w:rPr>
      </w:r>
      <w:r>
        <w:rPr/>
        <w:t>融资费用。公司采用实际利率法对未确认的融资费用，在资产租赁期间内摊销，计入财务费用。公</w:t>
      </w:r>
      <w:r>
        <w:rPr>
          <w:spacing w:val="-72"/>
        </w:rPr>
        <w:t> </w:t>
      </w:r>
      <w:r>
        <w:rPr>
          <w:spacing w:val="-72"/>
        </w:rPr>
      </w:r>
      <w:r>
        <w:rPr/>
        <w:t>司发生的初始直接费用，计入租入资产价值。</w:t>
      </w:r>
    </w:p>
    <w:p>
      <w:pPr>
        <w:pStyle w:val="BodyText"/>
        <w:spacing w:line="408" w:lineRule="auto"/>
        <w:ind w:left="721" w:right="1135" w:firstLine="423"/>
        <w:jc w:val="both"/>
      </w:pPr>
      <w:r>
        <w:rPr/>
        <w:t>②融资租出资产：公司在租赁开始日，将应收融资租赁款，未担保余值之和与其现值的差额确 认为未实现融资收益，在将来收到租金的各期间内确认为租赁收入。公司发生的与出租交易相关的</w:t>
      </w:r>
      <w:r>
        <w:rPr>
          <w:spacing w:val="-72"/>
        </w:rPr>
        <w:t> </w:t>
      </w:r>
      <w:r>
        <w:rPr>
          <w:spacing w:val="-72"/>
        </w:rPr>
      </w:r>
      <w:r>
        <w:rPr/>
        <w:t>初始直接费用，计入应收融资租赁款的初始计量中，并减少租赁期内确认的收益金额。</w:t>
      </w:r>
    </w:p>
    <w:p>
      <w:pPr>
        <w:spacing w:line="240" w:lineRule="auto" w:before="8"/>
        <w:rPr>
          <w:rFonts w:ascii="宋体" w:hAnsi="宋体" w:cs="宋体" w:eastAsia="宋体" w:hint="default"/>
          <w:sz w:val="20"/>
          <w:szCs w:val="20"/>
        </w:rPr>
      </w:pPr>
    </w:p>
    <w:p>
      <w:pPr>
        <w:pStyle w:val="Heading4"/>
        <w:spacing w:line="240" w:lineRule="auto"/>
        <w:ind w:right="1117"/>
        <w:jc w:val="left"/>
        <w:rPr>
          <w:b w:val="0"/>
          <w:bCs w:val="0"/>
        </w:rPr>
      </w:pPr>
      <w:bookmarkStart w:name="29、其他重要的会计政策和会计估计" w:id="213"/>
      <w:bookmarkEnd w:id="213"/>
      <w:r>
        <w:rPr>
          <w:b w:val="0"/>
          <w:bCs w:val="0"/>
        </w:rPr>
      </w:r>
      <w:r>
        <w:rPr>
          <w:rFonts w:ascii="Times New Roman" w:hAnsi="Times New Roman" w:cs="Times New Roman" w:eastAsia="Times New Roman" w:hint="default"/>
        </w:rPr>
        <w:t>29</w:t>
      </w:r>
      <w:r>
        <w:rPr/>
        <w:t>、其他重要的会计政策和会计估计</w:t>
      </w:r>
      <w:r>
        <w:rPr>
          <w:b w:val="0"/>
          <w:bCs w:val="0"/>
        </w:rPr>
      </w:r>
    </w:p>
    <w:p>
      <w:pPr>
        <w:spacing w:line="240" w:lineRule="auto" w:before="7"/>
        <w:rPr>
          <w:rFonts w:ascii="宋体" w:hAnsi="宋体" w:cs="宋体" w:eastAsia="宋体" w:hint="default"/>
          <w:b/>
          <w:bCs/>
          <w:sz w:val="30"/>
          <w:szCs w:val="30"/>
        </w:rPr>
      </w:pPr>
    </w:p>
    <w:p>
      <w:pPr>
        <w:pStyle w:val="BodyText"/>
        <w:spacing w:line="408" w:lineRule="auto" w:before="0"/>
        <w:ind w:right="1117" w:firstLine="423"/>
        <w:jc w:val="left"/>
      </w:pPr>
      <w:r>
        <w:rPr>
          <w:spacing w:val="-1"/>
        </w:rPr>
        <w:t>终止经营是满足下列条件之一的、能够单独区分的组成部分，且该组成部分已被本公司处置或被本公</w:t>
      </w:r>
      <w:r>
        <w:rPr/>
        <w:t> 司划归为持有待售类别：</w:t>
      </w:r>
    </w:p>
    <w:p>
      <w:pPr>
        <w:pStyle w:val="BodyText"/>
        <w:spacing w:line="240" w:lineRule="auto"/>
        <w:ind w:left="577" w:right="1117"/>
        <w:jc w:val="left"/>
      </w:pPr>
      <w:r>
        <w:rPr/>
        <w:t>（</w:t>
      </w:r>
      <w:r>
        <w:rPr>
          <w:rFonts w:ascii="Times New Roman" w:hAnsi="Times New Roman" w:cs="Times New Roman" w:eastAsia="Times New Roman" w:hint="default"/>
        </w:rPr>
        <w:t>1</w:t>
      </w:r>
      <w:r>
        <w:rPr/>
        <w:t>）该组成部分代表一项独立的主要业务或一个单独的主要经营地区；</w:t>
      </w:r>
    </w:p>
    <w:p>
      <w:pPr>
        <w:pStyle w:val="BodyText"/>
        <w:spacing w:line="386" w:lineRule="auto" w:before="177"/>
        <w:ind w:right="1194" w:firstLine="423"/>
        <w:jc w:val="left"/>
      </w:pPr>
      <w:r>
        <w:rPr/>
        <w:t>（</w:t>
      </w:r>
      <w:r>
        <w:rPr>
          <w:rFonts w:ascii="Times New Roman" w:hAnsi="Times New Roman" w:cs="Times New Roman" w:eastAsia="Times New Roman" w:hint="default"/>
        </w:rPr>
        <w:t>2</w:t>
      </w:r>
      <w:r>
        <w:rPr/>
        <w:t>）该组成部分是拟对一项独立的主要业务或一个单独的主要经营地区进行处置的一项相关联计划 的一部分；</w:t>
      </w:r>
    </w:p>
    <w:p>
      <w:pPr>
        <w:pStyle w:val="BodyText"/>
        <w:spacing w:line="240" w:lineRule="auto" w:before="65"/>
        <w:ind w:left="577" w:right="1117"/>
        <w:jc w:val="left"/>
      </w:pPr>
      <w:r>
        <w:rPr/>
        <w:t>（</w:t>
      </w:r>
      <w:r>
        <w:rPr>
          <w:rFonts w:ascii="Times New Roman" w:hAnsi="Times New Roman" w:cs="Times New Roman" w:eastAsia="Times New Roman" w:hint="default"/>
        </w:rPr>
        <w:t>3</w:t>
      </w:r>
      <w:r>
        <w:rPr/>
        <w:t>）该组成部分是专为转售而取得的子公司。</w:t>
      </w:r>
    </w:p>
    <w:p>
      <w:pPr>
        <w:spacing w:after="0" w:line="240" w:lineRule="auto"/>
        <w:jc w:val="left"/>
        <w:sectPr>
          <w:pgSz w:w="11910" w:h="16840"/>
          <w:pgMar w:header="877" w:footer="979" w:top="1060" w:bottom="1160" w:left="980" w:right="0"/>
        </w:sectPr>
      </w:pPr>
    </w:p>
    <w:p>
      <w:pPr>
        <w:spacing w:line="240" w:lineRule="auto" w:before="10"/>
        <w:rPr>
          <w:rFonts w:ascii="宋体" w:hAnsi="宋体" w:cs="宋体" w:eastAsia="宋体" w:hint="default"/>
          <w:sz w:val="24"/>
          <w:szCs w:val="24"/>
        </w:rPr>
      </w:pPr>
    </w:p>
    <w:p>
      <w:pPr>
        <w:pStyle w:val="Heading4"/>
        <w:spacing w:line="240" w:lineRule="auto" w:before="35"/>
        <w:ind w:right="1117"/>
        <w:jc w:val="left"/>
        <w:rPr>
          <w:b w:val="0"/>
          <w:bCs w:val="0"/>
        </w:rPr>
      </w:pPr>
      <w:bookmarkStart w:name="30、重要会计政策和会计估计变更" w:id="214"/>
      <w:bookmarkEnd w:id="214"/>
      <w:r>
        <w:rPr>
          <w:b w:val="0"/>
          <w:bCs w:val="0"/>
        </w:rPr>
      </w:r>
      <w:r>
        <w:rPr>
          <w:rFonts w:ascii="Times New Roman" w:hAnsi="Times New Roman" w:cs="Times New Roman" w:eastAsia="Times New Roman" w:hint="default"/>
        </w:rPr>
        <w:t>30</w:t>
      </w:r>
      <w:r>
        <w:rPr/>
        <w:t>、重要会计政策和会计估计变更</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1117"/>
        <w:jc w:val="left"/>
        <w:rPr>
          <w:b w:val="0"/>
          <w:bCs w:val="0"/>
        </w:rPr>
      </w:pPr>
      <w:bookmarkStart w:name="（1）重要会计政策变更" w:id="215"/>
      <w:bookmarkEnd w:id="215"/>
      <w:r>
        <w:rPr>
          <w:b w:val="0"/>
          <w:bCs w:val="0"/>
        </w:rPr>
      </w:r>
      <w:r>
        <w:rPr/>
        <w:t>（</w:t>
      </w:r>
      <w:r>
        <w:rPr>
          <w:rFonts w:ascii="Times New Roman" w:hAnsi="Times New Roman" w:cs="Times New Roman" w:eastAsia="Times New Roman" w:hint="default"/>
        </w:rPr>
        <w:t>1</w:t>
      </w:r>
      <w:r>
        <w:rPr/>
        <w:t>）重要会计政策变更</w:t>
      </w:r>
      <w:r>
        <w:rPr>
          <w:b w:val="0"/>
          <w:bCs w:val="0"/>
        </w:rPr>
      </w:r>
    </w:p>
    <w:p>
      <w:pPr>
        <w:spacing w:line="240" w:lineRule="auto" w:before="8"/>
        <w:rPr>
          <w:rFonts w:ascii="宋体" w:hAnsi="宋体" w:cs="宋体" w:eastAsia="宋体" w:hint="default"/>
          <w:b/>
          <w:bCs/>
          <w:sz w:val="26"/>
          <w:szCs w:val="26"/>
        </w:rPr>
      </w:pPr>
    </w:p>
    <w:p>
      <w:pPr>
        <w:spacing w:before="0"/>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适用</w:t>
      </w:r>
      <w:r>
        <w:rPr>
          <w:rFonts w:ascii="Times New Roman" w:hAnsi="Times New Roman" w:cs="Times New Roman" w:eastAsia="Times New Roman" w:hint="default"/>
          <w:sz w:val="18"/>
          <w:szCs w:val="18"/>
        </w:rPr>
        <w:t>□</w:t>
      </w:r>
      <w:r>
        <w:rPr>
          <w:rFonts w:ascii="宋体" w:hAnsi="宋体" w:cs="宋体" w:eastAsia="宋体" w:hint="default"/>
          <w:sz w:val="18"/>
          <w:szCs w:val="18"/>
        </w:rPr>
        <w:t>不适用</w:t>
      </w:r>
    </w:p>
    <w:p>
      <w:pPr>
        <w:spacing w:line="240" w:lineRule="auto" w:before="13"/>
        <w:rPr>
          <w:rFonts w:ascii="宋体" w:hAnsi="宋体" w:cs="宋体" w:eastAsia="宋体" w:hint="default"/>
          <w:sz w:val="6"/>
          <w:szCs w:val="6"/>
        </w:rPr>
      </w:pPr>
    </w:p>
    <w:tbl>
      <w:tblPr>
        <w:tblW w:w="0" w:type="auto"/>
        <w:jc w:val="left"/>
        <w:tblInd w:w="149" w:type="dxa"/>
        <w:tblLayout w:type="fixed"/>
        <w:tblCellMar>
          <w:top w:w="0" w:type="dxa"/>
          <w:left w:w="0" w:type="dxa"/>
          <w:bottom w:w="0" w:type="dxa"/>
          <w:right w:w="0" w:type="dxa"/>
        </w:tblCellMar>
        <w:tblLook w:val="01E0"/>
      </w:tblPr>
      <w:tblGrid>
        <w:gridCol w:w="3191"/>
        <w:gridCol w:w="3190"/>
        <w:gridCol w:w="3189"/>
      </w:tblGrid>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10" w:right="0"/>
              <w:jc w:val="left"/>
              <w:rPr>
                <w:rFonts w:ascii="宋体" w:hAnsi="宋体" w:cs="宋体" w:eastAsia="宋体" w:hint="default"/>
                <w:sz w:val="18"/>
                <w:szCs w:val="18"/>
              </w:rPr>
            </w:pPr>
            <w:r>
              <w:rPr>
                <w:rFonts w:ascii="宋体" w:hAnsi="宋体" w:cs="宋体" w:eastAsia="宋体" w:hint="default"/>
                <w:sz w:val="18"/>
                <w:szCs w:val="18"/>
              </w:rPr>
              <w:t>会计政策变更的内容和原因</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审批程序</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备注</w:t>
            </w:r>
          </w:p>
        </w:tc>
      </w:tr>
      <w:tr>
        <w:trPr>
          <w:trHeight w:val="3210"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2"/>
              <w:ind w:left="22" w:right="20"/>
              <w:jc w:val="left"/>
              <w:rPr>
                <w:rFonts w:ascii="宋体" w:hAnsi="宋体" w:cs="宋体" w:eastAsia="宋体" w:hint="default"/>
                <w:sz w:val="18"/>
                <w:szCs w:val="18"/>
              </w:rPr>
            </w:pPr>
            <w:r>
              <w:rPr>
                <w:rFonts w:ascii="宋体" w:hAnsi="宋体" w:cs="宋体" w:eastAsia="宋体" w:hint="default"/>
                <w:spacing w:val="-4"/>
                <w:w w:val="100"/>
                <w:sz w:val="18"/>
                <w:szCs w:val="18"/>
              </w:rPr>
              <w:t>（</w:t>
            </w:r>
            <w:r>
              <w:rPr>
                <w:rFonts w:ascii="Times New Roman" w:hAnsi="Times New Roman" w:cs="Times New Roman" w:eastAsia="Times New Roman" w:hint="default"/>
                <w:spacing w:val="-4"/>
                <w:w w:val="100"/>
                <w:sz w:val="18"/>
                <w:szCs w:val="18"/>
              </w:rPr>
              <w:t>1</w:t>
            </w:r>
            <w:r>
              <w:rPr>
                <w:rFonts w:ascii="宋体" w:hAnsi="宋体" w:cs="宋体" w:eastAsia="宋体" w:hint="default"/>
                <w:spacing w:val="-4"/>
                <w:w w:val="100"/>
                <w:sz w:val="18"/>
                <w:szCs w:val="18"/>
              </w:rPr>
              <w:t>）资产负债表中</w:t>
            </w:r>
            <w:r>
              <w:rPr>
                <w:rFonts w:ascii="Times New Roman" w:hAnsi="Times New Roman" w:cs="Times New Roman" w:eastAsia="Times New Roman" w:hint="default"/>
                <w:spacing w:val="-4"/>
                <w:w w:val="100"/>
                <w:sz w:val="18"/>
                <w:szCs w:val="18"/>
              </w:rPr>
              <w:t>“</w:t>
            </w:r>
            <w:r>
              <w:rPr>
                <w:rFonts w:ascii="宋体" w:hAnsi="宋体" w:cs="宋体" w:eastAsia="宋体" w:hint="default"/>
                <w:spacing w:val="-4"/>
                <w:w w:val="100"/>
                <w:sz w:val="18"/>
                <w:szCs w:val="18"/>
              </w:rPr>
              <w:t>应收票据</w:t>
            </w:r>
            <w:r>
              <w:rPr>
                <w:rFonts w:ascii="Times New Roman" w:hAnsi="Times New Roman" w:cs="Times New Roman" w:eastAsia="Times New Roman" w:hint="default"/>
                <w:spacing w:val="-4"/>
                <w:w w:val="100"/>
                <w:sz w:val="18"/>
                <w:szCs w:val="18"/>
              </w:rPr>
              <w:t>”</w:t>
            </w:r>
            <w:r>
              <w:rPr>
                <w:rFonts w:ascii="宋体" w:hAnsi="宋体" w:cs="宋体" w:eastAsia="宋体" w:hint="default"/>
                <w:spacing w:val="-4"/>
                <w:w w:val="100"/>
                <w:sz w:val="18"/>
                <w:szCs w:val="18"/>
              </w:rPr>
              <w:t>和</w:t>
            </w:r>
            <w:r>
              <w:rPr>
                <w:rFonts w:ascii="Times New Roman" w:hAnsi="Times New Roman" w:cs="Times New Roman" w:eastAsia="Times New Roman" w:hint="default"/>
                <w:spacing w:val="-4"/>
                <w:w w:val="100"/>
                <w:sz w:val="18"/>
                <w:szCs w:val="18"/>
              </w:rPr>
              <w:t>“</w:t>
            </w:r>
            <w:r>
              <w:rPr>
                <w:rFonts w:ascii="宋体" w:hAnsi="宋体" w:cs="宋体" w:eastAsia="宋体" w:hint="default"/>
                <w:spacing w:val="-4"/>
                <w:w w:val="100"/>
                <w:sz w:val="18"/>
                <w:szCs w:val="18"/>
              </w:rPr>
              <w:t>应收账</w:t>
            </w:r>
            <w:r>
              <w:rPr>
                <w:rFonts w:ascii="宋体" w:hAnsi="宋体" w:cs="宋体" w:eastAsia="宋体" w:hint="default"/>
                <w:spacing w:val="-87"/>
                <w:w w:val="100"/>
                <w:sz w:val="18"/>
                <w:szCs w:val="18"/>
              </w:rPr>
              <w:t> </w:t>
            </w:r>
            <w:r>
              <w:rPr>
                <w:rFonts w:ascii="宋体" w:hAnsi="宋体" w:cs="宋体" w:eastAsia="宋体" w:hint="default"/>
                <w:sz w:val="18"/>
                <w:szCs w:val="18"/>
              </w:rPr>
              <w:t>款</w:t>
            </w:r>
            <w:r>
              <w:rPr>
                <w:rFonts w:ascii="Times New Roman" w:hAnsi="Times New Roman" w:cs="Times New Roman" w:eastAsia="Times New Roman" w:hint="default"/>
                <w:sz w:val="18"/>
                <w:szCs w:val="18"/>
              </w:rPr>
              <w:t>”</w:t>
            </w:r>
            <w:r>
              <w:rPr>
                <w:rFonts w:ascii="宋体" w:hAnsi="宋体" w:cs="宋体" w:eastAsia="宋体" w:hint="default"/>
                <w:sz w:val="18"/>
                <w:szCs w:val="18"/>
              </w:rPr>
              <w:t>合并列示为</w:t>
            </w:r>
            <w:r>
              <w:rPr>
                <w:rFonts w:ascii="Times New Roman" w:hAnsi="Times New Roman" w:cs="Times New Roman" w:eastAsia="Times New Roman" w:hint="default"/>
                <w:sz w:val="18"/>
                <w:szCs w:val="18"/>
              </w:rPr>
              <w:t>“</w:t>
            </w:r>
            <w:r>
              <w:rPr>
                <w:rFonts w:ascii="宋体" w:hAnsi="宋体" w:cs="宋体" w:eastAsia="宋体" w:hint="default"/>
                <w:sz w:val="18"/>
                <w:szCs w:val="18"/>
              </w:rPr>
              <w:t>应收票据及应收账款</w:t>
            </w:r>
            <w:r>
              <w:rPr>
                <w:rFonts w:ascii="Times New Roman" w:hAnsi="Times New Roman" w:cs="Times New Roman" w:eastAsia="Times New Roman" w:hint="default"/>
                <w:sz w:val="18"/>
                <w:szCs w:val="18"/>
              </w:rPr>
              <w:t>”</w:t>
            </w:r>
            <w:r>
              <w:rPr>
                <w:rFonts w:ascii="宋体" w:hAnsi="宋体" w:cs="宋体" w:eastAsia="宋体" w:hint="default"/>
                <w:sz w:val="18"/>
                <w:szCs w:val="18"/>
              </w:rPr>
              <w:t>； </w:t>
            </w:r>
            <w:r>
              <w:rPr>
                <w:rFonts w:ascii="Times New Roman" w:hAnsi="Times New Roman" w:cs="Times New Roman" w:eastAsia="Times New Roman" w:hint="default"/>
                <w:sz w:val="18"/>
                <w:szCs w:val="18"/>
              </w:rPr>
              <w:t>“</w:t>
            </w:r>
            <w:r>
              <w:rPr>
                <w:rFonts w:ascii="宋体" w:hAnsi="宋体" w:cs="宋体" w:eastAsia="宋体" w:hint="default"/>
                <w:sz w:val="18"/>
                <w:szCs w:val="18"/>
              </w:rPr>
              <w:t>应付票据</w:t>
            </w:r>
            <w:r>
              <w:rPr>
                <w:rFonts w:ascii="Times New Roman" w:hAnsi="Times New Roman" w:cs="Times New Roman" w:eastAsia="Times New Roman" w:hint="default"/>
                <w:sz w:val="18"/>
                <w:szCs w:val="18"/>
              </w:rPr>
              <w:t>”</w:t>
            </w:r>
            <w:r>
              <w:rPr>
                <w:rFonts w:ascii="宋体" w:hAnsi="宋体" w:cs="宋体" w:eastAsia="宋体" w:hint="default"/>
                <w:sz w:val="18"/>
                <w:szCs w:val="18"/>
              </w:rPr>
              <w:t>和</w:t>
            </w:r>
            <w:r>
              <w:rPr>
                <w:rFonts w:ascii="Times New Roman" w:hAnsi="Times New Roman" w:cs="Times New Roman" w:eastAsia="Times New Roman" w:hint="default"/>
                <w:sz w:val="18"/>
                <w:szCs w:val="18"/>
              </w:rPr>
              <w:t>“</w:t>
            </w:r>
            <w:r>
              <w:rPr>
                <w:rFonts w:ascii="宋体" w:hAnsi="宋体" w:cs="宋体" w:eastAsia="宋体" w:hint="default"/>
                <w:sz w:val="18"/>
                <w:szCs w:val="18"/>
              </w:rPr>
              <w:t>应付账款</w:t>
            </w:r>
            <w:r>
              <w:rPr>
                <w:rFonts w:ascii="Times New Roman" w:hAnsi="Times New Roman" w:cs="Times New Roman" w:eastAsia="Times New Roman" w:hint="default"/>
                <w:sz w:val="18"/>
                <w:szCs w:val="18"/>
              </w:rPr>
              <w:t>”</w:t>
            </w:r>
            <w:r>
              <w:rPr>
                <w:rFonts w:ascii="宋体" w:hAnsi="宋体" w:cs="宋体" w:eastAsia="宋体" w:hint="default"/>
                <w:sz w:val="18"/>
                <w:szCs w:val="18"/>
              </w:rPr>
              <w:t>合并列示为</w:t>
            </w:r>
            <w:r>
              <w:rPr>
                <w:rFonts w:ascii="Times New Roman" w:hAnsi="Times New Roman" w:cs="Times New Roman" w:eastAsia="Times New Roman" w:hint="default"/>
                <w:sz w:val="18"/>
                <w:szCs w:val="18"/>
              </w:rPr>
              <w:t>“</w:t>
            </w:r>
            <w:r>
              <w:rPr>
                <w:rFonts w:ascii="宋体" w:hAnsi="宋体" w:cs="宋体" w:eastAsia="宋体" w:hint="default"/>
                <w:sz w:val="18"/>
                <w:szCs w:val="18"/>
              </w:rPr>
              <w:t>应 </w:t>
            </w:r>
            <w:r>
              <w:rPr>
                <w:rFonts w:ascii="宋体" w:hAnsi="宋体" w:cs="宋体" w:eastAsia="宋体" w:hint="default"/>
                <w:spacing w:val="-4"/>
                <w:sz w:val="18"/>
                <w:szCs w:val="18"/>
              </w:rPr>
              <w:t>付票据及应付账款</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应收利息</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和</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应收</w:t>
            </w:r>
            <w:r>
              <w:rPr>
                <w:rFonts w:ascii="宋体" w:hAnsi="宋体" w:cs="宋体" w:eastAsia="宋体" w:hint="default"/>
                <w:spacing w:val="-77"/>
                <w:sz w:val="18"/>
                <w:szCs w:val="18"/>
              </w:rPr>
              <w:t> </w:t>
            </w:r>
            <w:r>
              <w:rPr>
                <w:rFonts w:ascii="宋体" w:hAnsi="宋体" w:cs="宋体" w:eastAsia="宋体" w:hint="default"/>
                <w:sz w:val="18"/>
                <w:szCs w:val="18"/>
              </w:rPr>
              <w:t>股利</w:t>
            </w:r>
            <w:r>
              <w:rPr>
                <w:rFonts w:ascii="Times New Roman" w:hAnsi="Times New Roman" w:cs="Times New Roman" w:eastAsia="Times New Roman" w:hint="default"/>
                <w:sz w:val="18"/>
                <w:szCs w:val="18"/>
              </w:rPr>
              <w:t>”</w:t>
            </w:r>
            <w:r>
              <w:rPr>
                <w:rFonts w:ascii="宋体" w:hAnsi="宋体" w:cs="宋体" w:eastAsia="宋体" w:hint="default"/>
                <w:sz w:val="18"/>
                <w:szCs w:val="18"/>
              </w:rPr>
              <w:t>并入</w:t>
            </w:r>
            <w:r>
              <w:rPr>
                <w:rFonts w:ascii="Times New Roman" w:hAnsi="Times New Roman" w:cs="Times New Roman" w:eastAsia="Times New Roman" w:hint="default"/>
                <w:sz w:val="18"/>
                <w:szCs w:val="18"/>
              </w:rPr>
              <w:t>“</w:t>
            </w:r>
            <w:r>
              <w:rPr>
                <w:rFonts w:ascii="宋体" w:hAnsi="宋体" w:cs="宋体" w:eastAsia="宋体" w:hint="default"/>
                <w:sz w:val="18"/>
                <w:szCs w:val="18"/>
              </w:rPr>
              <w:t>其他应收款</w:t>
            </w:r>
            <w:r>
              <w:rPr>
                <w:rFonts w:ascii="Times New Roman" w:hAnsi="Times New Roman" w:cs="Times New Roman" w:eastAsia="Times New Roman" w:hint="default"/>
                <w:sz w:val="18"/>
                <w:szCs w:val="18"/>
              </w:rPr>
              <w:t>”</w:t>
            </w:r>
            <w:r>
              <w:rPr>
                <w:rFonts w:ascii="宋体" w:hAnsi="宋体" w:cs="宋体" w:eastAsia="宋体" w:hint="default"/>
                <w:sz w:val="18"/>
                <w:szCs w:val="18"/>
              </w:rPr>
              <w:t>列示；</w:t>
            </w:r>
            <w:r>
              <w:rPr>
                <w:rFonts w:ascii="Times New Roman" w:hAnsi="Times New Roman" w:cs="Times New Roman" w:eastAsia="Times New Roman" w:hint="default"/>
                <w:sz w:val="18"/>
                <w:szCs w:val="18"/>
              </w:rPr>
              <w:t>“</w:t>
            </w:r>
            <w:r>
              <w:rPr>
                <w:rFonts w:ascii="宋体" w:hAnsi="宋体" w:cs="宋体" w:eastAsia="宋体" w:hint="default"/>
                <w:sz w:val="18"/>
                <w:szCs w:val="18"/>
              </w:rPr>
              <w:t>应付利 息</w:t>
            </w:r>
            <w:r>
              <w:rPr>
                <w:rFonts w:ascii="Times New Roman" w:hAnsi="Times New Roman" w:cs="Times New Roman" w:eastAsia="Times New Roman" w:hint="default"/>
                <w:sz w:val="18"/>
                <w:szCs w:val="18"/>
              </w:rPr>
              <w:t>”</w:t>
            </w:r>
            <w:r>
              <w:rPr>
                <w:rFonts w:ascii="宋体" w:hAnsi="宋体" w:cs="宋体" w:eastAsia="宋体" w:hint="default"/>
                <w:sz w:val="18"/>
                <w:szCs w:val="18"/>
              </w:rPr>
              <w:t>和</w:t>
            </w:r>
            <w:r>
              <w:rPr>
                <w:rFonts w:ascii="Times New Roman" w:hAnsi="Times New Roman" w:cs="Times New Roman" w:eastAsia="Times New Roman" w:hint="default"/>
                <w:sz w:val="18"/>
                <w:szCs w:val="18"/>
              </w:rPr>
              <w:t>“</w:t>
            </w:r>
            <w:r>
              <w:rPr>
                <w:rFonts w:ascii="宋体" w:hAnsi="宋体" w:cs="宋体" w:eastAsia="宋体" w:hint="default"/>
                <w:sz w:val="18"/>
                <w:szCs w:val="18"/>
              </w:rPr>
              <w:t>应付股利</w:t>
            </w:r>
            <w:r>
              <w:rPr>
                <w:rFonts w:ascii="Times New Roman" w:hAnsi="Times New Roman" w:cs="Times New Roman" w:eastAsia="Times New Roman" w:hint="default"/>
                <w:sz w:val="18"/>
                <w:szCs w:val="18"/>
              </w:rPr>
              <w:t>”</w:t>
            </w:r>
            <w:r>
              <w:rPr>
                <w:rFonts w:ascii="宋体" w:hAnsi="宋体" w:cs="宋体" w:eastAsia="宋体" w:hint="default"/>
                <w:sz w:val="18"/>
                <w:szCs w:val="18"/>
              </w:rPr>
              <w:t>并入</w:t>
            </w:r>
            <w:r>
              <w:rPr>
                <w:rFonts w:ascii="Times New Roman" w:hAnsi="Times New Roman" w:cs="Times New Roman" w:eastAsia="Times New Roman" w:hint="default"/>
                <w:sz w:val="18"/>
                <w:szCs w:val="18"/>
              </w:rPr>
              <w:t>“</w:t>
            </w:r>
            <w:r>
              <w:rPr>
                <w:rFonts w:ascii="宋体" w:hAnsi="宋体" w:cs="宋体" w:eastAsia="宋体" w:hint="default"/>
                <w:sz w:val="18"/>
                <w:szCs w:val="18"/>
              </w:rPr>
              <w:t>其他应付款</w:t>
            </w:r>
            <w:r>
              <w:rPr>
                <w:rFonts w:ascii="Times New Roman" w:hAnsi="Times New Roman" w:cs="Times New Roman" w:eastAsia="Times New Roman" w:hint="default"/>
                <w:sz w:val="18"/>
                <w:szCs w:val="18"/>
              </w:rPr>
              <w:t>”</w:t>
            </w:r>
            <w:r>
              <w:rPr>
                <w:rFonts w:ascii="宋体" w:hAnsi="宋体" w:cs="宋体" w:eastAsia="宋体" w:hint="default"/>
                <w:sz w:val="18"/>
                <w:szCs w:val="18"/>
              </w:rPr>
              <w:t>列 示；</w:t>
            </w:r>
            <w:r>
              <w:rPr>
                <w:rFonts w:ascii="Times New Roman" w:hAnsi="Times New Roman" w:cs="Times New Roman" w:eastAsia="Times New Roman" w:hint="default"/>
                <w:sz w:val="18"/>
                <w:szCs w:val="18"/>
              </w:rPr>
              <w:t>“</w:t>
            </w:r>
            <w:r>
              <w:rPr>
                <w:rFonts w:ascii="宋体" w:hAnsi="宋体" w:cs="宋体" w:eastAsia="宋体" w:hint="default"/>
                <w:sz w:val="18"/>
                <w:szCs w:val="18"/>
              </w:rPr>
              <w:t>固定资产清理</w:t>
            </w:r>
            <w:r>
              <w:rPr>
                <w:rFonts w:ascii="Times New Roman" w:hAnsi="Times New Roman" w:cs="Times New Roman" w:eastAsia="Times New Roman" w:hint="default"/>
                <w:sz w:val="18"/>
                <w:szCs w:val="18"/>
              </w:rPr>
              <w:t>”</w:t>
            </w:r>
            <w:r>
              <w:rPr>
                <w:rFonts w:ascii="宋体" w:hAnsi="宋体" w:cs="宋体" w:eastAsia="宋体" w:hint="default"/>
                <w:sz w:val="18"/>
                <w:szCs w:val="18"/>
              </w:rPr>
              <w:t>并入</w:t>
            </w:r>
            <w:r>
              <w:rPr>
                <w:rFonts w:ascii="Times New Roman" w:hAnsi="Times New Roman" w:cs="Times New Roman" w:eastAsia="Times New Roman" w:hint="default"/>
                <w:sz w:val="18"/>
                <w:szCs w:val="18"/>
              </w:rPr>
              <w:t>“</w:t>
            </w:r>
            <w:r>
              <w:rPr>
                <w:rFonts w:ascii="宋体" w:hAnsi="宋体" w:cs="宋体" w:eastAsia="宋体" w:hint="default"/>
                <w:sz w:val="18"/>
                <w:szCs w:val="18"/>
              </w:rPr>
              <w:t>固定资产</w:t>
            </w:r>
            <w:r>
              <w:rPr>
                <w:rFonts w:ascii="Times New Roman" w:hAnsi="Times New Roman" w:cs="Times New Roman" w:eastAsia="Times New Roman" w:hint="default"/>
                <w:sz w:val="18"/>
                <w:szCs w:val="18"/>
              </w:rPr>
              <w:t>”</w:t>
            </w:r>
            <w:r>
              <w:rPr>
                <w:rFonts w:ascii="宋体" w:hAnsi="宋体" w:cs="宋体" w:eastAsia="宋体" w:hint="default"/>
                <w:sz w:val="18"/>
                <w:szCs w:val="18"/>
              </w:rPr>
              <w:t>列 </w:t>
            </w:r>
            <w:r>
              <w:rPr>
                <w:rFonts w:ascii="宋体" w:hAnsi="宋体" w:cs="宋体" w:eastAsia="宋体" w:hint="default"/>
                <w:spacing w:val="-7"/>
                <w:w w:val="100"/>
                <w:sz w:val="18"/>
                <w:szCs w:val="18"/>
              </w:rPr>
              <w:t>示；</w:t>
            </w:r>
            <w:r>
              <w:rPr>
                <w:rFonts w:ascii="Times New Roman" w:hAnsi="Times New Roman" w:cs="Times New Roman" w:eastAsia="Times New Roman" w:hint="default"/>
                <w:spacing w:val="-7"/>
                <w:w w:val="100"/>
                <w:sz w:val="18"/>
                <w:szCs w:val="18"/>
              </w:rPr>
              <w:t>“</w:t>
            </w:r>
            <w:r>
              <w:rPr>
                <w:rFonts w:ascii="宋体" w:hAnsi="宋体" w:cs="宋体" w:eastAsia="宋体" w:hint="default"/>
                <w:spacing w:val="-7"/>
                <w:w w:val="100"/>
                <w:sz w:val="18"/>
                <w:szCs w:val="18"/>
              </w:rPr>
              <w:t>工程物资</w:t>
            </w:r>
            <w:r>
              <w:rPr>
                <w:rFonts w:ascii="Times New Roman" w:hAnsi="Times New Roman" w:cs="Times New Roman" w:eastAsia="Times New Roman" w:hint="default"/>
                <w:spacing w:val="-7"/>
                <w:w w:val="100"/>
                <w:sz w:val="18"/>
                <w:szCs w:val="18"/>
              </w:rPr>
              <w:t>”</w:t>
            </w:r>
            <w:r>
              <w:rPr>
                <w:rFonts w:ascii="宋体" w:hAnsi="宋体" w:cs="宋体" w:eastAsia="宋体" w:hint="default"/>
                <w:spacing w:val="-7"/>
                <w:w w:val="100"/>
                <w:sz w:val="18"/>
                <w:szCs w:val="18"/>
              </w:rPr>
              <w:t>并入</w:t>
            </w:r>
            <w:r>
              <w:rPr>
                <w:rFonts w:ascii="Times New Roman" w:hAnsi="Times New Roman" w:cs="Times New Roman" w:eastAsia="Times New Roman" w:hint="default"/>
                <w:spacing w:val="-7"/>
                <w:w w:val="100"/>
                <w:sz w:val="18"/>
                <w:szCs w:val="18"/>
              </w:rPr>
              <w:t>“</w:t>
            </w:r>
            <w:r>
              <w:rPr>
                <w:rFonts w:ascii="宋体" w:hAnsi="宋体" w:cs="宋体" w:eastAsia="宋体" w:hint="default"/>
                <w:spacing w:val="-7"/>
                <w:w w:val="100"/>
                <w:sz w:val="18"/>
                <w:szCs w:val="18"/>
              </w:rPr>
              <w:t>在建工程</w:t>
            </w:r>
            <w:r>
              <w:rPr>
                <w:rFonts w:ascii="Times New Roman" w:hAnsi="Times New Roman" w:cs="Times New Roman" w:eastAsia="Times New Roman" w:hint="default"/>
                <w:spacing w:val="-7"/>
                <w:w w:val="100"/>
                <w:sz w:val="18"/>
                <w:szCs w:val="18"/>
              </w:rPr>
              <w:t>”</w:t>
            </w:r>
            <w:r>
              <w:rPr>
                <w:rFonts w:ascii="宋体" w:hAnsi="宋体" w:cs="宋体" w:eastAsia="宋体" w:hint="default"/>
                <w:spacing w:val="-7"/>
                <w:w w:val="100"/>
                <w:sz w:val="18"/>
                <w:szCs w:val="18"/>
              </w:rPr>
              <w:t>列示；</w:t>
            </w:r>
            <w:r>
              <w:rPr>
                <w:rFonts w:ascii="Times New Roman" w:hAnsi="Times New Roman" w:cs="Times New Roman" w:eastAsia="Times New Roman" w:hint="default"/>
                <w:spacing w:val="-7"/>
                <w:w w:val="100"/>
                <w:sz w:val="18"/>
                <w:szCs w:val="18"/>
              </w:rPr>
              <w:t>“</w:t>
            </w:r>
            <w:r>
              <w:rPr>
                <w:rFonts w:ascii="宋体" w:hAnsi="宋体" w:cs="宋体" w:eastAsia="宋体" w:hint="default"/>
                <w:spacing w:val="-7"/>
                <w:w w:val="100"/>
                <w:sz w:val="18"/>
                <w:szCs w:val="18"/>
              </w:rPr>
              <w:t>专</w:t>
            </w:r>
            <w:r>
              <w:rPr>
                <w:rFonts w:ascii="宋体" w:hAnsi="宋体" w:cs="宋体" w:eastAsia="宋体" w:hint="default"/>
                <w:sz w:val="18"/>
                <w:szCs w:val="18"/>
              </w:rPr>
              <w:t> 项应付款</w:t>
            </w:r>
            <w:r>
              <w:rPr>
                <w:rFonts w:ascii="Times New Roman" w:hAnsi="Times New Roman" w:cs="Times New Roman" w:eastAsia="Times New Roman" w:hint="default"/>
                <w:sz w:val="18"/>
                <w:szCs w:val="18"/>
              </w:rPr>
              <w:t>”</w:t>
            </w:r>
            <w:r>
              <w:rPr>
                <w:rFonts w:ascii="宋体" w:hAnsi="宋体" w:cs="宋体" w:eastAsia="宋体" w:hint="default"/>
                <w:sz w:val="18"/>
                <w:szCs w:val="18"/>
              </w:rPr>
              <w:t>并入</w:t>
            </w:r>
            <w:r>
              <w:rPr>
                <w:rFonts w:ascii="Times New Roman" w:hAnsi="Times New Roman" w:cs="Times New Roman" w:eastAsia="Times New Roman" w:hint="default"/>
                <w:sz w:val="18"/>
                <w:szCs w:val="18"/>
              </w:rPr>
              <w:t>“</w:t>
            </w:r>
            <w:r>
              <w:rPr>
                <w:rFonts w:ascii="宋体" w:hAnsi="宋体" w:cs="宋体" w:eastAsia="宋体" w:hint="default"/>
                <w:sz w:val="18"/>
                <w:szCs w:val="18"/>
              </w:rPr>
              <w:t>长期应付款</w:t>
            </w:r>
            <w:r>
              <w:rPr>
                <w:rFonts w:ascii="Times New Roman" w:hAnsi="Times New Roman" w:cs="Times New Roman" w:eastAsia="Times New Roman" w:hint="default"/>
                <w:sz w:val="18"/>
                <w:szCs w:val="18"/>
              </w:rPr>
              <w:t>”</w:t>
            </w:r>
            <w:r>
              <w:rPr>
                <w:rFonts w:ascii="宋体" w:hAnsi="宋体" w:cs="宋体" w:eastAsia="宋体" w:hint="default"/>
                <w:sz w:val="18"/>
                <w:szCs w:val="18"/>
              </w:rPr>
              <w:t>列示。比较 数据相应调整。</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董事会批准</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300" w:lineRule="auto"/>
              <w:ind w:left="22" w:right="54"/>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应收票据</w:t>
            </w:r>
            <w:r>
              <w:rPr>
                <w:rFonts w:ascii="Times New Roman" w:hAnsi="Times New Roman" w:cs="Times New Roman" w:eastAsia="Times New Roman" w:hint="default"/>
                <w:sz w:val="18"/>
                <w:szCs w:val="18"/>
              </w:rPr>
              <w:t>”</w:t>
            </w:r>
            <w:r>
              <w:rPr>
                <w:rFonts w:ascii="宋体" w:hAnsi="宋体" w:cs="宋体" w:eastAsia="宋体" w:hint="default"/>
                <w:sz w:val="18"/>
                <w:szCs w:val="18"/>
              </w:rPr>
              <w:t>和</w:t>
            </w:r>
            <w:r>
              <w:rPr>
                <w:rFonts w:ascii="Times New Roman" w:hAnsi="Times New Roman" w:cs="Times New Roman" w:eastAsia="Times New Roman" w:hint="default"/>
                <w:sz w:val="18"/>
                <w:szCs w:val="18"/>
              </w:rPr>
              <w:t>“</w:t>
            </w:r>
            <w:r>
              <w:rPr>
                <w:rFonts w:ascii="宋体" w:hAnsi="宋体" w:cs="宋体" w:eastAsia="宋体" w:hint="default"/>
                <w:sz w:val="18"/>
                <w:szCs w:val="18"/>
              </w:rPr>
              <w:t>应收账款</w:t>
            </w:r>
            <w:r>
              <w:rPr>
                <w:rFonts w:ascii="Times New Roman" w:hAnsi="Times New Roman" w:cs="Times New Roman" w:eastAsia="Times New Roman" w:hint="default"/>
                <w:sz w:val="18"/>
                <w:szCs w:val="18"/>
              </w:rPr>
              <w:t>”</w:t>
            </w:r>
            <w:r>
              <w:rPr>
                <w:rFonts w:ascii="宋体" w:hAnsi="宋体" w:cs="宋体" w:eastAsia="宋体" w:hint="default"/>
                <w:sz w:val="18"/>
                <w:szCs w:val="18"/>
              </w:rPr>
              <w:t>合并列示为</w:t>
            </w:r>
            <w:r>
              <w:rPr>
                <w:rFonts w:ascii="Times New Roman" w:hAnsi="Times New Roman" w:cs="Times New Roman" w:eastAsia="Times New Roman" w:hint="default"/>
                <w:sz w:val="18"/>
                <w:szCs w:val="18"/>
              </w:rPr>
              <w:t>“</w:t>
            </w:r>
            <w:r>
              <w:rPr>
                <w:rFonts w:ascii="宋体" w:hAnsi="宋体" w:cs="宋体" w:eastAsia="宋体" w:hint="default"/>
                <w:sz w:val="18"/>
                <w:szCs w:val="18"/>
              </w:rPr>
              <w:t>应 收票据及应收账款</w:t>
            </w:r>
            <w:r>
              <w:rPr>
                <w:rFonts w:ascii="Times New Roman" w:hAnsi="Times New Roman" w:cs="Times New Roman" w:eastAsia="Times New Roman" w:hint="default"/>
                <w:sz w:val="18"/>
                <w:szCs w:val="18"/>
              </w:rPr>
              <w:t>”</w:t>
            </w:r>
            <w:r>
              <w:rPr>
                <w:rFonts w:ascii="宋体" w:hAnsi="宋体" w:cs="宋体" w:eastAsia="宋体" w:hint="default"/>
                <w:sz w:val="18"/>
                <w:szCs w:val="18"/>
              </w:rPr>
              <w:t>，本期金额 </w:t>
            </w:r>
            <w:r>
              <w:rPr>
                <w:rFonts w:ascii="Times New Roman" w:hAnsi="Times New Roman" w:cs="Times New Roman" w:eastAsia="Times New Roman" w:hint="default"/>
                <w:sz w:val="18"/>
                <w:szCs w:val="18"/>
              </w:rPr>
              <w:t>418,176,051.07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元，上期金额</w:t>
            </w:r>
          </w:p>
          <w:p>
            <w:pPr>
              <w:pStyle w:val="TableParagraph"/>
              <w:spacing w:line="300" w:lineRule="auto" w:before="13"/>
              <w:ind w:left="22" w:right="23"/>
              <w:jc w:val="both"/>
              <w:rPr>
                <w:rFonts w:ascii="宋体" w:hAnsi="宋体" w:cs="宋体" w:eastAsia="宋体" w:hint="default"/>
                <w:sz w:val="18"/>
                <w:szCs w:val="18"/>
              </w:rPr>
            </w:pPr>
            <w:r>
              <w:rPr>
                <w:rFonts w:ascii="Times New Roman" w:hAnsi="Times New Roman" w:cs="Times New Roman" w:eastAsia="Times New Roman" w:hint="default"/>
                <w:spacing w:val="-1"/>
                <w:sz w:val="18"/>
                <w:szCs w:val="18"/>
              </w:rPr>
              <w:t>316,839,429.76</w:t>
            </w:r>
            <w:r>
              <w:rPr>
                <w:rFonts w:ascii="Times New Roman" w:hAnsi="Times New Roman" w:cs="Times New Roman" w:eastAsia="Times New Roman" w:hint="default"/>
                <w:spacing w:val="17"/>
                <w:sz w:val="18"/>
                <w:szCs w:val="18"/>
              </w:rPr>
              <w:t> </w:t>
            </w:r>
            <w:r>
              <w:rPr>
                <w:rFonts w:ascii="宋体" w:hAnsi="宋体" w:cs="宋体" w:eastAsia="宋体" w:hint="default"/>
                <w:spacing w:val="-7"/>
                <w:w w:val="100"/>
                <w:sz w:val="18"/>
                <w:szCs w:val="18"/>
              </w:rPr>
              <w:t>元；</w:t>
            </w:r>
            <w:r>
              <w:rPr>
                <w:rFonts w:ascii="Times New Roman" w:hAnsi="Times New Roman" w:cs="Times New Roman" w:eastAsia="Times New Roman" w:hint="default"/>
                <w:spacing w:val="-7"/>
                <w:w w:val="100"/>
                <w:sz w:val="18"/>
                <w:szCs w:val="18"/>
              </w:rPr>
              <w:t>“</w:t>
            </w:r>
            <w:r>
              <w:rPr>
                <w:rFonts w:ascii="宋体" w:hAnsi="宋体" w:cs="宋体" w:eastAsia="宋体" w:hint="default"/>
                <w:spacing w:val="-7"/>
                <w:w w:val="100"/>
                <w:sz w:val="18"/>
                <w:szCs w:val="18"/>
              </w:rPr>
              <w:t>应付票据</w:t>
            </w:r>
            <w:r>
              <w:rPr>
                <w:rFonts w:ascii="Times New Roman" w:hAnsi="Times New Roman" w:cs="Times New Roman" w:eastAsia="Times New Roman" w:hint="default"/>
                <w:spacing w:val="-7"/>
                <w:w w:val="100"/>
                <w:sz w:val="18"/>
                <w:szCs w:val="18"/>
              </w:rPr>
              <w:t>”</w:t>
            </w:r>
            <w:r>
              <w:rPr>
                <w:rFonts w:ascii="宋体" w:hAnsi="宋体" w:cs="宋体" w:eastAsia="宋体" w:hint="default"/>
                <w:spacing w:val="-7"/>
                <w:w w:val="100"/>
                <w:sz w:val="18"/>
                <w:szCs w:val="18"/>
              </w:rPr>
              <w:t>和</w:t>
            </w:r>
            <w:r>
              <w:rPr>
                <w:rFonts w:ascii="Times New Roman" w:hAnsi="Times New Roman" w:cs="Times New Roman" w:eastAsia="Times New Roman" w:hint="default"/>
                <w:spacing w:val="-7"/>
                <w:w w:val="100"/>
                <w:sz w:val="18"/>
                <w:szCs w:val="18"/>
              </w:rPr>
              <w:t>“</w:t>
            </w:r>
            <w:r>
              <w:rPr>
                <w:rFonts w:ascii="宋体" w:hAnsi="宋体" w:cs="宋体" w:eastAsia="宋体" w:hint="default"/>
                <w:spacing w:val="-7"/>
                <w:w w:val="100"/>
                <w:sz w:val="18"/>
                <w:szCs w:val="18"/>
              </w:rPr>
              <w:t>应付账</w:t>
            </w:r>
            <w:r>
              <w:rPr>
                <w:rFonts w:ascii="宋体" w:hAnsi="宋体" w:cs="宋体" w:eastAsia="宋体" w:hint="default"/>
                <w:spacing w:val="-84"/>
                <w:w w:val="100"/>
                <w:sz w:val="18"/>
                <w:szCs w:val="18"/>
              </w:rPr>
              <w:t> </w:t>
            </w:r>
            <w:r>
              <w:rPr>
                <w:rFonts w:ascii="宋体" w:hAnsi="宋体" w:cs="宋体" w:eastAsia="宋体" w:hint="default"/>
                <w:sz w:val="18"/>
                <w:szCs w:val="18"/>
              </w:rPr>
              <w:t>款</w:t>
            </w:r>
            <w:r>
              <w:rPr>
                <w:rFonts w:ascii="Times New Roman" w:hAnsi="Times New Roman" w:cs="Times New Roman" w:eastAsia="Times New Roman" w:hint="default"/>
                <w:sz w:val="18"/>
                <w:szCs w:val="18"/>
              </w:rPr>
              <w:t>”</w:t>
            </w:r>
            <w:r>
              <w:rPr>
                <w:rFonts w:ascii="宋体" w:hAnsi="宋体" w:cs="宋体" w:eastAsia="宋体" w:hint="default"/>
                <w:sz w:val="18"/>
                <w:szCs w:val="18"/>
              </w:rPr>
              <w:t>合并列示为</w:t>
            </w:r>
            <w:r>
              <w:rPr>
                <w:rFonts w:ascii="Times New Roman" w:hAnsi="Times New Roman" w:cs="Times New Roman" w:eastAsia="Times New Roman" w:hint="default"/>
                <w:sz w:val="18"/>
                <w:szCs w:val="18"/>
              </w:rPr>
              <w:t>“</w:t>
            </w:r>
            <w:r>
              <w:rPr>
                <w:rFonts w:ascii="宋体" w:hAnsi="宋体" w:cs="宋体" w:eastAsia="宋体" w:hint="default"/>
                <w:sz w:val="18"/>
                <w:szCs w:val="18"/>
              </w:rPr>
              <w:t>应付票据及应付账款</w:t>
            </w:r>
            <w:r>
              <w:rPr>
                <w:rFonts w:ascii="Times New Roman" w:hAnsi="Times New Roman" w:cs="Times New Roman" w:eastAsia="Times New Roman" w:hint="default"/>
                <w:sz w:val="18"/>
                <w:szCs w:val="18"/>
              </w:rPr>
              <w:t>”</w:t>
            </w:r>
            <w:r>
              <w:rPr>
                <w:rFonts w:ascii="宋体" w:hAnsi="宋体" w:cs="宋体" w:eastAsia="宋体" w:hint="default"/>
                <w:sz w:val="18"/>
                <w:szCs w:val="18"/>
              </w:rPr>
              <w:t>， 本期金额</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215,579,345.42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元，上期金额</w:t>
            </w:r>
          </w:p>
          <w:p>
            <w:pPr>
              <w:pStyle w:val="TableParagraph"/>
              <w:spacing w:line="240" w:lineRule="auto" w:before="13"/>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174,962,218.66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元；调增</w:t>
            </w:r>
            <w:r>
              <w:rPr>
                <w:rFonts w:ascii="Times New Roman" w:hAnsi="Times New Roman" w:cs="Times New Roman" w:eastAsia="Times New Roman" w:hint="default"/>
                <w:sz w:val="18"/>
                <w:szCs w:val="18"/>
              </w:rPr>
              <w:t>“</w:t>
            </w:r>
            <w:r>
              <w:rPr>
                <w:rFonts w:ascii="宋体" w:hAnsi="宋体" w:cs="宋体" w:eastAsia="宋体" w:hint="default"/>
                <w:sz w:val="18"/>
                <w:szCs w:val="18"/>
              </w:rPr>
              <w:t>其他应收款</w:t>
            </w:r>
            <w:r>
              <w:rPr>
                <w:rFonts w:ascii="Times New Roman" w:hAnsi="Times New Roman" w:cs="Times New Roman" w:eastAsia="Times New Roman" w:hint="default"/>
                <w:sz w:val="18"/>
                <w:szCs w:val="18"/>
              </w:rPr>
              <w:t>”</w:t>
            </w:r>
            <w:r>
              <w:rPr>
                <w:rFonts w:ascii="宋体" w:hAnsi="宋体" w:cs="宋体" w:eastAsia="宋体" w:hint="default"/>
                <w:sz w:val="18"/>
                <w:szCs w:val="18"/>
              </w:rPr>
              <w:t>本</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期金额</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元，上期金额</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元；调增</w:t>
            </w:r>
            <w:r>
              <w:rPr>
                <w:rFonts w:ascii="Times New Roman" w:hAnsi="Times New Roman" w:cs="Times New Roman" w:eastAsia="Times New Roman" w:hint="default"/>
                <w:sz w:val="18"/>
                <w:szCs w:val="18"/>
              </w:rPr>
              <w:t>“</w:t>
            </w:r>
            <w:r>
              <w:rPr>
                <w:rFonts w:ascii="宋体" w:hAnsi="宋体" w:cs="宋体" w:eastAsia="宋体" w:hint="default"/>
                <w:sz w:val="18"/>
                <w:szCs w:val="18"/>
              </w:rPr>
              <w:t>其他</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应付款</w:t>
            </w:r>
            <w:r>
              <w:rPr>
                <w:rFonts w:ascii="Times New Roman" w:hAnsi="Times New Roman" w:cs="Times New Roman" w:eastAsia="Times New Roman" w:hint="default"/>
                <w:sz w:val="18"/>
                <w:szCs w:val="18"/>
              </w:rPr>
              <w:t>”</w:t>
            </w:r>
            <w:r>
              <w:rPr>
                <w:rFonts w:ascii="宋体" w:hAnsi="宋体" w:cs="宋体" w:eastAsia="宋体" w:hint="default"/>
                <w:sz w:val="18"/>
                <w:szCs w:val="18"/>
              </w:rPr>
              <w:t>上期金额</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317,324.70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p>
        </w:tc>
      </w:tr>
      <w:tr>
        <w:trPr>
          <w:trHeight w:val="1650"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2"/>
              <w:ind w:left="22" w:right="21"/>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）在利润表中新增</w:t>
            </w:r>
            <w:r>
              <w:rPr>
                <w:rFonts w:ascii="Times New Roman" w:hAnsi="Times New Roman" w:cs="Times New Roman" w:eastAsia="Times New Roman" w:hint="default"/>
                <w:sz w:val="18"/>
                <w:szCs w:val="18"/>
              </w:rPr>
              <w:t>“</w:t>
            </w:r>
            <w:r>
              <w:rPr>
                <w:rFonts w:ascii="宋体" w:hAnsi="宋体" w:cs="宋体" w:eastAsia="宋体" w:hint="default"/>
                <w:sz w:val="18"/>
                <w:szCs w:val="18"/>
              </w:rPr>
              <w:t>研发费用</w:t>
            </w:r>
            <w:r>
              <w:rPr>
                <w:rFonts w:ascii="Times New Roman" w:hAnsi="Times New Roman" w:cs="Times New Roman" w:eastAsia="Times New Roman" w:hint="default"/>
                <w:sz w:val="18"/>
                <w:szCs w:val="18"/>
              </w:rPr>
              <w:t>”</w:t>
            </w:r>
            <w:r>
              <w:rPr>
                <w:rFonts w:ascii="宋体" w:hAnsi="宋体" w:cs="宋体" w:eastAsia="宋体" w:hint="default"/>
                <w:sz w:val="18"/>
                <w:szCs w:val="18"/>
              </w:rPr>
              <w:t>项目， 将原</w:t>
            </w:r>
            <w:r>
              <w:rPr>
                <w:rFonts w:ascii="Times New Roman" w:hAnsi="Times New Roman" w:cs="Times New Roman" w:eastAsia="Times New Roman" w:hint="default"/>
                <w:sz w:val="18"/>
                <w:szCs w:val="18"/>
              </w:rPr>
              <w:t>“</w:t>
            </w:r>
            <w:r>
              <w:rPr>
                <w:rFonts w:ascii="宋体" w:hAnsi="宋体" w:cs="宋体" w:eastAsia="宋体" w:hint="default"/>
                <w:sz w:val="18"/>
                <w:szCs w:val="18"/>
              </w:rPr>
              <w:t>管理费用</w:t>
            </w:r>
            <w:r>
              <w:rPr>
                <w:rFonts w:ascii="Times New Roman" w:hAnsi="Times New Roman" w:cs="Times New Roman" w:eastAsia="Times New Roman" w:hint="default"/>
                <w:sz w:val="18"/>
                <w:szCs w:val="18"/>
              </w:rPr>
              <w:t>”</w:t>
            </w:r>
            <w:r>
              <w:rPr>
                <w:rFonts w:ascii="宋体" w:hAnsi="宋体" w:cs="宋体" w:eastAsia="宋体" w:hint="default"/>
                <w:sz w:val="18"/>
                <w:szCs w:val="18"/>
              </w:rPr>
              <w:t>中的研发费用重分类至 </w:t>
            </w:r>
            <w:r>
              <w:rPr>
                <w:rFonts w:ascii="Times New Roman" w:hAnsi="Times New Roman" w:cs="Times New Roman" w:eastAsia="Times New Roman" w:hint="default"/>
                <w:spacing w:val="-5"/>
                <w:w w:val="100"/>
                <w:sz w:val="18"/>
                <w:szCs w:val="18"/>
              </w:rPr>
              <w:t>“</w:t>
            </w:r>
            <w:r>
              <w:rPr>
                <w:rFonts w:ascii="宋体" w:hAnsi="宋体" w:cs="宋体" w:eastAsia="宋体" w:hint="default"/>
                <w:spacing w:val="-5"/>
                <w:w w:val="100"/>
                <w:sz w:val="18"/>
                <w:szCs w:val="18"/>
              </w:rPr>
              <w:t>研发费用</w:t>
            </w:r>
            <w:r>
              <w:rPr>
                <w:rFonts w:ascii="Times New Roman" w:hAnsi="Times New Roman" w:cs="Times New Roman" w:eastAsia="Times New Roman" w:hint="default"/>
                <w:spacing w:val="-5"/>
                <w:w w:val="100"/>
                <w:sz w:val="18"/>
                <w:szCs w:val="18"/>
              </w:rPr>
              <w:t>”</w:t>
            </w:r>
            <w:r>
              <w:rPr>
                <w:rFonts w:ascii="宋体" w:hAnsi="宋体" w:cs="宋体" w:eastAsia="宋体" w:hint="default"/>
                <w:spacing w:val="-5"/>
                <w:w w:val="100"/>
                <w:sz w:val="18"/>
                <w:szCs w:val="18"/>
              </w:rPr>
              <w:t>单独列示；在利润表中财务费</w:t>
            </w:r>
            <w:r>
              <w:rPr>
                <w:rFonts w:ascii="宋体" w:hAnsi="宋体" w:cs="宋体" w:eastAsia="宋体" w:hint="default"/>
                <w:spacing w:val="-83"/>
                <w:w w:val="100"/>
                <w:sz w:val="18"/>
                <w:szCs w:val="18"/>
              </w:rPr>
              <w:t> </w:t>
            </w:r>
            <w:r>
              <w:rPr>
                <w:rFonts w:ascii="宋体" w:hAnsi="宋体" w:cs="宋体" w:eastAsia="宋体" w:hint="default"/>
                <w:spacing w:val="-83"/>
                <w:w w:val="100"/>
                <w:sz w:val="18"/>
                <w:szCs w:val="18"/>
              </w:rPr>
            </w:r>
            <w:r>
              <w:rPr>
                <w:rFonts w:ascii="宋体" w:hAnsi="宋体" w:cs="宋体" w:eastAsia="宋体" w:hint="default"/>
                <w:sz w:val="18"/>
                <w:szCs w:val="18"/>
              </w:rPr>
              <w:t>用项下新增</w:t>
            </w:r>
            <w:r>
              <w:rPr>
                <w:rFonts w:ascii="Times New Roman" w:hAnsi="Times New Roman" w:cs="Times New Roman" w:eastAsia="Times New Roman" w:hint="default"/>
                <w:sz w:val="18"/>
                <w:szCs w:val="18"/>
              </w:rPr>
              <w:t>“</w:t>
            </w:r>
            <w:r>
              <w:rPr>
                <w:rFonts w:ascii="宋体" w:hAnsi="宋体" w:cs="宋体" w:eastAsia="宋体" w:hint="default"/>
                <w:sz w:val="18"/>
                <w:szCs w:val="18"/>
              </w:rPr>
              <w:t>其中：利息费用</w:t>
            </w:r>
            <w:r>
              <w:rPr>
                <w:rFonts w:ascii="Times New Roman" w:hAnsi="Times New Roman" w:cs="Times New Roman" w:eastAsia="Times New Roman" w:hint="default"/>
                <w:sz w:val="18"/>
                <w:szCs w:val="18"/>
              </w:rPr>
              <w:t>”</w:t>
            </w:r>
            <w:r>
              <w:rPr>
                <w:rFonts w:ascii="宋体" w:hAnsi="宋体" w:cs="宋体" w:eastAsia="宋体" w:hint="default"/>
                <w:sz w:val="18"/>
                <w:szCs w:val="18"/>
              </w:rPr>
              <w:t>和</w:t>
            </w:r>
            <w:r>
              <w:rPr>
                <w:rFonts w:ascii="Times New Roman" w:hAnsi="Times New Roman" w:cs="Times New Roman" w:eastAsia="Times New Roman" w:hint="default"/>
                <w:sz w:val="18"/>
                <w:szCs w:val="18"/>
              </w:rPr>
              <w:t>“</w:t>
            </w:r>
            <w:r>
              <w:rPr>
                <w:rFonts w:ascii="宋体" w:hAnsi="宋体" w:cs="宋体" w:eastAsia="宋体" w:hint="default"/>
                <w:sz w:val="18"/>
                <w:szCs w:val="18"/>
              </w:rPr>
              <w:t>利息收 入</w:t>
            </w:r>
            <w:r>
              <w:rPr>
                <w:rFonts w:ascii="Times New Roman" w:hAnsi="Times New Roman" w:cs="Times New Roman" w:eastAsia="Times New Roman" w:hint="default"/>
                <w:sz w:val="18"/>
                <w:szCs w:val="18"/>
              </w:rPr>
              <w:t>”</w:t>
            </w:r>
            <w:r>
              <w:rPr>
                <w:rFonts w:ascii="宋体" w:hAnsi="宋体" w:cs="宋体" w:eastAsia="宋体" w:hint="default"/>
                <w:sz w:val="18"/>
                <w:szCs w:val="18"/>
              </w:rPr>
              <w:t>项目。比较数据相应调整。</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董事会批准</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调减</w:t>
            </w:r>
            <w:r>
              <w:rPr>
                <w:rFonts w:ascii="Times New Roman" w:hAnsi="Times New Roman" w:cs="Times New Roman" w:eastAsia="Times New Roman" w:hint="default"/>
                <w:sz w:val="18"/>
                <w:szCs w:val="18"/>
              </w:rPr>
              <w:t>“</w:t>
            </w:r>
            <w:r>
              <w:rPr>
                <w:rFonts w:ascii="宋体" w:hAnsi="宋体" w:cs="宋体" w:eastAsia="宋体" w:hint="default"/>
                <w:sz w:val="18"/>
                <w:szCs w:val="18"/>
              </w:rPr>
              <w:t>管理费用</w:t>
            </w:r>
            <w:r>
              <w:rPr>
                <w:rFonts w:ascii="Times New Roman" w:hAnsi="Times New Roman" w:cs="Times New Roman" w:eastAsia="Times New Roman" w:hint="default"/>
                <w:sz w:val="18"/>
                <w:szCs w:val="18"/>
              </w:rPr>
              <w:t>”</w:t>
            </w:r>
            <w:r>
              <w:rPr>
                <w:rFonts w:ascii="宋体" w:hAnsi="宋体" w:cs="宋体" w:eastAsia="宋体" w:hint="default"/>
                <w:sz w:val="18"/>
                <w:szCs w:val="18"/>
              </w:rPr>
              <w:t>本期金额</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87,499,160.98</w:t>
            </w:r>
          </w:p>
          <w:p>
            <w:pPr>
              <w:pStyle w:val="TableParagraph"/>
              <w:spacing w:line="302" w:lineRule="auto" w:before="61"/>
              <w:ind w:left="22" w:right="49"/>
              <w:jc w:val="left"/>
              <w:rPr>
                <w:rFonts w:ascii="宋体" w:hAnsi="宋体" w:cs="宋体" w:eastAsia="宋体" w:hint="default"/>
                <w:sz w:val="18"/>
                <w:szCs w:val="18"/>
              </w:rPr>
            </w:pPr>
            <w:r>
              <w:rPr>
                <w:rFonts w:ascii="宋体" w:hAnsi="宋体" w:cs="宋体" w:eastAsia="宋体" w:hint="default"/>
                <w:sz w:val="18"/>
                <w:szCs w:val="18"/>
              </w:rPr>
              <w:t>元，上期金额</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77,542,170.48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元，重分类 至</w:t>
            </w:r>
            <w:r>
              <w:rPr>
                <w:rFonts w:ascii="Times New Roman" w:hAnsi="Times New Roman" w:cs="Times New Roman" w:eastAsia="Times New Roman" w:hint="default"/>
                <w:sz w:val="18"/>
                <w:szCs w:val="18"/>
              </w:rPr>
              <w:t>“</w:t>
            </w:r>
            <w:r>
              <w:rPr>
                <w:rFonts w:ascii="宋体" w:hAnsi="宋体" w:cs="宋体" w:eastAsia="宋体" w:hint="default"/>
                <w:sz w:val="18"/>
                <w:szCs w:val="18"/>
              </w:rPr>
              <w:t>研发费用</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r>
      <w:tr>
        <w:trPr>
          <w:trHeight w:val="1028"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3"/>
              <w:ind w:left="22" w:right="2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）所有者权益变动表中新增</w:t>
            </w:r>
            <w:r>
              <w:rPr>
                <w:rFonts w:ascii="Times New Roman" w:hAnsi="Times New Roman" w:cs="Times New Roman" w:eastAsia="Times New Roman" w:hint="default"/>
                <w:sz w:val="18"/>
                <w:szCs w:val="18"/>
              </w:rPr>
              <w:t>“</w:t>
            </w:r>
            <w:r>
              <w:rPr>
                <w:rFonts w:ascii="宋体" w:hAnsi="宋体" w:cs="宋体" w:eastAsia="宋体" w:hint="default"/>
                <w:sz w:val="18"/>
                <w:szCs w:val="18"/>
              </w:rPr>
              <w:t>设定受 益计划变动额结转留存收益</w:t>
            </w:r>
            <w:r>
              <w:rPr>
                <w:rFonts w:ascii="Times New Roman" w:hAnsi="Times New Roman" w:cs="Times New Roman" w:eastAsia="Times New Roman" w:hint="default"/>
                <w:sz w:val="18"/>
                <w:szCs w:val="18"/>
              </w:rPr>
              <w:t>”</w:t>
            </w:r>
            <w:r>
              <w:rPr>
                <w:rFonts w:ascii="宋体" w:hAnsi="宋体" w:cs="宋体" w:eastAsia="宋体" w:hint="default"/>
                <w:sz w:val="18"/>
                <w:szCs w:val="18"/>
              </w:rPr>
              <w:t>项目。比较 数据相应调整。</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董事会批准</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300" w:lineRule="auto"/>
              <w:ind w:left="22" w:right="113"/>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设定受益计划变动额结转留存收益</w:t>
            </w:r>
            <w:r>
              <w:rPr>
                <w:rFonts w:ascii="Times New Roman" w:hAnsi="Times New Roman" w:cs="Times New Roman" w:eastAsia="Times New Roman" w:hint="default"/>
                <w:sz w:val="18"/>
                <w:szCs w:val="18"/>
              </w:rPr>
              <w:t>”</w:t>
            </w:r>
            <w:r>
              <w:rPr>
                <w:rFonts w:ascii="宋体" w:hAnsi="宋体" w:cs="宋体" w:eastAsia="宋体" w:hint="default"/>
                <w:sz w:val="18"/>
                <w:szCs w:val="18"/>
              </w:rPr>
              <w:t>本 期金额</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元，上期金额</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p>
        </w:tc>
      </w:tr>
    </w:tbl>
    <w:p>
      <w:pPr>
        <w:pStyle w:val="BodyText"/>
        <w:spacing w:line="386" w:lineRule="auto" w:before="63"/>
        <w:ind w:right="1194" w:firstLine="423"/>
        <w:jc w:val="left"/>
      </w:pPr>
      <w:r>
        <w:rPr/>
        <w:t>财政部于</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15</w:t>
      </w:r>
      <w:r>
        <w:rPr/>
        <w:t>日发布了《财政部关于修订印发</w:t>
      </w:r>
      <w:r>
        <w:rPr>
          <w:rFonts w:ascii="Times New Roman" w:hAnsi="Times New Roman" w:cs="Times New Roman" w:eastAsia="Times New Roman" w:hint="default"/>
        </w:rPr>
        <w:t>2018</w:t>
      </w:r>
      <w:r>
        <w:rPr/>
        <w:t>年度一般企业财务报表格式的通知》（财 会（</w:t>
      </w:r>
      <w:r>
        <w:rPr>
          <w:rFonts w:ascii="Times New Roman" w:hAnsi="Times New Roman" w:cs="Times New Roman" w:eastAsia="Times New Roman" w:hint="default"/>
        </w:rPr>
        <w:t>2018</w:t>
      </w:r>
      <w:r>
        <w:rPr/>
        <w:t>）</w:t>
      </w:r>
      <w:r>
        <w:rPr>
          <w:rFonts w:ascii="Times New Roman" w:hAnsi="Times New Roman" w:cs="Times New Roman" w:eastAsia="Times New Roman" w:hint="default"/>
        </w:rPr>
        <w:t>15</w:t>
      </w:r>
      <w:r>
        <w:rPr/>
        <w:t>号），对一般企业财务报表格式进行了修订。</w:t>
      </w:r>
    </w:p>
    <w:p>
      <w:pPr>
        <w:spacing w:line="240" w:lineRule="auto" w:before="10"/>
        <w:rPr>
          <w:rFonts w:ascii="宋体" w:hAnsi="宋体" w:cs="宋体" w:eastAsia="宋体" w:hint="default"/>
          <w:sz w:val="19"/>
          <w:szCs w:val="19"/>
        </w:rPr>
      </w:pPr>
    </w:p>
    <w:p>
      <w:pPr>
        <w:pStyle w:val="Heading4"/>
        <w:spacing w:line="240" w:lineRule="auto"/>
        <w:ind w:right="1117"/>
        <w:jc w:val="left"/>
        <w:rPr>
          <w:b w:val="0"/>
          <w:bCs w:val="0"/>
        </w:rPr>
      </w:pPr>
      <w:bookmarkStart w:name="（2）重要会计估计变更" w:id="216"/>
      <w:bookmarkEnd w:id="216"/>
      <w:r>
        <w:rPr>
          <w:b w:val="0"/>
          <w:bCs w:val="0"/>
        </w:rPr>
      </w:r>
      <w:r>
        <w:rPr/>
        <w:t>（</w:t>
      </w:r>
      <w:r>
        <w:rPr>
          <w:rFonts w:ascii="Times New Roman" w:hAnsi="Times New Roman" w:cs="Times New Roman" w:eastAsia="Times New Roman" w:hint="default"/>
        </w:rPr>
        <w:t>2</w:t>
      </w:r>
      <w:r>
        <w:rPr/>
        <w:t>）重要会计估计变更</w:t>
      </w:r>
      <w:r>
        <w:rPr>
          <w:b w:val="0"/>
          <w:bCs w:val="0"/>
        </w:rPr>
      </w:r>
    </w:p>
    <w:p>
      <w:pPr>
        <w:spacing w:line="240" w:lineRule="auto" w:before="8"/>
        <w:rPr>
          <w:rFonts w:ascii="宋体" w:hAnsi="宋体" w:cs="宋体" w:eastAsia="宋体" w:hint="default"/>
          <w:b/>
          <w:bCs/>
          <w:sz w:val="26"/>
          <w:szCs w:val="26"/>
        </w:rPr>
      </w:pPr>
    </w:p>
    <w:p>
      <w:pPr>
        <w:spacing w:before="0"/>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适用</w:t>
      </w:r>
      <w:r>
        <w:rPr>
          <w:rFonts w:ascii="Times New Roman" w:hAnsi="Times New Roman" w:cs="Times New Roman" w:eastAsia="Times New Roman" w:hint="default"/>
          <w:sz w:val="18"/>
          <w:szCs w:val="18"/>
        </w:rPr>
        <w:t>√</w:t>
      </w:r>
      <w:r>
        <w:rPr>
          <w:rFonts w:ascii="宋体" w:hAnsi="宋体" w:cs="宋体" w:eastAsia="宋体" w:hint="default"/>
          <w:sz w:val="18"/>
          <w:szCs w:val="18"/>
        </w:rPr>
        <w:t>不适用</w:t>
      </w:r>
    </w:p>
    <w:p>
      <w:pPr>
        <w:spacing w:line="240" w:lineRule="auto" w:before="9"/>
        <w:rPr>
          <w:rFonts w:ascii="宋体" w:hAnsi="宋体" w:cs="宋体" w:eastAsia="宋体" w:hint="default"/>
          <w:sz w:val="25"/>
          <w:szCs w:val="25"/>
        </w:rPr>
      </w:pPr>
    </w:p>
    <w:p>
      <w:pPr>
        <w:spacing w:line="487" w:lineRule="auto" w:before="0"/>
        <w:ind w:left="154" w:right="8966" w:firstLine="0"/>
        <w:jc w:val="left"/>
        <w:rPr>
          <w:rFonts w:ascii="宋体" w:hAnsi="宋体" w:cs="宋体" w:eastAsia="宋体" w:hint="default"/>
          <w:sz w:val="21"/>
          <w:szCs w:val="21"/>
        </w:rPr>
      </w:pPr>
      <w:bookmarkStart w:name="31、其他" w:id="217"/>
      <w:bookmarkEnd w:id="217"/>
      <w:r>
        <w:rPr/>
      </w:r>
      <w:r>
        <w:rPr>
          <w:rFonts w:ascii="Times New Roman" w:hAnsi="Times New Roman" w:cs="Times New Roman" w:eastAsia="Times New Roman" w:hint="default"/>
          <w:b/>
          <w:bCs/>
          <w:sz w:val="21"/>
          <w:szCs w:val="21"/>
        </w:rPr>
        <w:t>31</w:t>
      </w:r>
      <w:r>
        <w:rPr>
          <w:rFonts w:ascii="宋体" w:hAnsi="宋体" w:cs="宋体" w:eastAsia="宋体" w:hint="default"/>
          <w:b/>
          <w:bCs/>
          <w:sz w:val="21"/>
          <w:szCs w:val="21"/>
        </w:rPr>
        <w:t>、其他</w:t>
      </w:r>
      <w:r>
        <w:rPr>
          <w:rFonts w:ascii="宋体" w:hAnsi="宋体" w:cs="宋体" w:eastAsia="宋体" w:hint="default"/>
          <w:b/>
          <w:bCs/>
          <w:w w:val="99"/>
          <w:sz w:val="21"/>
          <w:szCs w:val="21"/>
        </w:rPr>
        <w:t> </w:t>
      </w:r>
      <w:bookmarkStart w:name="六、税项" w:id="218"/>
      <w:bookmarkEnd w:id="218"/>
      <w:r>
        <w:rPr>
          <w:rFonts w:ascii="宋体" w:hAnsi="宋体" w:cs="宋体" w:eastAsia="宋体" w:hint="default"/>
          <w:b/>
          <w:bCs/>
          <w:w w:val="99"/>
          <w:sz w:val="21"/>
          <w:szCs w:val="21"/>
        </w:rPr>
      </w:r>
      <w:r>
        <w:rPr>
          <w:rFonts w:ascii="宋体" w:hAnsi="宋体" w:cs="宋体" w:eastAsia="宋体" w:hint="default"/>
          <w:b/>
          <w:bCs/>
          <w:sz w:val="24"/>
          <w:szCs w:val="24"/>
        </w:rPr>
        <w:t>六、税项</w:t>
      </w:r>
      <w:r>
        <w:rPr>
          <w:rFonts w:ascii="宋体" w:hAnsi="宋体" w:cs="宋体" w:eastAsia="宋体" w:hint="default"/>
          <w:b/>
          <w:bCs/>
          <w:spacing w:val="1"/>
          <w:w w:val="99"/>
          <w:sz w:val="24"/>
          <w:szCs w:val="24"/>
        </w:rPr>
        <w:t> </w:t>
      </w:r>
      <w:bookmarkStart w:name="1、主要税种及税率" w:id="219"/>
      <w:bookmarkEnd w:id="219"/>
      <w:r>
        <w:rPr>
          <w:rFonts w:ascii="宋体" w:hAnsi="宋体" w:cs="宋体" w:eastAsia="宋体" w:hint="default"/>
          <w:b/>
          <w:bCs/>
          <w:spacing w:val="1"/>
          <w:w w:val="99"/>
          <w:sz w:val="24"/>
          <w:szCs w:val="24"/>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、主要税种及税率</w:t>
      </w:r>
      <w:r>
        <w:rPr>
          <w:rFonts w:ascii="宋体" w:hAnsi="宋体" w:cs="宋体" w:eastAsia="宋体" w:hint="default"/>
          <w:sz w:val="21"/>
          <w:szCs w:val="21"/>
        </w:rPr>
      </w:r>
    </w:p>
    <w:p>
      <w:pPr>
        <w:spacing w:line="240" w:lineRule="auto" w:before="5"/>
        <w:rPr>
          <w:rFonts w:ascii="宋体" w:hAnsi="宋体" w:cs="宋体" w:eastAsia="宋体" w:hint="default"/>
          <w:b/>
          <w:bCs/>
          <w:sz w:val="7"/>
          <w:szCs w:val="7"/>
        </w:rPr>
      </w:pPr>
    </w:p>
    <w:tbl>
      <w:tblPr>
        <w:tblW w:w="0" w:type="auto"/>
        <w:jc w:val="left"/>
        <w:tblInd w:w="160" w:type="dxa"/>
        <w:tblLayout w:type="fixed"/>
        <w:tblCellMar>
          <w:top w:w="0" w:type="dxa"/>
          <w:left w:w="0" w:type="dxa"/>
          <w:bottom w:w="0" w:type="dxa"/>
          <w:right w:w="0" w:type="dxa"/>
        </w:tblCellMar>
        <w:tblLook w:val="01E0"/>
      </w:tblPr>
      <w:tblGrid>
        <w:gridCol w:w="3179"/>
        <w:gridCol w:w="3190"/>
        <w:gridCol w:w="3190"/>
      </w:tblGrid>
      <w:tr>
        <w:trPr>
          <w:trHeight w:val="402" w:hRule="exact"/>
        </w:trPr>
        <w:tc>
          <w:tcPr>
            <w:tcW w:w="31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1"/>
              <w:jc w:val="center"/>
              <w:rPr>
                <w:rFonts w:ascii="宋体" w:hAnsi="宋体" w:cs="宋体" w:eastAsia="宋体" w:hint="default"/>
                <w:sz w:val="18"/>
                <w:szCs w:val="18"/>
              </w:rPr>
            </w:pPr>
            <w:r>
              <w:rPr>
                <w:rFonts w:ascii="宋体" w:hAnsi="宋体" w:cs="宋体" w:eastAsia="宋体" w:hint="default"/>
                <w:sz w:val="18"/>
                <w:szCs w:val="18"/>
              </w:rPr>
              <w:t>税种</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计税依据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税率</w:t>
            </w:r>
          </w:p>
        </w:tc>
      </w:tr>
      <w:tr>
        <w:trPr>
          <w:trHeight w:val="454" w:hRule="exact"/>
        </w:trPr>
        <w:tc>
          <w:tcPr>
            <w:tcW w:w="3179" w:type="dxa"/>
            <w:tcBorders>
              <w:top w:val="single" w:sz="4" w:space="0" w:color="000000"/>
              <w:left w:val="single" w:sz="4" w:space="0" w:color="000000"/>
              <w:bottom w:val="nil" w:sz="6" w:space="0" w:color="auto"/>
              <w:right w:val="single" w:sz="4" w:space="0" w:color="000000"/>
            </w:tcBorders>
            <w:shd w:val="clear" w:color="auto" w:fill="D2D2D2"/>
          </w:tcPr>
          <w:p>
            <w:pPr/>
          </w:p>
        </w:tc>
        <w:tc>
          <w:tcPr>
            <w:tcW w:w="3190" w:type="dxa"/>
            <w:vMerge w:val="restart"/>
            <w:tcBorders>
              <w:top w:val="single" w:sz="4" w:space="0" w:color="000000"/>
              <w:left w:val="single" w:sz="9" w:space="0" w:color="D2D2D2"/>
              <w:right w:val="single" w:sz="4" w:space="0" w:color="000000"/>
            </w:tcBorders>
          </w:tcPr>
          <w:p>
            <w:pPr>
              <w:pStyle w:val="TableParagraph"/>
              <w:spacing w:line="316" w:lineRule="auto" w:before="51"/>
              <w:ind w:left="16" w:right="95"/>
              <w:jc w:val="both"/>
              <w:rPr>
                <w:rFonts w:ascii="宋体" w:hAnsi="宋体" w:cs="宋体" w:eastAsia="宋体" w:hint="default"/>
                <w:sz w:val="18"/>
                <w:szCs w:val="18"/>
              </w:rPr>
            </w:pPr>
            <w:r>
              <w:rPr>
                <w:rFonts w:ascii="宋体" w:hAnsi="宋体" w:cs="宋体" w:eastAsia="宋体" w:hint="default"/>
                <w:sz w:val="18"/>
                <w:szCs w:val="18"/>
              </w:rPr>
              <w:t>按税法规定计算的销售货物和应税劳务 收入为基础计算销项税额，在扣除当期 允许抵扣的进项税额后，差额部分为应 交增值税（根据财政部、国家税务总局</w:t>
            </w:r>
          </w:p>
        </w:tc>
        <w:tc>
          <w:tcPr>
            <w:tcW w:w="319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20"/>
                <w:szCs w:val="20"/>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w:t>
            </w:r>
            <w:r>
              <w:rPr>
                <w:rFonts w:ascii="Times New Roman" w:hAnsi="Times New Roman" w:cs="Times New Roman" w:eastAsia="Times New Roman" w:hint="default"/>
                <w:sz w:val="18"/>
                <w:szCs w:val="18"/>
              </w:rPr>
              <w:t>5</w:t>
            </w:r>
            <w:r>
              <w:rPr>
                <w:rFonts w:ascii="宋体" w:hAnsi="宋体" w:cs="宋体" w:eastAsia="宋体" w:hint="default"/>
                <w:sz w:val="18"/>
                <w:szCs w:val="18"/>
              </w:rPr>
              <w:t>、</w:t>
            </w:r>
            <w:r>
              <w:rPr>
                <w:rFonts w:ascii="Times New Roman" w:hAnsi="Times New Roman" w:cs="Times New Roman" w:eastAsia="Times New Roman" w:hint="default"/>
                <w:sz w:val="18"/>
                <w:szCs w:val="18"/>
              </w:rPr>
              <w:t>6</w:t>
            </w:r>
            <w:r>
              <w:rPr>
                <w:rFonts w:ascii="宋体" w:hAnsi="宋体" w:cs="宋体" w:eastAsia="宋体" w:hint="default"/>
                <w:sz w:val="18"/>
                <w:szCs w:val="18"/>
              </w:rPr>
              <w:t>、</w:t>
            </w:r>
            <w:r>
              <w:rPr>
                <w:rFonts w:ascii="Times New Roman" w:hAnsi="Times New Roman" w:cs="Times New Roman" w:eastAsia="Times New Roman" w:hint="default"/>
                <w:sz w:val="18"/>
                <w:szCs w:val="18"/>
              </w:rPr>
              <w:t>10</w:t>
            </w:r>
            <w:r>
              <w:rPr>
                <w:rFonts w:ascii="宋体" w:hAnsi="宋体" w:cs="宋体" w:eastAsia="宋体" w:hint="default"/>
                <w:sz w:val="18"/>
                <w:szCs w:val="18"/>
              </w:rPr>
              <w:t>、</w:t>
            </w:r>
            <w:r>
              <w:rPr>
                <w:rFonts w:ascii="Times New Roman" w:hAnsi="Times New Roman" w:cs="Times New Roman" w:eastAsia="Times New Roman" w:hint="default"/>
                <w:sz w:val="18"/>
                <w:szCs w:val="18"/>
              </w:rPr>
              <w:t>11</w:t>
            </w:r>
            <w:r>
              <w:rPr>
                <w:rFonts w:ascii="宋体" w:hAnsi="宋体" w:cs="宋体" w:eastAsia="宋体" w:hint="default"/>
                <w:sz w:val="18"/>
                <w:szCs w:val="18"/>
              </w:rPr>
              <w:t>、</w:t>
            </w:r>
            <w:r>
              <w:rPr>
                <w:rFonts w:ascii="Times New Roman" w:hAnsi="Times New Roman" w:cs="Times New Roman" w:eastAsia="Times New Roman" w:hint="default"/>
                <w:sz w:val="18"/>
                <w:szCs w:val="18"/>
              </w:rPr>
              <w:t>16</w:t>
            </w:r>
            <w:r>
              <w:rPr>
                <w:rFonts w:ascii="宋体" w:hAnsi="宋体" w:cs="宋体" w:eastAsia="宋体" w:hint="default"/>
                <w:sz w:val="18"/>
                <w:szCs w:val="18"/>
              </w:rPr>
              <w:t>、</w:t>
            </w:r>
            <w:r>
              <w:rPr>
                <w:rFonts w:ascii="Times New Roman" w:hAnsi="Times New Roman" w:cs="Times New Roman" w:eastAsia="Times New Roman" w:hint="default"/>
                <w:sz w:val="18"/>
                <w:szCs w:val="18"/>
              </w:rPr>
              <w:t>17</w:t>
            </w:r>
          </w:p>
        </w:tc>
      </w:tr>
      <w:tr>
        <w:trPr>
          <w:trHeight w:val="391" w:hRule="exact"/>
        </w:trPr>
        <w:tc>
          <w:tcPr>
            <w:tcW w:w="317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增值税</w:t>
            </w:r>
          </w:p>
        </w:tc>
        <w:tc>
          <w:tcPr>
            <w:tcW w:w="3190" w:type="dxa"/>
            <w:vMerge/>
            <w:tcBorders>
              <w:left w:val="single" w:sz="9" w:space="0" w:color="D2D2D2"/>
              <w:right w:val="single" w:sz="4" w:space="0" w:color="000000"/>
            </w:tcBorders>
          </w:tcPr>
          <w:p>
            <w:pPr/>
          </w:p>
        </w:tc>
        <w:tc>
          <w:tcPr>
            <w:tcW w:w="3190" w:type="dxa"/>
            <w:vMerge/>
            <w:tcBorders>
              <w:left w:val="single" w:sz="4" w:space="0" w:color="000000"/>
              <w:right w:val="single" w:sz="4" w:space="0" w:color="000000"/>
            </w:tcBorders>
          </w:tcPr>
          <w:p>
            <w:pPr/>
          </w:p>
        </w:tc>
      </w:tr>
      <w:tr>
        <w:trPr>
          <w:trHeight w:val="454" w:hRule="exact"/>
        </w:trPr>
        <w:tc>
          <w:tcPr>
            <w:tcW w:w="3179" w:type="dxa"/>
            <w:tcBorders>
              <w:top w:val="nil" w:sz="6" w:space="0" w:color="auto"/>
              <w:left w:val="single" w:sz="4" w:space="0" w:color="000000"/>
              <w:bottom w:val="single" w:sz="4" w:space="0" w:color="000000"/>
              <w:right w:val="single" w:sz="4" w:space="0" w:color="000000"/>
            </w:tcBorders>
            <w:shd w:val="clear" w:color="auto" w:fill="D2D2D2"/>
          </w:tcPr>
          <w:p>
            <w:pPr/>
          </w:p>
        </w:tc>
        <w:tc>
          <w:tcPr>
            <w:tcW w:w="3190" w:type="dxa"/>
            <w:vMerge/>
            <w:tcBorders>
              <w:left w:val="single" w:sz="9" w:space="0" w:color="D2D2D2"/>
              <w:bottom w:val="single" w:sz="4" w:space="0" w:color="000000"/>
              <w:right w:val="single" w:sz="4" w:space="0" w:color="000000"/>
            </w:tcBorders>
          </w:tcPr>
          <w:p>
            <w:pPr/>
          </w:p>
        </w:tc>
        <w:tc>
          <w:tcPr>
            <w:tcW w:w="3190" w:type="dxa"/>
            <w:vMerge/>
            <w:tcBorders>
              <w:left w:val="single" w:sz="4" w:space="0" w:color="000000"/>
              <w:bottom w:val="single" w:sz="4" w:space="0" w:color="000000"/>
              <w:right w:val="single" w:sz="4" w:space="0" w:color="000000"/>
            </w:tcBorders>
          </w:tcPr>
          <w:p>
            <w:pPr/>
          </w:p>
        </w:tc>
      </w:tr>
    </w:tbl>
    <w:p>
      <w:pPr>
        <w:spacing w:after="0"/>
        <w:sectPr>
          <w:pgSz w:w="11910" w:h="16840"/>
          <w:pgMar w:header="877" w:footer="979" w:top="1060" w:bottom="1160" w:left="980" w:right="0"/>
        </w:sectPr>
      </w:pPr>
    </w:p>
    <w:p>
      <w:pPr>
        <w:spacing w:line="240" w:lineRule="auto" w:before="6"/>
        <w:rPr>
          <w:rFonts w:ascii="宋体" w:hAnsi="宋体" w:cs="宋体" w:eastAsia="宋体" w:hint="default"/>
          <w:b/>
          <w:bCs/>
          <w:sz w:val="28"/>
          <w:szCs w:val="28"/>
        </w:rPr>
      </w:pPr>
    </w:p>
    <w:tbl>
      <w:tblPr>
        <w:tblW w:w="0" w:type="auto"/>
        <w:jc w:val="left"/>
        <w:tblInd w:w="149" w:type="dxa"/>
        <w:tblLayout w:type="fixed"/>
        <w:tblCellMar>
          <w:top w:w="0" w:type="dxa"/>
          <w:left w:w="0" w:type="dxa"/>
          <w:bottom w:w="0" w:type="dxa"/>
          <w:right w:w="0" w:type="dxa"/>
        </w:tblCellMar>
        <w:tblLook w:val="01E0"/>
      </w:tblPr>
      <w:tblGrid>
        <w:gridCol w:w="3189"/>
        <w:gridCol w:w="3191"/>
        <w:gridCol w:w="3190"/>
      </w:tblGrid>
      <w:tr>
        <w:trPr>
          <w:trHeight w:val="674"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颁布的财税〔</w:t>
            </w:r>
            <w:r>
              <w:rPr>
                <w:rFonts w:ascii="Times New Roman" w:hAnsi="Times New Roman" w:cs="Times New Roman" w:eastAsia="Times New Roman" w:hint="default"/>
                <w:sz w:val="18"/>
                <w:szCs w:val="18"/>
              </w:rPr>
              <w:t>2018</w:t>
            </w:r>
            <w:r>
              <w:rPr>
                <w:rFonts w:ascii="宋体" w:hAnsi="宋体" w:cs="宋体" w:eastAsia="宋体" w:hint="default"/>
                <w:sz w:val="18"/>
                <w:szCs w:val="18"/>
              </w:rPr>
              <w:t>〕</w:t>
            </w:r>
            <w:r>
              <w:rPr>
                <w:rFonts w:ascii="Times New Roman" w:hAnsi="Times New Roman" w:cs="Times New Roman" w:eastAsia="Times New Roman" w:hint="default"/>
                <w:sz w:val="18"/>
                <w:szCs w:val="18"/>
              </w:rPr>
              <w:t>32 </w:t>
            </w:r>
            <w:r>
              <w:rPr>
                <w:rFonts w:ascii="宋体" w:hAnsi="宋体" w:cs="宋体" w:eastAsia="宋体" w:hint="default"/>
                <w:sz w:val="18"/>
                <w:szCs w:val="18"/>
              </w:rPr>
              <w:t>号通知，</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7"/>
                <w:sz w:val="18"/>
                <w:szCs w:val="18"/>
              </w:rPr>
              <w:t> </w:t>
            </w:r>
            <w:r>
              <w:rPr>
                <w:rFonts w:ascii="宋体" w:hAnsi="宋体" w:cs="宋体" w:eastAsia="宋体" w:hint="default"/>
                <w:sz w:val="18"/>
                <w:szCs w:val="18"/>
              </w:rPr>
              <w:t>年</w:t>
            </w:r>
          </w:p>
          <w:p>
            <w:pPr>
              <w:pStyle w:val="TableParagraph"/>
              <w:spacing w:line="240" w:lineRule="auto" w:before="64"/>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日后，</w:t>
            </w:r>
            <w:r>
              <w:rPr>
                <w:rFonts w:ascii="宋体" w:hAnsi="宋体" w:cs="宋体" w:eastAsia="宋体" w:hint="default"/>
                <w:spacing w:val="1"/>
                <w:sz w:val="18"/>
                <w:szCs w:val="18"/>
              </w:rPr>
              <w:t>增</w:t>
            </w:r>
            <w:r>
              <w:rPr>
                <w:rFonts w:ascii="宋体" w:hAnsi="宋体" w:cs="宋体" w:eastAsia="宋体" w:hint="default"/>
                <w:sz w:val="18"/>
                <w:szCs w:val="18"/>
              </w:rPr>
              <w:t>值税按</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16%</w:t>
            </w:r>
            <w:r>
              <w:rPr>
                <w:rFonts w:ascii="宋体" w:hAnsi="宋体" w:cs="宋体" w:eastAsia="宋体" w:hint="default"/>
                <w:sz w:val="18"/>
                <w:szCs w:val="18"/>
              </w:rPr>
              <w:t>计缴</w:t>
            </w:r>
            <w:r>
              <w:rPr>
                <w:rFonts w:ascii="宋体" w:hAnsi="宋体" w:cs="宋体" w:eastAsia="宋体" w:hint="default"/>
                <w:spacing w:val="-90"/>
                <w:sz w:val="18"/>
                <w:szCs w:val="18"/>
              </w:rPr>
              <w:t>）</w:t>
            </w:r>
            <w:r>
              <w:rPr>
                <w:rFonts w:ascii="宋体" w:hAnsi="宋体" w:cs="宋体" w:eastAsia="宋体" w:hint="default"/>
                <w:sz w:val="18"/>
                <w:szCs w:val="18"/>
              </w:rPr>
              <w:t>。</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按实际缴纳的增值税及消费税计缴</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w:t>
            </w:r>
            <w:r>
              <w:rPr>
                <w:rFonts w:ascii="Times New Roman" w:hAnsi="Times New Roman" w:cs="Times New Roman" w:eastAsia="Times New Roman" w:hint="default"/>
                <w:sz w:val="18"/>
                <w:szCs w:val="18"/>
              </w:rPr>
              <w:t>7</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企业所得税</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按应纳税所得额计缴</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15</w:t>
            </w:r>
            <w:r>
              <w:rPr>
                <w:rFonts w:ascii="宋体" w:hAnsi="宋体" w:cs="宋体" w:eastAsia="宋体" w:hint="default"/>
                <w:sz w:val="18"/>
                <w:szCs w:val="18"/>
              </w:rPr>
              <w:t>、</w:t>
            </w:r>
            <w:r>
              <w:rPr>
                <w:rFonts w:ascii="Times New Roman" w:hAnsi="Times New Roman" w:cs="Times New Roman" w:eastAsia="Times New Roman" w:hint="default"/>
                <w:sz w:val="18"/>
                <w:szCs w:val="18"/>
              </w:rPr>
              <w:t>25</w:t>
            </w:r>
          </w:p>
        </w:tc>
      </w:tr>
    </w:tbl>
    <w:p>
      <w:pPr>
        <w:spacing w:before="51"/>
        <w:ind w:left="154" w:right="1117" w:firstLine="0"/>
        <w:jc w:val="left"/>
        <w:rPr>
          <w:rFonts w:ascii="宋体" w:hAnsi="宋体" w:cs="宋体" w:eastAsia="宋体" w:hint="default"/>
          <w:sz w:val="18"/>
          <w:szCs w:val="18"/>
        </w:rPr>
      </w:pPr>
      <w:r>
        <w:rPr>
          <w:rFonts w:ascii="宋体" w:hAnsi="宋体" w:cs="宋体" w:eastAsia="宋体" w:hint="default"/>
          <w:sz w:val="18"/>
          <w:szCs w:val="18"/>
        </w:rPr>
        <w:t>存在不同企业所得税税率纳税主体的，披露情况说明</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4783"/>
        <w:gridCol w:w="4786"/>
      </w:tblGrid>
      <w:tr>
        <w:trPr>
          <w:trHeight w:val="402"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纳税主体名称</w:t>
            </w:r>
          </w:p>
        </w:tc>
        <w:tc>
          <w:tcPr>
            <w:tcW w:w="47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所得税税率</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新开普电子股份有限公司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15%</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北京迪科远望科技有限公司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15%</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上海树维信息科技有限公司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15%</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福建新开普信息科技有限公司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15%</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山西新开普信息科技有限公司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25%</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郑州新开普科技有限公司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25%</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郑州惠品优购商贸有限公司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25%</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完美数联（北京）科技有限公司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25%</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北京开普力维科技有限公司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25%</w:t>
            </w:r>
          </w:p>
        </w:tc>
      </w:tr>
    </w:tbl>
    <w:p>
      <w:pPr>
        <w:spacing w:line="240" w:lineRule="auto" w:before="2"/>
        <w:rPr>
          <w:rFonts w:ascii="宋体" w:hAnsi="宋体" w:cs="宋体" w:eastAsia="宋体" w:hint="default"/>
          <w:sz w:val="19"/>
          <w:szCs w:val="19"/>
        </w:rPr>
      </w:pPr>
    </w:p>
    <w:p>
      <w:pPr>
        <w:pStyle w:val="Heading4"/>
        <w:spacing w:line="240" w:lineRule="auto" w:before="35"/>
        <w:ind w:right="1117"/>
        <w:jc w:val="left"/>
        <w:rPr>
          <w:b w:val="0"/>
          <w:bCs w:val="0"/>
        </w:rPr>
      </w:pPr>
      <w:bookmarkStart w:name="2、税收优惠" w:id="220"/>
      <w:bookmarkEnd w:id="220"/>
      <w:r>
        <w:rPr>
          <w:b w:val="0"/>
          <w:bCs w:val="0"/>
        </w:rPr>
      </w:r>
      <w:r>
        <w:rPr>
          <w:rFonts w:ascii="Times New Roman" w:hAnsi="Times New Roman" w:cs="Times New Roman" w:eastAsia="Times New Roman" w:hint="default"/>
        </w:rPr>
        <w:t>2</w:t>
      </w:r>
      <w:r>
        <w:rPr/>
        <w:t>、税收优惠</w:t>
      </w:r>
      <w:r>
        <w:rPr>
          <w:b w:val="0"/>
          <w:bCs w:val="0"/>
        </w:rPr>
      </w:r>
    </w:p>
    <w:p>
      <w:pPr>
        <w:spacing w:line="240" w:lineRule="auto" w:before="7"/>
        <w:rPr>
          <w:rFonts w:ascii="宋体" w:hAnsi="宋体" w:cs="宋体" w:eastAsia="宋体" w:hint="default"/>
          <w:b/>
          <w:bCs/>
          <w:sz w:val="30"/>
          <w:szCs w:val="30"/>
        </w:rPr>
      </w:pPr>
    </w:p>
    <w:p>
      <w:pPr>
        <w:spacing w:line="386" w:lineRule="auto" w:before="0"/>
        <w:ind w:left="576" w:right="1117" w:firstLine="1"/>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、新开普及子公司享受的增值税优惠政策</w:t>
      </w:r>
      <w:r>
        <w:rPr>
          <w:rFonts w:ascii="宋体" w:hAnsi="宋体" w:cs="宋体" w:eastAsia="宋体" w:hint="default"/>
          <w:b/>
          <w:bCs/>
          <w:w w:val="99"/>
          <w:sz w:val="21"/>
          <w:szCs w:val="21"/>
        </w:rPr>
        <w:t> </w:t>
      </w:r>
      <w:r>
        <w:rPr>
          <w:rFonts w:ascii="宋体" w:hAnsi="宋体" w:cs="宋体" w:eastAsia="宋体" w:hint="default"/>
          <w:spacing w:val="-2"/>
          <w:sz w:val="21"/>
          <w:szCs w:val="21"/>
        </w:rPr>
        <w:t>根据《关于软件产品增值税政策的通知》（财税</w:t>
      </w:r>
      <w:r>
        <w:rPr>
          <w:rFonts w:ascii="Times New Roman" w:hAnsi="Times New Roman" w:cs="Times New Roman" w:eastAsia="Times New Roman" w:hint="default"/>
          <w:spacing w:val="-2"/>
          <w:sz w:val="21"/>
          <w:szCs w:val="21"/>
        </w:rPr>
        <w:t>[2011]100</w:t>
      </w:r>
      <w:r>
        <w:rPr>
          <w:rFonts w:ascii="宋体" w:hAnsi="宋体" w:cs="宋体" w:eastAsia="宋体" w:hint="default"/>
          <w:spacing w:val="-2"/>
          <w:sz w:val="21"/>
          <w:szCs w:val="21"/>
        </w:rPr>
        <w:t>号）规定：增值税一般纳税人销售自行开发</w:t>
      </w:r>
    </w:p>
    <w:p>
      <w:pPr>
        <w:spacing w:line="386" w:lineRule="auto" w:before="35"/>
        <w:ind w:left="576" w:right="2035" w:hanging="423"/>
        <w:jc w:val="left"/>
        <w:rPr>
          <w:rFonts w:ascii="宋体" w:hAnsi="宋体" w:cs="宋体" w:eastAsia="宋体" w:hint="default"/>
          <w:sz w:val="21"/>
          <w:szCs w:val="21"/>
        </w:rPr>
      </w:pPr>
      <w:r>
        <w:rPr>
          <w:rFonts w:ascii="宋体" w:hAnsi="宋体" w:cs="宋体" w:eastAsia="宋体" w:hint="default"/>
          <w:sz w:val="21"/>
          <w:szCs w:val="21"/>
        </w:rPr>
        <w:t>生产的软件产品，对其增值税实际税负超过</w:t>
      </w:r>
      <w:r>
        <w:rPr>
          <w:rFonts w:ascii="Times New Roman" w:hAnsi="Times New Roman" w:cs="Times New Roman" w:eastAsia="Times New Roman" w:hint="default"/>
          <w:sz w:val="21"/>
          <w:szCs w:val="21"/>
        </w:rPr>
        <w:t>3%</w:t>
      </w:r>
      <w:r>
        <w:rPr>
          <w:rFonts w:ascii="宋体" w:hAnsi="宋体" w:cs="宋体" w:eastAsia="宋体" w:hint="default"/>
          <w:sz w:val="21"/>
          <w:szCs w:val="21"/>
        </w:rPr>
        <w:t>的部分实行即征即退政策。 </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、新开普及子公司享受的所得税优惠政策</w:t>
      </w:r>
      <w:r>
        <w:rPr>
          <w:rFonts w:ascii="宋体" w:hAnsi="宋体" w:cs="宋体" w:eastAsia="宋体" w:hint="default"/>
          <w:b/>
          <w:bCs/>
          <w:w w:val="99"/>
          <w:sz w:val="21"/>
          <w:szCs w:val="21"/>
        </w:rPr>
        <w:t> </w:t>
      </w:r>
      <w:r>
        <w:rPr>
          <w:rFonts w:ascii="宋体" w:hAnsi="宋体" w:cs="宋体" w:eastAsia="宋体" w:hint="default"/>
          <w:sz w:val="21"/>
          <w:szCs w:val="21"/>
        </w:rPr>
        <w:t>公司于</w:t>
      </w:r>
      <w:r>
        <w:rPr>
          <w:rFonts w:ascii="Times New Roman" w:hAnsi="Times New Roman" w:cs="Times New Roman" w:eastAsia="Times New Roman" w:hint="default"/>
          <w:sz w:val="21"/>
          <w:szCs w:val="21"/>
        </w:rPr>
        <w:t>2017</w:t>
      </w:r>
      <w:r>
        <w:rPr>
          <w:rFonts w:ascii="宋体" w:hAnsi="宋体" w:cs="宋体" w:eastAsia="宋体" w:hint="default"/>
          <w:sz w:val="21"/>
          <w:szCs w:val="21"/>
        </w:rPr>
        <w:t>年</w:t>
      </w:r>
      <w:r>
        <w:rPr>
          <w:rFonts w:ascii="Times New Roman" w:hAnsi="Times New Roman" w:cs="Times New Roman" w:eastAsia="Times New Roman" w:hint="default"/>
          <w:sz w:val="21"/>
          <w:szCs w:val="21"/>
        </w:rPr>
        <w:t>8</w:t>
      </w:r>
      <w:r>
        <w:rPr>
          <w:rFonts w:ascii="宋体" w:hAnsi="宋体" w:cs="宋体" w:eastAsia="宋体" w:hint="default"/>
          <w:sz w:val="21"/>
          <w:szCs w:val="21"/>
        </w:rPr>
        <w:t>月</w:t>
      </w:r>
      <w:r>
        <w:rPr>
          <w:rFonts w:ascii="Times New Roman" w:hAnsi="Times New Roman" w:cs="Times New Roman" w:eastAsia="Times New Roman" w:hint="default"/>
          <w:sz w:val="21"/>
          <w:szCs w:val="21"/>
        </w:rPr>
        <w:t>29</w:t>
      </w:r>
      <w:r>
        <w:rPr>
          <w:rFonts w:ascii="宋体" w:hAnsi="宋体" w:cs="宋体" w:eastAsia="宋体" w:hint="default"/>
          <w:sz w:val="21"/>
          <w:szCs w:val="21"/>
        </w:rPr>
        <w:t>日被评为高新技术企业，已办理《高新技术企业批准证书》证书编号为</w:t>
      </w:r>
    </w:p>
    <w:p>
      <w:pPr>
        <w:pStyle w:val="BodyText"/>
        <w:spacing w:line="386" w:lineRule="auto" w:before="35"/>
        <w:ind w:left="576" w:right="1117" w:hanging="423"/>
        <w:jc w:val="left"/>
      </w:pPr>
      <w:r>
        <w:rPr>
          <w:rFonts w:ascii="Times New Roman" w:hAnsi="Times New Roman" w:cs="Times New Roman" w:eastAsia="Times New Roman" w:hint="default"/>
        </w:rPr>
        <w:t>GR201741000424</w:t>
      </w:r>
      <w:r>
        <w:rPr/>
        <w:t>，有效期三年，本年度按</w:t>
      </w:r>
      <w:r>
        <w:rPr>
          <w:rFonts w:ascii="Times New Roman" w:hAnsi="Times New Roman" w:cs="Times New Roman" w:eastAsia="Times New Roman" w:hint="default"/>
        </w:rPr>
        <w:t>15%</w:t>
      </w:r>
      <w:r>
        <w:rPr/>
        <w:t>税率征收企业所得税。</w:t>
      </w:r>
      <w:r>
        <w:rPr>
          <w:w w:val="99"/>
        </w:rPr>
        <w:t> </w:t>
      </w:r>
      <w:r>
        <w:rPr>
          <w:spacing w:val="-1"/>
        </w:rPr>
        <w:t>公司全资子公司北京迪科远望科技有限公司于</w:t>
      </w:r>
      <w:r>
        <w:rPr>
          <w:rFonts w:ascii="Times New Roman" w:hAnsi="Times New Roman" w:cs="Times New Roman" w:eastAsia="Times New Roman" w:hint="default"/>
          <w:spacing w:val="-1"/>
        </w:rPr>
        <w:t>2017</w:t>
      </w:r>
      <w:r>
        <w:rPr>
          <w:spacing w:val="-1"/>
        </w:rPr>
        <w:t>年被北京市科学技术委员会、北京市财政局、北京</w:t>
      </w:r>
    </w:p>
    <w:p>
      <w:pPr>
        <w:pStyle w:val="BodyText"/>
        <w:spacing w:line="386" w:lineRule="auto" w:before="35"/>
        <w:ind w:right="1117"/>
        <w:jc w:val="left"/>
      </w:pPr>
      <w:r>
        <w:rPr>
          <w:spacing w:val="-3"/>
        </w:rPr>
        <w:t>市国家税务局、北京市地方税务局认定为高新技术企业，证书编号</w:t>
      </w:r>
      <w:r>
        <w:rPr>
          <w:rFonts w:ascii="Times New Roman" w:hAnsi="Times New Roman" w:cs="Times New Roman" w:eastAsia="Times New Roman" w:hint="default"/>
          <w:spacing w:val="-3"/>
        </w:rPr>
        <w:t>GR201711001503</w:t>
      </w:r>
      <w:r>
        <w:rPr>
          <w:spacing w:val="-3"/>
        </w:rPr>
        <w:t>，有效期为三年，本年</w:t>
      </w:r>
      <w:r>
        <w:rPr>
          <w:spacing w:val="-54"/>
        </w:rPr>
        <w:t> </w:t>
      </w:r>
      <w:r>
        <w:rPr>
          <w:spacing w:val="-54"/>
        </w:rPr>
      </w:r>
      <w:r>
        <w:rPr/>
        <w:t>度按</w:t>
      </w:r>
      <w:r>
        <w:rPr>
          <w:rFonts w:ascii="Times New Roman" w:hAnsi="Times New Roman" w:cs="Times New Roman" w:eastAsia="Times New Roman" w:hint="default"/>
        </w:rPr>
        <w:t>15%</w:t>
      </w:r>
      <w:r>
        <w:rPr/>
        <w:t>税率征收企业所得税。</w:t>
      </w:r>
    </w:p>
    <w:p>
      <w:pPr>
        <w:pStyle w:val="BodyText"/>
        <w:spacing w:line="386" w:lineRule="auto" w:before="35"/>
        <w:ind w:right="1010" w:firstLine="422"/>
        <w:jc w:val="left"/>
      </w:pPr>
      <w:r>
        <w:rPr/>
        <w:t>公司全资子公司上海树维信息科技有限公司于</w:t>
      </w:r>
      <w:r>
        <w:rPr>
          <w:rFonts w:ascii="Times New Roman" w:hAnsi="Times New Roman" w:cs="Times New Roman" w:eastAsia="Times New Roman" w:hint="default"/>
        </w:rPr>
        <w:t>2017</w:t>
      </w:r>
      <w:r>
        <w:rPr/>
        <w:t>年被上海市科学技术委员会、上海市财政局、上海 市国家税务局、上海市地方税务局认定为高新技术企业，高新技术企业批准证书编号为</w:t>
      </w:r>
      <w:r>
        <w:rPr>
          <w:rFonts w:ascii="Times New Roman" w:hAnsi="Times New Roman" w:cs="Times New Roman" w:eastAsia="Times New Roman" w:hint="default"/>
        </w:rPr>
        <w:t>GR201731002658</w:t>
      </w:r>
      <w:r>
        <w:rPr/>
        <w:t>， 有限期为三年，本年度按</w:t>
      </w:r>
      <w:r>
        <w:rPr>
          <w:rFonts w:ascii="Times New Roman" w:hAnsi="Times New Roman" w:cs="Times New Roman" w:eastAsia="Times New Roman" w:hint="default"/>
        </w:rPr>
        <w:t>15%</w:t>
      </w:r>
      <w:r>
        <w:rPr/>
        <w:t>税率征收企业所得税。</w:t>
      </w:r>
    </w:p>
    <w:p>
      <w:pPr>
        <w:pStyle w:val="BodyText"/>
        <w:spacing w:line="398" w:lineRule="auto" w:before="36"/>
        <w:ind w:right="1117" w:firstLine="422"/>
        <w:jc w:val="left"/>
      </w:pPr>
      <w:r>
        <w:rPr>
          <w:spacing w:val="-1"/>
        </w:rPr>
        <w:t>公司控股子公司福建新开普信息科技有限公司于</w:t>
      </w:r>
      <w:r>
        <w:rPr>
          <w:rFonts w:ascii="Times New Roman" w:hAnsi="Times New Roman" w:cs="Times New Roman" w:eastAsia="Times New Roman" w:hint="default"/>
          <w:spacing w:val="-1"/>
        </w:rPr>
        <w:t>2016</w:t>
      </w:r>
      <w:r>
        <w:rPr>
          <w:spacing w:val="-1"/>
        </w:rPr>
        <w:t>年</w:t>
      </w:r>
      <w:r>
        <w:rPr>
          <w:rFonts w:ascii="Times New Roman" w:hAnsi="Times New Roman" w:cs="Times New Roman" w:eastAsia="Times New Roman" w:hint="default"/>
          <w:spacing w:val="-1"/>
        </w:rPr>
        <w:t>12</w:t>
      </w:r>
      <w:r>
        <w:rPr>
          <w:spacing w:val="-1"/>
        </w:rPr>
        <w:t>月经福建省科学技术厅、福建省财政厅、福</w:t>
      </w:r>
      <w:r>
        <w:rPr/>
        <w:t> 建省国家税务局、福建省地方税务局批准认定为高新技术企业，高新技术企业批准证书编号为 </w:t>
      </w:r>
      <w:r>
        <w:rPr>
          <w:rFonts w:ascii="Times New Roman" w:hAnsi="Times New Roman" w:cs="Times New Roman" w:eastAsia="Times New Roman" w:hint="default"/>
        </w:rPr>
        <w:t>“GR201635000278”</w:t>
      </w:r>
      <w:r>
        <w:rPr/>
        <w:t>。本年度按</w:t>
      </w:r>
      <w:r>
        <w:rPr>
          <w:rFonts w:ascii="Times New Roman" w:hAnsi="Times New Roman" w:cs="Times New Roman" w:eastAsia="Times New Roman" w:hint="default"/>
        </w:rPr>
        <w:t>15%</w:t>
      </w:r>
      <w:r>
        <w:rPr/>
        <w:t>税率征收企业所得税。</w:t>
      </w:r>
    </w:p>
    <w:p>
      <w:pPr>
        <w:spacing w:after="0" w:line="398" w:lineRule="auto"/>
        <w:jc w:val="left"/>
        <w:sectPr>
          <w:pgSz w:w="11910" w:h="16840"/>
          <w:pgMar w:header="877" w:footer="979" w:top="1060" w:bottom="1160" w:left="980" w:right="0"/>
        </w:sectPr>
      </w:pPr>
    </w:p>
    <w:p>
      <w:pPr>
        <w:spacing w:line="240" w:lineRule="auto" w:before="10"/>
        <w:rPr>
          <w:rFonts w:ascii="宋体" w:hAnsi="宋体" w:cs="宋体" w:eastAsia="宋体" w:hint="default"/>
          <w:sz w:val="24"/>
          <w:szCs w:val="24"/>
        </w:rPr>
      </w:pPr>
    </w:p>
    <w:p>
      <w:pPr>
        <w:spacing w:line="487" w:lineRule="auto" w:before="35"/>
        <w:ind w:left="154" w:right="7692" w:firstLine="0"/>
        <w:jc w:val="left"/>
        <w:rPr>
          <w:rFonts w:ascii="宋体" w:hAnsi="宋体" w:cs="宋体" w:eastAsia="宋体" w:hint="default"/>
          <w:sz w:val="21"/>
          <w:szCs w:val="21"/>
        </w:rPr>
      </w:pPr>
      <w:bookmarkStart w:name="3、其他" w:id="221"/>
      <w:bookmarkEnd w:id="221"/>
      <w:r>
        <w:rPr/>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、其他</w:t>
      </w:r>
      <w:r>
        <w:rPr>
          <w:rFonts w:ascii="宋体" w:hAnsi="宋体" w:cs="宋体" w:eastAsia="宋体" w:hint="default"/>
          <w:b/>
          <w:bCs/>
          <w:spacing w:val="1"/>
          <w:w w:val="99"/>
          <w:sz w:val="21"/>
          <w:szCs w:val="21"/>
        </w:rPr>
        <w:t> </w:t>
      </w:r>
      <w:bookmarkStart w:name="七、合并财务报表项目注释" w:id="222"/>
      <w:bookmarkEnd w:id="222"/>
      <w:r>
        <w:rPr>
          <w:rFonts w:ascii="宋体" w:hAnsi="宋体" w:cs="宋体" w:eastAsia="宋体" w:hint="default"/>
          <w:b/>
          <w:bCs/>
          <w:spacing w:val="1"/>
          <w:w w:val="99"/>
          <w:sz w:val="21"/>
          <w:szCs w:val="21"/>
        </w:rPr>
      </w:r>
      <w:r>
        <w:rPr>
          <w:rFonts w:ascii="宋体" w:hAnsi="宋体" w:cs="宋体" w:eastAsia="宋体" w:hint="default"/>
          <w:b/>
          <w:bCs/>
          <w:w w:val="95"/>
          <w:sz w:val="24"/>
          <w:szCs w:val="24"/>
        </w:rPr>
        <w:t>七、合并财务报表项目注释</w:t>
      </w:r>
      <w:r>
        <w:rPr>
          <w:rFonts w:ascii="宋体" w:hAnsi="宋体" w:cs="宋体" w:eastAsia="宋体" w:hint="default"/>
          <w:b/>
          <w:bCs/>
          <w:spacing w:val="18"/>
          <w:w w:val="95"/>
          <w:sz w:val="24"/>
          <w:szCs w:val="24"/>
        </w:rPr>
        <w:t> </w:t>
      </w:r>
      <w:r>
        <w:rPr>
          <w:rFonts w:ascii="宋体" w:hAnsi="宋体" w:cs="宋体" w:eastAsia="宋体" w:hint="default"/>
          <w:b/>
          <w:bCs/>
          <w:spacing w:val="18"/>
          <w:w w:val="95"/>
          <w:sz w:val="24"/>
          <w:szCs w:val="24"/>
        </w:rPr>
      </w:r>
      <w:bookmarkStart w:name="1、货币资金" w:id="223"/>
      <w:bookmarkEnd w:id="223"/>
      <w:r>
        <w:rPr>
          <w:rFonts w:ascii="宋体" w:hAnsi="宋体" w:cs="宋体" w:eastAsia="宋体" w:hint="default"/>
          <w:b/>
          <w:bCs/>
          <w:spacing w:val="18"/>
          <w:w w:val="95"/>
          <w:sz w:val="24"/>
          <w:szCs w:val="24"/>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、货币资金</w:t>
      </w:r>
      <w:r>
        <w:rPr>
          <w:rFonts w:ascii="宋体" w:hAnsi="宋体" w:cs="宋体" w:eastAsia="宋体" w:hint="default"/>
          <w:sz w:val="21"/>
          <w:szCs w:val="21"/>
        </w:rPr>
      </w:r>
    </w:p>
    <w:p>
      <w:pPr>
        <w:spacing w:before="108"/>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7"/>
        <w:gridCol w:w="3202"/>
        <w:gridCol w:w="3190"/>
      </w:tblGrid>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库存现金</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58,945.73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107,673.02</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银行存款</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357,070,360.68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593,240,934.34</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其他货币资金</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34,459,035.52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929,960.99</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391,588,341.93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594,278,568.35</w:t>
            </w:r>
          </w:p>
        </w:tc>
      </w:tr>
    </w:tbl>
    <w:p>
      <w:pPr>
        <w:spacing w:before="51"/>
        <w:ind w:left="154" w:right="1117"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2"/>
        <w:rPr>
          <w:rFonts w:ascii="宋体" w:hAnsi="宋体" w:cs="宋体" w:eastAsia="宋体" w:hint="default"/>
          <w:sz w:val="12"/>
          <w:szCs w:val="12"/>
        </w:rPr>
      </w:pPr>
    </w:p>
    <w:p>
      <w:pPr>
        <w:pStyle w:val="BodyText"/>
        <w:spacing w:line="408" w:lineRule="auto" w:before="0"/>
        <w:ind w:left="868" w:right="1218"/>
        <w:jc w:val="left"/>
      </w:pPr>
      <w:r>
        <w:rPr/>
        <w:t>其中因抵押、质押或冻结等对使用有限制，以及放在境外且资金汇回受到限制的货币资金明细如 下：</w:t>
      </w:r>
    </w:p>
    <w:p>
      <w:pPr>
        <w:spacing w:line="240" w:lineRule="auto" w:before="4"/>
        <w:rPr>
          <w:rFonts w:ascii="宋体" w:hAnsi="宋体" w:cs="宋体" w:eastAsia="宋体" w:hint="default"/>
          <w:sz w:val="23"/>
          <w:szCs w:val="23"/>
        </w:rPr>
      </w:pPr>
    </w:p>
    <w:tbl>
      <w:tblPr>
        <w:tblW w:w="0" w:type="auto"/>
        <w:jc w:val="left"/>
        <w:tblInd w:w="1064" w:type="dxa"/>
        <w:tblLayout w:type="fixed"/>
        <w:tblCellMar>
          <w:top w:w="0" w:type="dxa"/>
          <w:left w:w="0" w:type="dxa"/>
          <w:bottom w:w="0" w:type="dxa"/>
          <w:right w:w="0" w:type="dxa"/>
        </w:tblCellMar>
        <w:tblLook w:val="01E0"/>
      </w:tblPr>
      <w:tblGrid>
        <w:gridCol w:w="3335"/>
        <w:gridCol w:w="2238"/>
        <w:gridCol w:w="2238"/>
      </w:tblGrid>
      <w:tr>
        <w:trPr>
          <w:trHeight w:val="332" w:hRule="exact"/>
        </w:trPr>
        <w:tc>
          <w:tcPr>
            <w:tcW w:w="333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59" w:lineRule="exact"/>
              <w:ind w:right="1452"/>
              <w:jc w:val="right"/>
              <w:rPr>
                <w:rFonts w:ascii="宋体" w:hAnsi="宋体" w:cs="宋体" w:eastAsia="宋体" w:hint="default"/>
                <w:sz w:val="21"/>
                <w:szCs w:val="21"/>
              </w:rPr>
            </w:pPr>
            <w:r>
              <w:rPr>
                <w:rFonts w:ascii="宋体" w:hAnsi="宋体" w:cs="宋体" w:eastAsia="宋体" w:hint="default"/>
                <w:sz w:val="21"/>
                <w:szCs w:val="21"/>
              </w:rPr>
              <w:t>项目</w:t>
            </w:r>
          </w:p>
        </w:tc>
        <w:tc>
          <w:tcPr>
            <w:tcW w:w="223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59" w:lineRule="exact"/>
              <w:ind w:left="693" w:right="0"/>
              <w:jc w:val="left"/>
              <w:rPr>
                <w:rFonts w:ascii="宋体" w:hAnsi="宋体" w:cs="宋体" w:eastAsia="宋体" w:hint="default"/>
                <w:sz w:val="21"/>
                <w:szCs w:val="21"/>
              </w:rPr>
            </w:pPr>
            <w:r>
              <w:rPr>
                <w:rFonts w:ascii="宋体" w:hAnsi="宋体" w:cs="宋体" w:eastAsia="宋体" w:hint="default"/>
                <w:sz w:val="21"/>
                <w:szCs w:val="21"/>
              </w:rPr>
              <w:t>期末余额</w:t>
            </w:r>
          </w:p>
        </w:tc>
        <w:tc>
          <w:tcPr>
            <w:tcW w:w="223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59" w:lineRule="exact"/>
              <w:ind w:left="693" w:right="0"/>
              <w:jc w:val="left"/>
              <w:rPr>
                <w:rFonts w:ascii="宋体" w:hAnsi="宋体" w:cs="宋体" w:eastAsia="宋体" w:hint="default"/>
                <w:sz w:val="21"/>
                <w:szCs w:val="21"/>
              </w:rPr>
            </w:pPr>
            <w:r>
              <w:rPr>
                <w:rFonts w:ascii="宋体" w:hAnsi="宋体" w:cs="宋体" w:eastAsia="宋体" w:hint="default"/>
                <w:sz w:val="21"/>
                <w:szCs w:val="21"/>
              </w:rPr>
              <w:t>年初余额</w:t>
            </w:r>
          </w:p>
        </w:tc>
      </w:tr>
      <w:tr>
        <w:trPr>
          <w:trHeight w:val="342" w:hRule="exact"/>
        </w:trPr>
        <w:tc>
          <w:tcPr>
            <w:tcW w:w="333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0" w:lineRule="exact"/>
              <w:ind w:left="2" w:right="0"/>
              <w:jc w:val="left"/>
              <w:rPr>
                <w:rFonts w:ascii="宋体" w:hAnsi="宋体" w:cs="宋体" w:eastAsia="宋体" w:hint="default"/>
                <w:sz w:val="21"/>
                <w:szCs w:val="21"/>
              </w:rPr>
            </w:pPr>
            <w:r>
              <w:rPr>
                <w:rFonts w:ascii="宋体" w:hAnsi="宋体" w:cs="宋体" w:eastAsia="宋体" w:hint="default"/>
                <w:sz w:val="21"/>
                <w:szCs w:val="21"/>
              </w:rPr>
              <w:t>银行承兑汇票保证金</w:t>
            </w:r>
          </w:p>
        </w:tc>
        <w:tc>
          <w:tcPr>
            <w:tcW w:w="2238" w:type="dxa"/>
            <w:tcBorders>
              <w:top w:val="single" w:sz="8" w:space="0" w:color="000000"/>
              <w:left w:val="single" w:sz="6" w:space="0" w:color="000000"/>
              <w:bottom w:val="single" w:sz="4" w:space="0" w:color="000000"/>
              <w:right w:val="single" w:sz="4" w:space="0" w:color="000000"/>
            </w:tcBorders>
          </w:tcPr>
          <w:p>
            <w:pPr>
              <w:pStyle w:val="TableParagraph"/>
              <w:spacing w:line="240" w:lineRule="auto" w:before="38"/>
              <w:ind w:right="3"/>
              <w:jc w:val="right"/>
              <w:rPr>
                <w:rFonts w:ascii="Times New Roman" w:hAnsi="Times New Roman" w:cs="Times New Roman" w:eastAsia="Times New Roman" w:hint="default"/>
                <w:sz w:val="21"/>
                <w:szCs w:val="21"/>
              </w:rPr>
            </w:pPr>
            <w:r>
              <w:rPr>
                <w:rFonts w:ascii="Times New Roman"/>
                <w:sz w:val="21"/>
              </w:rPr>
              <w:t>24,342,886.07</w:t>
            </w:r>
          </w:p>
        </w:tc>
        <w:tc>
          <w:tcPr>
            <w:tcW w:w="2238" w:type="dxa"/>
            <w:tcBorders>
              <w:top w:val="single" w:sz="8" w:space="0" w:color="000000"/>
              <w:left w:val="single" w:sz="4" w:space="0" w:color="000000"/>
              <w:bottom w:val="single" w:sz="4" w:space="0" w:color="000000"/>
              <w:right w:val="single" w:sz="4" w:space="0" w:color="000000"/>
            </w:tcBorders>
          </w:tcPr>
          <w:p>
            <w:pPr/>
          </w:p>
        </w:tc>
      </w:tr>
      <w:tr>
        <w:trPr>
          <w:trHeight w:val="342" w:hRule="exact"/>
        </w:trPr>
        <w:tc>
          <w:tcPr>
            <w:tcW w:w="333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0" w:lineRule="exact"/>
              <w:ind w:left="2" w:right="0"/>
              <w:jc w:val="left"/>
              <w:rPr>
                <w:rFonts w:ascii="宋体" w:hAnsi="宋体" w:cs="宋体" w:eastAsia="宋体" w:hint="default"/>
                <w:sz w:val="21"/>
                <w:szCs w:val="21"/>
              </w:rPr>
            </w:pPr>
            <w:r>
              <w:rPr>
                <w:rFonts w:ascii="宋体" w:hAnsi="宋体" w:cs="宋体" w:eastAsia="宋体" w:hint="default"/>
                <w:sz w:val="21"/>
                <w:szCs w:val="21"/>
              </w:rPr>
              <w:t>履约保证金</w:t>
            </w:r>
          </w:p>
        </w:tc>
        <w:tc>
          <w:tcPr>
            <w:tcW w:w="2238"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44"/>
              <w:ind w:right="4"/>
              <w:jc w:val="right"/>
              <w:rPr>
                <w:rFonts w:ascii="Times New Roman" w:hAnsi="Times New Roman" w:cs="Times New Roman" w:eastAsia="Times New Roman" w:hint="default"/>
                <w:sz w:val="21"/>
                <w:szCs w:val="21"/>
              </w:rPr>
            </w:pPr>
            <w:r>
              <w:rPr>
                <w:rFonts w:ascii="Times New Roman"/>
                <w:spacing w:val="-1"/>
                <w:sz w:val="21"/>
              </w:rPr>
              <w:t>9,425,608.99</w:t>
            </w:r>
          </w:p>
        </w:tc>
        <w:tc>
          <w:tcPr>
            <w:tcW w:w="22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3"/>
              <w:jc w:val="right"/>
              <w:rPr>
                <w:rFonts w:ascii="Times New Roman" w:hAnsi="Times New Roman" w:cs="Times New Roman" w:eastAsia="Times New Roman" w:hint="default"/>
                <w:sz w:val="21"/>
                <w:szCs w:val="21"/>
              </w:rPr>
            </w:pPr>
            <w:r>
              <w:rPr>
                <w:rFonts w:ascii="Times New Roman"/>
                <w:spacing w:val="-1"/>
                <w:sz w:val="21"/>
              </w:rPr>
              <w:t>929,960.99</w:t>
            </w:r>
          </w:p>
        </w:tc>
      </w:tr>
      <w:tr>
        <w:trPr>
          <w:trHeight w:val="342" w:hRule="exact"/>
        </w:trPr>
        <w:tc>
          <w:tcPr>
            <w:tcW w:w="333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0" w:lineRule="exact"/>
              <w:ind w:left="2" w:right="0"/>
              <w:jc w:val="left"/>
              <w:rPr>
                <w:rFonts w:ascii="宋体" w:hAnsi="宋体" w:cs="宋体" w:eastAsia="宋体" w:hint="default"/>
                <w:sz w:val="21"/>
                <w:szCs w:val="21"/>
              </w:rPr>
            </w:pPr>
            <w:r>
              <w:rPr>
                <w:rFonts w:ascii="宋体" w:hAnsi="宋体" w:cs="宋体" w:eastAsia="宋体" w:hint="default"/>
                <w:sz w:val="21"/>
                <w:szCs w:val="21"/>
              </w:rPr>
              <w:t>投标保证金</w:t>
            </w:r>
          </w:p>
        </w:tc>
        <w:tc>
          <w:tcPr>
            <w:tcW w:w="2238"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44"/>
              <w:ind w:right="3"/>
              <w:jc w:val="right"/>
              <w:rPr>
                <w:rFonts w:ascii="Times New Roman" w:hAnsi="Times New Roman" w:cs="Times New Roman" w:eastAsia="Times New Roman" w:hint="default"/>
                <w:sz w:val="21"/>
                <w:szCs w:val="21"/>
              </w:rPr>
            </w:pPr>
            <w:r>
              <w:rPr>
                <w:rFonts w:ascii="Times New Roman"/>
                <w:spacing w:val="-1"/>
                <w:sz w:val="21"/>
              </w:rPr>
              <w:t>690,540.46</w:t>
            </w:r>
          </w:p>
        </w:tc>
        <w:tc>
          <w:tcPr>
            <w:tcW w:w="2238" w:type="dxa"/>
            <w:tcBorders>
              <w:top w:val="single" w:sz="4" w:space="0" w:color="000000"/>
              <w:left w:val="single" w:sz="4" w:space="0" w:color="000000"/>
              <w:bottom w:val="single" w:sz="4" w:space="0" w:color="000000"/>
              <w:right w:val="single" w:sz="4" w:space="0" w:color="000000"/>
            </w:tcBorders>
          </w:tcPr>
          <w:p>
            <w:pPr/>
          </w:p>
        </w:tc>
      </w:tr>
      <w:tr>
        <w:trPr>
          <w:trHeight w:val="342" w:hRule="exact"/>
        </w:trPr>
        <w:tc>
          <w:tcPr>
            <w:tcW w:w="333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0" w:lineRule="exact"/>
              <w:ind w:right="1452"/>
              <w:jc w:val="right"/>
              <w:rPr>
                <w:rFonts w:ascii="宋体" w:hAnsi="宋体" w:cs="宋体" w:eastAsia="宋体" w:hint="default"/>
                <w:sz w:val="21"/>
                <w:szCs w:val="21"/>
              </w:rPr>
            </w:pPr>
            <w:r>
              <w:rPr>
                <w:rFonts w:ascii="宋体" w:hAnsi="宋体" w:cs="宋体" w:eastAsia="宋体" w:hint="default"/>
                <w:sz w:val="21"/>
                <w:szCs w:val="21"/>
              </w:rPr>
              <w:t>合计</w:t>
            </w:r>
          </w:p>
        </w:tc>
        <w:tc>
          <w:tcPr>
            <w:tcW w:w="2238"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44"/>
              <w:ind w:right="3"/>
              <w:jc w:val="right"/>
              <w:rPr>
                <w:rFonts w:ascii="Times New Roman" w:hAnsi="Times New Roman" w:cs="Times New Roman" w:eastAsia="Times New Roman" w:hint="default"/>
                <w:sz w:val="21"/>
                <w:szCs w:val="21"/>
              </w:rPr>
            </w:pPr>
            <w:r>
              <w:rPr>
                <w:rFonts w:ascii="Times New Roman"/>
                <w:sz w:val="21"/>
              </w:rPr>
              <w:t>34,459,035.52</w:t>
            </w:r>
          </w:p>
        </w:tc>
        <w:tc>
          <w:tcPr>
            <w:tcW w:w="22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3"/>
              <w:jc w:val="right"/>
              <w:rPr>
                <w:rFonts w:ascii="Times New Roman" w:hAnsi="Times New Roman" w:cs="Times New Roman" w:eastAsia="Times New Roman" w:hint="default"/>
                <w:sz w:val="21"/>
                <w:szCs w:val="21"/>
              </w:rPr>
            </w:pPr>
            <w:r>
              <w:rPr>
                <w:rFonts w:ascii="Times New Roman"/>
                <w:spacing w:val="-1"/>
                <w:sz w:val="21"/>
              </w:rPr>
              <w:t>929,960.99</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3"/>
          <w:szCs w:val="23"/>
        </w:rPr>
      </w:pPr>
    </w:p>
    <w:p>
      <w:pPr>
        <w:pStyle w:val="Heading4"/>
        <w:spacing w:line="240" w:lineRule="auto" w:before="35"/>
        <w:ind w:right="1117"/>
        <w:jc w:val="left"/>
        <w:rPr>
          <w:b w:val="0"/>
          <w:bCs w:val="0"/>
        </w:rPr>
      </w:pPr>
      <w:bookmarkStart w:name="2、衍生金融资产" w:id="224"/>
      <w:bookmarkEnd w:id="224"/>
      <w:r>
        <w:rPr>
          <w:b w:val="0"/>
          <w:bCs w:val="0"/>
        </w:rPr>
      </w:r>
      <w:r>
        <w:rPr>
          <w:rFonts w:ascii="Times New Roman" w:hAnsi="Times New Roman" w:cs="Times New Roman" w:eastAsia="Times New Roman" w:hint="default"/>
        </w:rPr>
        <w:t>2</w:t>
      </w:r>
      <w:r>
        <w:rPr/>
        <w:t>、衍生金融资产</w:t>
      </w:r>
      <w:r>
        <w:rPr>
          <w:b w:val="0"/>
          <w:bCs w:val="0"/>
        </w:rPr>
      </w:r>
    </w:p>
    <w:p>
      <w:pPr>
        <w:spacing w:line="240" w:lineRule="auto" w:before="3"/>
        <w:rPr>
          <w:rFonts w:ascii="宋体" w:hAnsi="宋体" w:cs="宋体" w:eastAsia="宋体" w:hint="default"/>
          <w:b/>
          <w:bCs/>
          <w:sz w:val="23"/>
          <w:szCs w:val="23"/>
        </w:rPr>
      </w:pPr>
    </w:p>
    <w:p>
      <w:pPr>
        <w:spacing w:before="44"/>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适用</w:t>
      </w:r>
      <w:r>
        <w:rPr>
          <w:rFonts w:ascii="Times New Roman" w:hAnsi="Times New Roman" w:cs="Times New Roman" w:eastAsia="Times New Roman" w:hint="default"/>
          <w:sz w:val="18"/>
          <w:szCs w:val="18"/>
        </w:rPr>
        <w:t>□</w:t>
      </w:r>
      <w:r>
        <w:rPr>
          <w:rFonts w:ascii="宋体" w:hAnsi="宋体" w:cs="宋体" w:eastAsia="宋体" w:hint="default"/>
          <w:sz w:val="18"/>
          <w:szCs w:val="18"/>
        </w:rPr>
        <w:t>不适用</w:t>
      </w:r>
    </w:p>
    <w:p>
      <w:pPr>
        <w:spacing w:before="102"/>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业绩承诺方补偿款</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3,402,000.00</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3,402,000.00</w:t>
            </w:r>
          </w:p>
        </w:tc>
        <w:tc>
          <w:tcPr>
            <w:tcW w:w="3190" w:type="dxa"/>
            <w:tcBorders>
              <w:top w:val="single" w:sz="4" w:space="0" w:color="000000"/>
              <w:left w:val="single" w:sz="4" w:space="0" w:color="000000"/>
              <w:bottom w:val="single" w:sz="4" w:space="0" w:color="000000"/>
              <w:right w:val="single" w:sz="4" w:space="0" w:color="000000"/>
            </w:tcBorders>
          </w:tcPr>
          <w:p>
            <w:pPr/>
          </w:p>
        </w:tc>
      </w:tr>
    </w:tbl>
    <w:p>
      <w:pPr>
        <w:spacing w:before="51"/>
        <w:ind w:left="154" w:right="1117"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2"/>
        <w:rPr>
          <w:rFonts w:ascii="宋体" w:hAnsi="宋体" w:cs="宋体" w:eastAsia="宋体" w:hint="default"/>
          <w:sz w:val="12"/>
          <w:szCs w:val="12"/>
        </w:rPr>
      </w:pPr>
    </w:p>
    <w:p>
      <w:pPr>
        <w:pStyle w:val="BodyText"/>
        <w:spacing w:line="386" w:lineRule="auto" w:before="0"/>
        <w:ind w:right="1117" w:firstLine="423"/>
        <w:jc w:val="left"/>
      </w:pPr>
      <w:r>
        <w:rPr>
          <w:rFonts w:ascii="Times New Roman" w:hAnsi="Times New Roman" w:cs="Times New Roman" w:eastAsia="Times New Roman" w:hint="default"/>
          <w:spacing w:val="-1"/>
        </w:rPr>
        <w:t>1</w:t>
      </w:r>
      <w:r>
        <w:rPr>
          <w:spacing w:val="-1"/>
        </w:rPr>
        <w:t>、</w:t>
      </w:r>
      <w:r>
        <w:rPr>
          <w:rFonts w:ascii="Times New Roman" w:hAnsi="Times New Roman" w:cs="Times New Roman" w:eastAsia="Times New Roman" w:hint="default"/>
          <w:spacing w:val="-1"/>
        </w:rPr>
        <w:t>2015</w:t>
      </w:r>
      <w:r>
        <w:rPr>
          <w:spacing w:val="-1"/>
        </w:rPr>
        <w:t>年</w:t>
      </w:r>
      <w:r>
        <w:rPr>
          <w:rFonts w:ascii="Times New Roman" w:hAnsi="Times New Roman" w:cs="Times New Roman" w:eastAsia="Times New Roman" w:hint="default"/>
          <w:spacing w:val="-1"/>
        </w:rPr>
        <w:t>7</w:t>
      </w:r>
      <w:r>
        <w:rPr>
          <w:spacing w:val="-1"/>
        </w:rPr>
        <w:t>月</w:t>
      </w:r>
      <w:r>
        <w:rPr>
          <w:rFonts w:ascii="Times New Roman" w:hAnsi="Times New Roman" w:cs="Times New Roman" w:eastAsia="Times New Roman" w:hint="default"/>
          <w:spacing w:val="-1"/>
        </w:rPr>
        <w:t>28</w:t>
      </w:r>
      <w:r>
        <w:rPr>
          <w:spacing w:val="-1"/>
        </w:rPr>
        <w:t>日，公司与河南华夏海纳创业投资集团有限公司（以下简称</w:t>
      </w:r>
      <w:r>
        <w:rPr>
          <w:rFonts w:ascii="Times New Roman" w:hAnsi="Times New Roman" w:cs="Times New Roman" w:eastAsia="Times New Roman" w:hint="default"/>
          <w:spacing w:val="-1"/>
        </w:rPr>
        <w:t>“</w:t>
      </w:r>
      <w:r>
        <w:rPr>
          <w:spacing w:val="-1"/>
        </w:rPr>
        <w:t>华夏海纳</w:t>
      </w:r>
      <w:r>
        <w:rPr>
          <w:rFonts w:ascii="Times New Roman" w:hAnsi="Times New Roman" w:cs="Times New Roman" w:eastAsia="Times New Roman" w:hint="default"/>
          <w:spacing w:val="-1"/>
        </w:rPr>
        <w:t>”</w:t>
      </w:r>
      <w:r>
        <w:rPr>
          <w:spacing w:val="-1"/>
        </w:rPr>
        <w:t>）签订增资协</w:t>
      </w:r>
      <w:r>
        <w:rPr/>
        <w:t> 议及补充协议，协议约定若华夏海纳在</w:t>
      </w:r>
      <w:r>
        <w:rPr>
          <w:rFonts w:ascii="Times New Roman" w:hAnsi="Times New Roman" w:cs="Times New Roman" w:eastAsia="Times New Roman" w:hint="default"/>
        </w:rPr>
        <w:t>2016</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30</w:t>
      </w:r>
      <w:r>
        <w:rPr/>
        <w:t>日前未在新三板挂牌，华夏海纳将支付公司补偿款， </w:t>
      </w:r>
      <w:r>
        <w:rPr>
          <w:spacing w:val="-4"/>
        </w:rPr>
        <w:t>截至</w:t>
      </w:r>
      <w:r>
        <w:rPr>
          <w:rFonts w:ascii="Times New Roman" w:hAnsi="Times New Roman" w:cs="Times New Roman" w:eastAsia="Times New Roman" w:hint="default"/>
          <w:spacing w:val="-4"/>
        </w:rPr>
        <w:t>2016</w:t>
      </w:r>
      <w:r>
        <w:rPr>
          <w:spacing w:val="-4"/>
        </w:rPr>
        <w:t>年</w:t>
      </w:r>
      <w:r>
        <w:rPr>
          <w:rFonts w:ascii="Times New Roman" w:hAnsi="Times New Roman" w:cs="Times New Roman" w:eastAsia="Times New Roman" w:hint="default"/>
          <w:spacing w:val="-4"/>
        </w:rPr>
        <w:t>6</w:t>
      </w:r>
      <w:r>
        <w:rPr>
          <w:spacing w:val="-4"/>
        </w:rPr>
        <w:t>月</w:t>
      </w:r>
      <w:r>
        <w:rPr>
          <w:rFonts w:ascii="Times New Roman" w:hAnsi="Times New Roman" w:cs="Times New Roman" w:eastAsia="Times New Roman" w:hint="default"/>
          <w:spacing w:val="-4"/>
        </w:rPr>
        <w:t>30</w:t>
      </w:r>
      <w:r>
        <w:rPr>
          <w:spacing w:val="-4"/>
        </w:rPr>
        <w:t>日，华夏海纳未能在新三板挂牌，经协商一致，华夏海纳需支付公司</w:t>
      </w:r>
      <w:r>
        <w:rPr>
          <w:rFonts w:ascii="Times New Roman" w:hAnsi="Times New Roman" w:cs="Times New Roman" w:eastAsia="Times New Roman" w:hint="default"/>
          <w:spacing w:val="-4"/>
        </w:rPr>
        <w:t>640.2</w:t>
      </w:r>
      <w:r>
        <w:rPr>
          <w:spacing w:val="-4"/>
        </w:rPr>
        <w:t>万元现金补偿，</w:t>
      </w:r>
      <w:r>
        <w:rPr>
          <w:spacing w:val="-80"/>
        </w:rPr>
        <w:t> </w:t>
      </w:r>
      <w:r>
        <w:rPr>
          <w:spacing w:val="-80"/>
        </w:rPr>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30</w:t>
      </w:r>
      <w:r>
        <w:rPr/>
        <w:t>日，公司收到</w:t>
      </w:r>
      <w:r>
        <w:rPr>
          <w:rFonts w:ascii="Times New Roman" w:hAnsi="Times New Roman" w:cs="Times New Roman" w:eastAsia="Times New Roman" w:hint="default"/>
        </w:rPr>
        <w:t>300</w:t>
      </w:r>
      <w:r>
        <w:rPr/>
        <w:t>万元整；</w:t>
      </w:r>
    </w:p>
    <w:p>
      <w:pPr>
        <w:pStyle w:val="BodyText"/>
        <w:spacing w:line="386" w:lineRule="auto" w:before="35"/>
        <w:ind w:right="1117" w:firstLine="423"/>
        <w:jc w:val="left"/>
      </w:pPr>
      <w:r>
        <w:rPr>
          <w:rFonts w:ascii="Times New Roman" w:hAnsi="Times New Roman" w:cs="Times New Roman" w:eastAsia="Times New Roman" w:hint="default"/>
          <w:spacing w:val="-3"/>
        </w:rPr>
        <w:t>2</w:t>
      </w:r>
      <w:r>
        <w:rPr>
          <w:spacing w:val="-3"/>
        </w:rPr>
        <w:t>、补偿款计算方式：以新开普本轮投资总额（含注册资本和资本公积金）加上</w:t>
      </w:r>
      <w:r>
        <w:rPr>
          <w:rFonts w:ascii="Times New Roman" w:hAnsi="Times New Roman" w:cs="Times New Roman" w:eastAsia="Times New Roman" w:hint="default"/>
          <w:spacing w:val="-3"/>
        </w:rPr>
        <w:t>12%</w:t>
      </w:r>
      <w:r>
        <w:rPr>
          <w:spacing w:val="-3"/>
        </w:rPr>
        <w:t>的年化收益率（单</w:t>
      </w:r>
      <w:r>
        <w:rPr/>
        <w:t> 利）按照实际出资时间计算的收益。</w:t>
      </w:r>
    </w:p>
    <w:p>
      <w:pPr>
        <w:spacing w:after="0" w:line="386" w:lineRule="auto"/>
        <w:jc w:val="left"/>
        <w:sectPr>
          <w:pgSz w:w="11910" w:h="16840"/>
          <w:pgMar w:header="877" w:footer="979" w:top="1060" w:bottom="1160" w:left="980" w:right="0"/>
        </w:sectPr>
      </w:pPr>
    </w:p>
    <w:p>
      <w:pPr>
        <w:spacing w:line="240" w:lineRule="auto" w:before="10"/>
        <w:rPr>
          <w:rFonts w:ascii="宋体" w:hAnsi="宋体" w:cs="宋体" w:eastAsia="宋体" w:hint="default"/>
          <w:sz w:val="24"/>
          <w:szCs w:val="24"/>
        </w:rPr>
      </w:pPr>
    </w:p>
    <w:p>
      <w:pPr>
        <w:pStyle w:val="Heading4"/>
        <w:spacing w:line="240" w:lineRule="auto" w:before="35"/>
        <w:ind w:right="1117"/>
        <w:jc w:val="left"/>
        <w:rPr>
          <w:b w:val="0"/>
          <w:bCs w:val="0"/>
        </w:rPr>
      </w:pPr>
      <w:bookmarkStart w:name="3、应收票据及应收账款" w:id="225"/>
      <w:bookmarkEnd w:id="225"/>
      <w:r>
        <w:rPr>
          <w:b w:val="0"/>
          <w:bCs w:val="0"/>
        </w:rPr>
      </w:r>
      <w:r>
        <w:rPr>
          <w:rFonts w:ascii="Times New Roman" w:hAnsi="Times New Roman" w:cs="Times New Roman" w:eastAsia="Times New Roman" w:hint="default"/>
        </w:rPr>
        <w:t>3</w:t>
      </w:r>
      <w:r>
        <w:rPr/>
        <w:t>、应收票据及应收账款</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167"/>
        <w:gridCol w:w="3202"/>
        <w:gridCol w:w="3190"/>
      </w:tblGrid>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1,102,000.00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615,610.00</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417,074,051.07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316,223,819.76</w:t>
            </w:r>
          </w:p>
        </w:tc>
      </w:tr>
      <w:tr>
        <w:trPr>
          <w:trHeight w:val="403"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418,176,051.07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316,839,429.76</w:t>
            </w:r>
          </w:p>
        </w:tc>
      </w:tr>
    </w:tbl>
    <w:p>
      <w:pPr>
        <w:spacing w:line="240" w:lineRule="auto" w:before="2"/>
        <w:rPr>
          <w:rFonts w:ascii="宋体" w:hAnsi="宋体" w:cs="宋体" w:eastAsia="宋体" w:hint="default"/>
          <w:sz w:val="19"/>
          <w:szCs w:val="19"/>
        </w:rPr>
      </w:pPr>
    </w:p>
    <w:p>
      <w:pPr>
        <w:pStyle w:val="Heading4"/>
        <w:spacing w:line="240" w:lineRule="auto" w:before="35"/>
        <w:ind w:right="1117"/>
        <w:jc w:val="left"/>
        <w:rPr>
          <w:b w:val="0"/>
          <w:bCs w:val="0"/>
        </w:rPr>
      </w:pPr>
      <w:bookmarkStart w:name="（1）应收票据" w:id="226"/>
      <w:bookmarkEnd w:id="226"/>
      <w:r>
        <w:rPr>
          <w:b w:val="0"/>
          <w:bCs w:val="0"/>
        </w:rPr>
      </w:r>
      <w:r>
        <w:rPr/>
        <w:t>（</w:t>
      </w:r>
      <w:r>
        <w:rPr>
          <w:rFonts w:ascii="Times New Roman" w:hAnsi="Times New Roman" w:cs="Times New Roman" w:eastAsia="Times New Roman" w:hint="default"/>
        </w:rPr>
        <w:t>1</w:t>
      </w:r>
      <w:r>
        <w:rPr/>
        <w:t>）应收票据</w:t>
      </w:r>
      <w:r>
        <w:rPr>
          <w:b w:val="0"/>
          <w:bCs w:val="0"/>
        </w:rPr>
      </w:r>
    </w:p>
    <w:p>
      <w:pPr>
        <w:spacing w:line="240" w:lineRule="auto" w:before="3"/>
        <w:rPr>
          <w:rFonts w:ascii="宋体" w:hAnsi="宋体" w:cs="宋体" w:eastAsia="宋体" w:hint="default"/>
          <w:b/>
          <w:bCs/>
          <w:sz w:val="23"/>
          <w:szCs w:val="23"/>
        </w:rPr>
      </w:pPr>
    </w:p>
    <w:p>
      <w:pPr>
        <w:spacing w:before="44"/>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应收票据分类列示</w:t>
      </w:r>
    </w:p>
    <w:p>
      <w:pPr>
        <w:spacing w:before="102"/>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167"/>
        <w:gridCol w:w="3202"/>
        <w:gridCol w:w="3190"/>
      </w:tblGrid>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银行承兑票据</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900,000.00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575,610.00</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商业承兑票据</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202,000.00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40,000.00</w:t>
            </w:r>
          </w:p>
        </w:tc>
      </w:tr>
      <w:tr>
        <w:trPr>
          <w:trHeight w:val="403"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1,102,000.00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615,610.00</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79" w:top="1060" w:bottom="1160" w:left="980" w:right="0"/>
        </w:sectPr>
      </w:pPr>
    </w:p>
    <w:p>
      <w:pPr>
        <w:spacing w:before="51"/>
        <w:ind w:left="154" w:right="-2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期末公司已质押的应收票据</w:t>
      </w:r>
    </w:p>
    <w:p>
      <w:pPr>
        <w:spacing w:before="102"/>
        <w:ind w:left="154" w:right="-2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期末公司已背书或贴现且在资产负债表日尚未到期的应收票据</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21"/>
          <w:szCs w:val="21"/>
        </w:rPr>
      </w:pPr>
    </w:p>
    <w:p>
      <w:pPr>
        <w:spacing w:before="0"/>
        <w:ind w:left="153" w:right="0" w:firstLine="0"/>
        <w:jc w:val="left"/>
        <w:rPr>
          <w:rFonts w:ascii="宋体" w:hAnsi="宋体" w:cs="宋体" w:eastAsia="宋体" w:hint="default"/>
          <w:sz w:val="18"/>
          <w:szCs w:val="18"/>
        </w:rPr>
      </w:pPr>
      <w:r>
        <w:rPr>
          <w:rFonts w:ascii="宋体" w:hAnsi="宋体" w:cs="宋体" w:eastAsia="宋体" w:hint="default"/>
          <w:sz w:val="18"/>
          <w:szCs w:val="18"/>
        </w:rPr>
        <w:t>单位：元</w:t>
      </w:r>
    </w:p>
    <w:p>
      <w:pPr>
        <w:spacing w:after="0"/>
        <w:jc w:val="left"/>
        <w:rPr>
          <w:rFonts w:ascii="宋体" w:hAnsi="宋体" w:cs="宋体" w:eastAsia="宋体" w:hint="default"/>
          <w:sz w:val="18"/>
          <w:szCs w:val="18"/>
        </w:rPr>
        <w:sectPr>
          <w:type w:val="continuous"/>
          <w:pgSz w:w="11910" w:h="16840"/>
          <w:pgMar w:top="1060" w:bottom="1160" w:left="980" w:right="0"/>
          <w:cols w:num="2" w:equalWidth="0">
            <w:col w:w="5165" w:space="3755"/>
            <w:col w:w="2010"/>
          </w:cols>
        </w:sectPr>
      </w:pP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167"/>
        <w:gridCol w:w="3202"/>
        <w:gridCol w:w="3190"/>
      </w:tblGrid>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82" w:right="0"/>
              <w:jc w:val="left"/>
              <w:rPr>
                <w:rFonts w:ascii="宋体" w:hAnsi="宋体" w:cs="宋体" w:eastAsia="宋体" w:hint="default"/>
                <w:sz w:val="18"/>
                <w:szCs w:val="18"/>
              </w:rPr>
            </w:pPr>
            <w:r>
              <w:rPr>
                <w:rFonts w:ascii="宋体" w:hAnsi="宋体" w:cs="宋体" w:eastAsia="宋体" w:hint="default"/>
                <w:sz w:val="18"/>
                <w:szCs w:val="18"/>
              </w:rPr>
              <w:t>期末终止确认金额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80" w:right="0"/>
              <w:jc w:val="left"/>
              <w:rPr>
                <w:rFonts w:ascii="宋体" w:hAnsi="宋体" w:cs="宋体" w:eastAsia="宋体" w:hint="default"/>
                <w:sz w:val="18"/>
                <w:szCs w:val="18"/>
              </w:rPr>
            </w:pPr>
            <w:r>
              <w:rPr>
                <w:rFonts w:ascii="宋体" w:hAnsi="宋体" w:cs="宋体" w:eastAsia="宋体" w:hint="default"/>
                <w:sz w:val="18"/>
                <w:szCs w:val="18"/>
              </w:rPr>
              <w:t>期末未终止确认金额</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银行承兑票据</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6,474,770.14</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6,474,770.14</w:t>
            </w:r>
          </w:p>
        </w:tc>
        <w:tc>
          <w:tcPr>
            <w:tcW w:w="3190" w:type="dxa"/>
            <w:tcBorders>
              <w:top w:val="single" w:sz="4" w:space="0" w:color="000000"/>
              <w:left w:val="single" w:sz="4" w:space="0" w:color="000000"/>
              <w:bottom w:val="single" w:sz="4" w:space="0" w:color="000000"/>
              <w:right w:val="single" w:sz="4" w:space="0" w:color="000000"/>
            </w:tcBorders>
          </w:tcPr>
          <w:p>
            <w:pPr/>
          </w:p>
        </w:tc>
      </w:tr>
    </w:tbl>
    <w:p>
      <w:pPr>
        <w:spacing w:line="340" w:lineRule="auto" w:before="51"/>
        <w:ind w:left="154" w:right="664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期末公司因出票人未履约而将其转应收账款的票据</w:t>
      </w:r>
      <w:r>
        <w:rPr>
          <w:rFonts w:ascii="宋体" w:hAnsi="宋体" w:cs="宋体" w:eastAsia="宋体" w:hint="default"/>
          <w:w w:val="99"/>
          <w:sz w:val="18"/>
          <w:szCs w:val="18"/>
        </w:rPr>
        <w:t> </w:t>
      </w:r>
      <w:r>
        <w:rPr>
          <w:rFonts w:ascii="宋体" w:hAnsi="宋体" w:cs="宋体" w:eastAsia="宋体" w:hint="default"/>
          <w:sz w:val="18"/>
          <w:szCs w:val="18"/>
        </w:rPr>
        <w:t>其他说明</w:t>
      </w:r>
    </w:p>
    <w:p>
      <w:pPr>
        <w:spacing w:line="240" w:lineRule="auto" w:before="12"/>
        <w:rPr>
          <w:rFonts w:ascii="宋体" w:hAnsi="宋体" w:cs="宋体" w:eastAsia="宋体" w:hint="default"/>
          <w:sz w:val="20"/>
          <w:szCs w:val="20"/>
        </w:rPr>
      </w:pPr>
    </w:p>
    <w:p>
      <w:pPr>
        <w:pStyle w:val="Heading4"/>
        <w:spacing w:line="240" w:lineRule="auto"/>
        <w:ind w:right="1117"/>
        <w:jc w:val="left"/>
        <w:rPr>
          <w:b w:val="0"/>
          <w:bCs w:val="0"/>
        </w:rPr>
      </w:pPr>
      <w:bookmarkStart w:name="（2）应收账款" w:id="227"/>
      <w:bookmarkEnd w:id="227"/>
      <w:r>
        <w:rPr>
          <w:b w:val="0"/>
          <w:bCs w:val="0"/>
        </w:rPr>
      </w:r>
      <w:r>
        <w:rPr/>
        <w:t>（</w:t>
      </w:r>
      <w:r>
        <w:rPr>
          <w:rFonts w:ascii="Times New Roman" w:hAnsi="Times New Roman" w:cs="Times New Roman" w:eastAsia="Times New Roman" w:hint="default"/>
        </w:rPr>
        <w:t>2</w:t>
      </w:r>
      <w:r>
        <w:rPr/>
        <w:t>）应收账款</w:t>
      </w:r>
      <w:r>
        <w:rPr>
          <w:b w:val="0"/>
          <w:bCs w:val="0"/>
        </w:rPr>
      </w:r>
    </w:p>
    <w:p>
      <w:pPr>
        <w:spacing w:line="240" w:lineRule="auto" w:before="4"/>
        <w:rPr>
          <w:rFonts w:ascii="宋体" w:hAnsi="宋体" w:cs="宋体" w:eastAsia="宋体" w:hint="default"/>
          <w:b/>
          <w:bCs/>
          <w:sz w:val="23"/>
          <w:szCs w:val="23"/>
        </w:rPr>
      </w:pPr>
    </w:p>
    <w:p>
      <w:pPr>
        <w:spacing w:before="44"/>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应收账款分类披露</w:t>
      </w:r>
    </w:p>
    <w:p>
      <w:pPr>
        <w:spacing w:before="103"/>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635"/>
        <w:gridCol w:w="763"/>
        <w:gridCol w:w="762"/>
        <w:gridCol w:w="762"/>
        <w:gridCol w:w="762"/>
        <w:gridCol w:w="790"/>
        <w:gridCol w:w="654"/>
        <w:gridCol w:w="762"/>
        <w:gridCol w:w="813"/>
        <w:gridCol w:w="932"/>
        <w:gridCol w:w="932"/>
      </w:tblGrid>
      <w:tr>
        <w:trPr>
          <w:trHeight w:val="397" w:hRule="exact"/>
        </w:trPr>
        <w:tc>
          <w:tcPr>
            <w:tcW w:w="1635" w:type="dxa"/>
            <w:vMerge w:val="restart"/>
            <w:tcBorders>
              <w:top w:val="single" w:sz="4" w:space="0" w:color="000000"/>
              <w:left w:val="single" w:sz="4" w:space="0" w:color="000000"/>
              <w:right w:val="single" w:sz="4" w:space="0" w:color="000000"/>
            </w:tcBorders>
            <w:shd w:val="clear" w:color="auto" w:fill="D2D2D2"/>
          </w:tcPr>
          <w:p>
            <w:pPr/>
          </w:p>
        </w:tc>
        <w:tc>
          <w:tcPr>
            <w:tcW w:w="3839"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094"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66" w:hRule="exact"/>
        </w:trPr>
        <w:tc>
          <w:tcPr>
            <w:tcW w:w="1635" w:type="dxa"/>
            <w:vMerge/>
            <w:tcBorders>
              <w:left w:val="single" w:sz="4" w:space="0" w:color="000000"/>
              <w:bottom w:val="nil" w:sz="6" w:space="0" w:color="auto"/>
              <w:right w:val="single" w:sz="4" w:space="0" w:color="000000"/>
            </w:tcBorders>
            <w:shd w:val="clear" w:color="auto" w:fill="D2D2D2"/>
          </w:tcPr>
          <w:p>
            <w:pPr/>
          </w:p>
        </w:tc>
        <w:tc>
          <w:tcPr>
            <w:tcW w:w="1525"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9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24"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97"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790" w:type="dxa"/>
            <w:vMerge w:val="restart"/>
            <w:tcBorders>
              <w:top w:val="single" w:sz="4" w:space="0" w:color="000000"/>
              <w:left w:val="single" w:sz="4" w:space="0" w:color="000000"/>
              <w:right w:val="single" w:sz="4" w:space="0" w:color="000000"/>
            </w:tcBorders>
            <w:shd w:val="clear" w:color="auto" w:fill="D2D2D2"/>
          </w:tcPr>
          <w:p>
            <w:pPr/>
          </w:p>
        </w:tc>
        <w:tc>
          <w:tcPr>
            <w:tcW w:w="1416"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42"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745"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506"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932" w:type="dxa"/>
            <w:vMerge w:val="restart"/>
            <w:tcBorders>
              <w:top w:val="single" w:sz="4" w:space="0" w:color="000000"/>
              <w:left w:val="single" w:sz="4" w:space="0" w:color="000000"/>
              <w:right w:val="single" w:sz="4" w:space="0" w:color="000000"/>
            </w:tcBorders>
            <w:shd w:val="clear" w:color="auto" w:fill="D2D2D2"/>
          </w:tcPr>
          <w:p>
            <w:pPr/>
          </w:p>
        </w:tc>
      </w:tr>
      <w:tr>
        <w:trPr>
          <w:trHeight w:val="241" w:hRule="exact"/>
        </w:trPr>
        <w:tc>
          <w:tcPr>
            <w:tcW w:w="1635"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类别</w:t>
            </w:r>
          </w:p>
        </w:tc>
        <w:tc>
          <w:tcPr>
            <w:tcW w:w="1525" w:type="dxa"/>
            <w:gridSpan w:val="2"/>
            <w:vMerge/>
            <w:tcBorders>
              <w:left w:val="single" w:sz="4" w:space="0" w:color="000000"/>
              <w:bottom w:val="single" w:sz="4" w:space="0" w:color="000000"/>
              <w:right w:val="single" w:sz="4" w:space="0" w:color="000000"/>
            </w:tcBorders>
            <w:shd w:val="clear" w:color="auto" w:fill="D2D2D2"/>
          </w:tcPr>
          <w:p>
            <w:pPr/>
          </w:p>
        </w:tc>
        <w:tc>
          <w:tcPr>
            <w:tcW w:w="1524" w:type="dxa"/>
            <w:gridSpan w:val="2"/>
            <w:vMerge/>
            <w:tcBorders>
              <w:left w:val="single" w:sz="4" w:space="0" w:color="000000"/>
              <w:bottom w:val="single" w:sz="4" w:space="0" w:color="000000"/>
              <w:right w:val="single" w:sz="4" w:space="0" w:color="000000"/>
            </w:tcBorders>
            <w:shd w:val="clear" w:color="auto" w:fill="D2D2D2"/>
          </w:tcPr>
          <w:p>
            <w:pPr/>
          </w:p>
        </w:tc>
        <w:tc>
          <w:tcPr>
            <w:tcW w:w="790" w:type="dxa"/>
            <w:vMerge/>
            <w:tcBorders>
              <w:left w:val="single" w:sz="4" w:space="0" w:color="000000"/>
              <w:bottom w:val="nil" w:sz="6" w:space="0" w:color="auto"/>
              <w:right w:val="single" w:sz="4" w:space="0" w:color="000000"/>
            </w:tcBorders>
            <w:shd w:val="clear" w:color="auto" w:fill="D2D2D2"/>
          </w:tcPr>
          <w:p>
            <w:pPr/>
          </w:p>
        </w:tc>
        <w:tc>
          <w:tcPr>
            <w:tcW w:w="1416" w:type="dxa"/>
            <w:gridSpan w:val="2"/>
            <w:vMerge/>
            <w:tcBorders>
              <w:left w:val="single" w:sz="4" w:space="0" w:color="000000"/>
              <w:bottom w:val="single" w:sz="4" w:space="0" w:color="000000"/>
              <w:right w:val="single" w:sz="4" w:space="0" w:color="000000"/>
            </w:tcBorders>
            <w:shd w:val="clear" w:color="auto" w:fill="D2D2D2"/>
          </w:tcPr>
          <w:p>
            <w:pPr/>
          </w:p>
        </w:tc>
        <w:tc>
          <w:tcPr>
            <w:tcW w:w="1745" w:type="dxa"/>
            <w:gridSpan w:val="2"/>
            <w:vMerge/>
            <w:tcBorders>
              <w:left w:val="single" w:sz="4" w:space="0" w:color="000000"/>
              <w:bottom w:val="single" w:sz="4" w:space="0" w:color="000000"/>
              <w:right w:val="single" w:sz="4" w:space="0" w:color="000000"/>
            </w:tcBorders>
            <w:shd w:val="clear" w:color="auto" w:fill="D2D2D2"/>
          </w:tcPr>
          <w:p>
            <w:pPr/>
          </w:p>
        </w:tc>
        <w:tc>
          <w:tcPr>
            <w:tcW w:w="932" w:type="dxa"/>
            <w:vMerge/>
            <w:tcBorders>
              <w:left w:val="single" w:sz="4" w:space="0" w:color="000000"/>
              <w:bottom w:val="nil" w:sz="6" w:space="0" w:color="auto"/>
              <w:right w:val="single" w:sz="4" w:space="0" w:color="000000"/>
            </w:tcBorders>
            <w:shd w:val="clear" w:color="auto" w:fill="D2D2D2"/>
          </w:tcPr>
          <w:p>
            <w:pPr/>
          </w:p>
        </w:tc>
      </w:tr>
      <w:tr>
        <w:trPr>
          <w:trHeight w:val="158" w:hRule="exact"/>
        </w:trPr>
        <w:tc>
          <w:tcPr>
            <w:tcW w:w="1635" w:type="dxa"/>
            <w:vMerge/>
            <w:tcBorders>
              <w:left w:val="single" w:sz="4" w:space="0" w:color="000000"/>
              <w:bottom w:val="single" w:sz="4" w:space="0" w:color="FFFFFF"/>
              <w:right w:val="single" w:sz="4" w:space="0" w:color="000000"/>
            </w:tcBorders>
            <w:shd w:val="clear" w:color="auto" w:fill="D2D2D2"/>
          </w:tcPr>
          <w:p>
            <w:pPr/>
          </w:p>
        </w:tc>
        <w:tc>
          <w:tcPr>
            <w:tcW w:w="763"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2"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2"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2"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51"/>
              <w:ind w:left="285" w:right="104" w:hanging="180"/>
              <w:jc w:val="left"/>
              <w:rPr>
                <w:rFonts w:ascii="宋体" w:hAnsi="宋体" w:cs="宋体" w:eastAsia="宋体" w:hint="default"/>
                <w:sz w:val="18"/>
                <w:szCs w:val="18"/>
              </w:rPr>
            </w:pPr>
            <w:r>
              <w:rPr>
                <w:rFonts w:ascii="宋体" w:hAnsi="宋体" w:cs="宋体" w:eastAsia="宋体" w:hint="default"/>
                <w:sz w:val="18"/>
                <w:szCs w:val="18"/>
              </w:rPr>
              <w:t>计提比 例</w:t>
            </w:r>
          </w:p>
        </w:tc>
        <w:tc>
          <w:tcPr>
            <w:tcW w:w="79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1"/>
              <w:ind w:left="29"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654" w:type="dxa"/>
            <w:tcBorders>
              <w:top w:val="single" w:sz="4" w:space="0" w:color="000000"/>
              <w:left w:val="single" w:sz="4" w:space="0" w:color="000000"/>
              <w:bottom w:val="nil" w:sz="6" w:space="0" w:color="auto"/>
              <w:right w:val="single" w:sz="4" w:space="0" w:color="000000"/>
            </w:tcBorders>
            <w:shd w:val="clear" w:color="auto" w:fill="D2D2D2"/>
          </w:tcPr>
          <w:p>
            <w:pPr/>
          </w:p>
        </w:tc>
        <w:tc>
          <w:tcPr>
            <w:tcW w:w="762" w:type="dxa"/>
            <w:tcBorders>
              <w:top w:val="single" w:sz="4" w:space="0" w:color="000000"/>
              <w:left w:val="single" w:sz="4" w:space="0" w:color="000000"/>
              <w:bottom w:val="nil" w:sz="6" w:space="0" w:color="auto"/>
              <w:right w:val="single" w:sz="4" w:space="0" w:color="000000"/>
            </w:tcBorders>
            <w:shd w:val="clear" w:color="auto" w:fill="D2D2D2"/>
          </w:tcPr>
          <w:p>
            <w:pPr/>
          </w:p>
        </w:tc>
        <w:tc>
          <w:tcPr>
            <w:tcW w:w="813" w:type="dxa"/>
            <w:tcBorders>
              <w:top w:val="single" w:sz="4" w:space="0" w:color="000000"/>
              <w:left w:val="single" w:sz="4" w:space="0" w:color="000000"/>
              <w:bottom w:val="nil" w:sz="6" w:space="0" w:color="auto"/>
              <w:right w:val="single" w:sz="4" w:space="0" w:color="000000"/>
            </w:tcBorders>
            <w:shd w:val="clear" w:color="auto" w:fill="D2D2D2"/>
          </w:tcPr>
          <w:p>
            <w:pPr/>
          </w:p>
        </w:tc>
        <w:tc>
          <w:tcPr>
            <w:tcW w:w="932" w:type="dxa"/>
            <w:tcBorders>
              <w:top w:val="single" w:sz="4" w:space="0" w:color="000000"/>
              <w:left w:val="single" w:sz="4" w:space="0" w:color="000000"/>
              <w:bottom w:val="nil" w:sz="6" w:space="0" w:color="auto"/>
              <w:right w:val="single" w:sz="4" w:space="0" w:color="000000"/>
            </w:tcBorders>
            <w:shd w:val="clear" w:color="auto" w:fill="D2D2D2"/>
          </w:tcPr>
          <w:p>
            <w:pPr/>
          </w:p>
        </w:tc>
        <w:tc>
          <w:tcPr>
            <w:tcW w:w="93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193" w:hRule="exact"/>
        </w:trPr>
        <w:tc>
          <w:tcPr>
            <w:tcW w:w="1635" w:type="dxa"/>
            <w:vMerge w:val="restart"/>
            <w:tcBorders>
              <w:top w:val="single" w:sz="4" w:space="0" w:color="FFFFFF"/>
              <w:left w:val="single" w:sz="4" w:space="0" w:color="000000"/>
              <w:right w:val="single" w:sz="4" w:space="0" w:color="000000"/>
            </w:tcBorders>
            <w:shd w:val="clear" w:color="auto" w:fill="D2D2D2"/>
          </w:tcPr>
          <w:p>
            <w:pPr/>
          </w:p>
        </w:tc>
        <w:tc>
          <w:tcPr>
            <w:tcW w:w="763"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9"/>
              <w:ind w:left="195"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9"/>
              <w:ind w:left="195"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762"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9"/>
              <w:ind w:left="195"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vMerge/>
            <w:tcBorders>
              <w:left w:val="single" w:sz="4" w:space="0" w:color="000000"/>
              <w:right w:val="single" w:sz="4" w:space="0" w:color="000000"/>
            </w:tcBorders>
            <w:shd w:val="clear" w:color="auto" w:fill="D2D2D2"/>
          </w:tcPr>
          <w:p>
            <w:pPr/>
          </w:p>
        </w:tc>
        <w:tc>
          <w:tcPr>
            <w:tcW w:w="790" w:type="dxa"/>
            <w:vMerge/>
            <w:tcBorders>
              <w:left w:val="single" w:sz="4" w:space="0" w:color="000000"/>
              <w:bottom w:val="nil" w:sz="6" w:space="0" w:color="auto"/>
              <w:right w:val="single" w:sz="4" w:space="0" w:color="000000"/>
            </w:tcBorders>
            <w:shd w:val="clear" w:color="auto" w:fill="D2D2D2"/>
          </w:tcPr>
          <w:p>
            <w:pPr/>
          </w:p>
        </w:tc>
        <w:tc>
          <w:tcPr>
            <w:tcW w:w="65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141"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195"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81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221"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93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101"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932" w:type="dxa"/>
            <w:vMerge/>
            <w:tcBorders>
              <w:left w:val="single" w:sz="4" w:space="0" w:color="000000"/>
              <w:bottom w:val="nil" w:sz="6" w:space="0" w:color="auto"/>
              <w:right w:val="single" w:sz="4" w:space="0" w:color="000000"/>
            </w:tcBorders>
            <w:shd w:val="clear" w:color="auto" w:fill="D2D2D2"/>
          </w:tcPr>
          <w:p>
            <w:pPr/>
          </w:p>
        </w:tc>
      </w:tr>
      <w:tr>
        <w:trPr>
          <w:trHeight w:val="202" w:hRule="exact"/>
        </w:trPr>
        <w:tc>
          <w:tcPr>
            <w:tcW w:w="1635" w:type="dxa"/>
            <w:vMerge/>
            <w:tcBorders>
              <w:left w:val="single" w:sz="4" w:space="0" w:color="000000"/>
              <w:right w:val="single" w:sz="4" w:space="0" w:color="000000"/>
            </w:tcBorders>
            <w:shd w:val="clear" w:color="auto" w:fill="D2D2D2"/>
          </w:tcPr>
          <w:p>
            <w:pPr/>
          </w:p>
        </w:tc>
        <w:tc>
          <w:tcPr>
            <w:tcW w:w="763"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right w:val="single" w:sz="4" w:space="0" w:color="000000"/>
            </w:tcBorders>
            <w:shd w:val="clear" w:color="auto" w:fill="D2D2D2"/>
          </w:tcPr>
          <w:p>
            <w:pPr/>
          </w:p>
        </w:tc>
        <w:tc>
          <w:tcPr>
            <w:tcW w:w="790" w:type="dxa"/>
            <w:vMerge w:val="restart"/>
            <w:tcBorders>
              <w:top w:val="nil" w:sz="6" w:space="0" w:color="auto"/>
              <w:left w:val="single" w:sz="4" w:space="0" w:color="000000"/>
              <w:right w:val="single" w:sz="4" w:space="0" w:color="000000"/>
            </w:tcBorders>
            <w:shd w:val="clear" w:color="auto" w:fill="D2D2D2"/>
          </w:tcPr>
          <w:p>
            <w:pPr/>
          </w:p>
        </w:tc>
        <w:tc>
          <w:tcPr>
            <w:tcW w:w="654"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bottom w:val="nil" w:sz="6" w:space="0" w:color="auto"/>
              <w:right w:val="single" w:sz="4" w:space="0" w:color="000000"/>
            </w:tcBorders>
            <w:shd w:val="clear" w:color="auto" w:fill="D2D2D2"/>
          </w:tcPr>
          <w:p>
            <w:pPr/>
          </w:p>
        </w:tc>
        <w:tc>
          <w:tcPr>
            <w:tcW w:w="813" w:type="dxa"/>
            <w:vMerge/>
            <w:tcBorders>
              <w:left w:val="single" w:sz="4" w:space="0" w:color="000000"/>
              <w:bottom w:val="nil" w:sz="6" w:space="0" w:color="auto"/>
              <w:right w:val="single" w:sz="4" w:space="0" w:color="000000"/>
            </w:tcBorders>
            <w:shd w:val="clear" w:color="auto" w:fill="D2D2D2"/>
          </w:tcPr>
          <w:p>
            <w:pPr/>
          </w:p>
        </w:tc>
        <w:tc>
          <w:tcPr>
            <w:tcW w:w="932" w:type="dxa"/>
            <w:vMerge/>
            <w:tcBorders>
              <w:left w:val="single" w:sz="4" w:space="0" w:color="000000"/>
              <w:bottom w:val="nil" w:sz="6" w:space="0" w:color="auto"/>
              <w:right w:val="single" w:sz="4" w:space="0" w:color="000000"/>
            </w:tcBorders>
            <w:shd w:val="clear" w:color="auto" w:fill="D2D2D2"/>
          </w:tcPr>
          <w:p>
            <w:pPr/>
          </w:p>
        </w:tc>
        <w:tc>
          <w:tcPr>
            <w:tcW w:w="932" w:type="dxa"/>
            <w:vMerge w:val="restart"/>
            <w:tcBorders>
              <w:top w:val="nil" w:sz="6" w:space="0" w:color="auto"/>
              <w:left w:val="single" w:sz="4" w:space="0" w:color="000000"/>
              <w:right w:val="single" w:sz="4" w:space="0" w:color="000000"/>
            </w:tcBorders>
            <w:shd w:val="clear" w:color="auto" w:fill="D2D2D2"/>
          </w:tcPr>
          <w:p>
            <w:pPr/>
          </w:p>
        </w:tc>
      </w:tr>
      <w:tr>
        <w:trPr>
          <w:trHeight w:val="161" w:hRule="exact"/>
        </w:trPr>
        <w:tc>
          <w:tcPr>
            <w:tcW w:w="1635" w:type="dxa"/>
            <w:vMerge/>
            <w:tcBorders>
              <w:left w:val="single" w:sz="4" w:space="0" w:color="000000"/>
              <w:bottom w:val="single" w:sz="4" w:space="0" w:color="000000"/>
              <w:right w:val="single" w:sz="4" w:space="0" w:color="000000"/>
            </w:tcBorders>
            <w:shd w:val="clear" w:color="auto" w:fill="D2D2D2"/>
          </w:tcPr>
          <w:p>
            <w:pPr/>
          </w:p>
        </w:tc>
        <w:tc>
          <w:tcPr>
            <w:tcW w:w="763"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vMerge/>
            <w:tcBorders>
              <w:left w:val="single" w:sz="4" w:space="0" w:color="000000"/>
              <w:bottom w:val="single" w:sz="4" w:space="0" w:color="000000"/>
              <w:right w:val="single" w:sz="4" w:space="0" w:color="000000"/>
            </w:tcBorders>
            <w:shd w:val="clear" w:color="auto" w:fill="D2D2D2"/>
          </w:tcPr>
          <w:p>
            <w:pPr/>
          </w:p>
        </w:tc>
        <w:tc>
          <w:tcPr>
            <w:tcW w:w="790" w:type="dxa"/>
            <w:vMerge/>
            <w:tcBorders>
              <w:left w:val="single" w:sz="4" w:space="0" w:color="000000"/>
              <w:bottom w:val="single" w:sz="4" w:space="0" w:color="000000"/>
              <w:right w:val="single" w:sz="4" w:space="0" w:color="000000"/>
            </w:tcBorders>
            <w:shd w:val="clear" w:color="auto" w:fill="D2D2D2"/>
          </w:tcPr>
          <w:p>
            <w:pPr/>
          </w:p>
        </w:tc>
        <w:tc>
          <w:tcPr>
            <w:tcW w:w="654"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tcBorders>
              <w:top w:val="nil" w:sz="6" w:space="0" w:color="auto"/>
              <w:left w:val="single" w:sz="4" w:space="0" w:color="000000"/>
              <w:bottom w:val="single" w:sz="4" w:space="0" w:color="000000"/>
              <w:right w:val="single" w:sz="4" w:space="0" w:color="000000"/>
            </w:tcBorders>
            <w:shd w:val="clear" w:color="auto" w:fill="D2D2D2"/>
          </w:tcPr>
          <w:p>
            <w:pPr/>
          </w:p>
        </w:tc>
        <w:tc>
          <w:tcPr>
            <w:tcW w:w="813" w:type="dxa"/>
            <w:tcBorders>
              <w:top w:val="nil" w:sz="6" w:space="0" w:color="auto"/>
              <w:left w:val="single" w:sz="4" w:space="0" w:color="000000"/>
              <w:bottom w:val="single" w:sz="4" w:space="0" w:color="000000"/>
              <w:right w:val="single" w:sz="4" w:space="0" w:color="000000"/>
            </w:tcBorders>
            <w:shd w:val="clear" w:color="auto" w:fill="D2D2D2"/>
          </w:tcPr>
          <w:p>
            <w:pPr/>
          </w:p>
        </w:tc>
        <w:tc>
          <w:tcPr>
            <w:tcW w:w="932" w:type="dxa"/>
            <w:tcBorders>
              <w:top w:val="nil" w:sz="6" w:space="0" w:color="auto"/>
              <w:left w:val="single" w:sz="4" w:space="0" w:color="000000"/>
              <w:bottom w:val="single" w:sz="4" w:space="0" w:color="000000"/>
              <w:right w:val="single" w:sz="4" w:space="0" w:color="000000"/>
            </w:tcBorders>
            <w:shd w:val="clear" w:color="auto" w:fill="D2D2D2"/>
          </w:tcPr>
          <w:p>
            <w:pPr/>
          </w:p>
        </w:tc>
        <w:tc>
          <w:tcPr>
            <w:tcW w:w="932" w:type="dxa"/>
            <w:vMerge/>
            <w:tcBorders>
              <w:left w:val="single" w:sz="4" w:space="0" w:color="000000"/>
              <w:bottom w:val="single" w:sz="4" w:space="0" w:color="000000"/>
              <w:right w:val="single" w:sz="4" w:space="0" w:color="000000"/>
            </w:tcBorders>
            <w:shd w:val="clear" w:color="auto" w:fill="D2D2D2"/>
          </w:tcPr>
          <w:p>
            <w:pPr/>
          </w:p>
        </w:tc>
      </w:tr>
      <w:tr>
        <w:trPr>
          <w:trHeight w:val="1026" w:hRule="exact"/>
        </w:trPr>
        <w:tc>
          <w:tcPr>
            <w:tcW w:w="16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160"/>
              <w:jc w:val="both"/>
              <w:rPr>
                <w:rFonts w:ascii="宋体" w:hAnsi="宋体" w:cs="宋体" w:eastAsia="宋体" w:hint="default"/>
                <w:sz w:val="18"/>
                <w:szCs w:val="18"/>
              </w:rPr>
            </w:pPr>
            <w:r>
              <w:rPr>
                <w:rFonts w:ascii="宋体" w:hAnsi="宋体" w:cs="宋体" w:eastAsia="宋体" w:hint="default"/>
                <w:sz w:val="18"/>
                <w:szCs w:val="18"/>
              </w:rPr>
              <w:t>按信用风险特征组 合计提坏账准备的 应收账款</w:t>
            </w:r>
          </w:p>
        </w:tc>
        <w:tc>
          <w:tcPr>
            <w:tcW w:w="76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3" w:right="0"/>
              <w:jc w:val="center"/>
              <w:rPr>
                <w:rFonts w:ascii="Times New Roman" w:hAnsi="Times New Roman" w:cs="Times New Roman" w:eastAsia="Times New Roman" w:hint="default"/>
                <w:sz w:val="18"/>
                <w:szCs w:val="18"/>
              </w:rPr>
            </w:pPr>
            <w:r>
              <w:rPr>
                <w:rFonts w:ascii="Times New Roman"/>
                <w:sz w:val="18"/>
              </w:rPr>
              <w:t>496,152,</w:t>
            </w:r>
          </w:p>
          <w:p>
            <w:pPr>
              <w:pStyle w:val="TableParagraph"/>
              <w:spacing w:line="240" w:lineRule="auto" w:before="106"/>
              <w:ind w:left="200" w:right="0"/>
              <w:jc w:val="center"/>
              <w:rPr>
                <w:rFonts w:ascii="Times New Roman" w:hAnsi="Times New Roman" w:cs="Times New Roman" w:eastAsia="Times New Roman" w:hint="default"/>
                <w:sz w:val="18"/>
                <w:szCs w:val="18"/>
              </w:rPr>
            </w:pPr>
            <w:r>
              <w:rPr>
                <w:rFonts w:ascii="Times New Roman"/>
                <w:sz w:val="18"/>
              </w:rPr>
              <w:t>208.49</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8" w:right="0"/>
              <w:jc w:val="left"/>
              <w:rPr>
                <w:rFonts w:ascii="Times New Roman" w:hAnsi="Times New Roman" w:cs="Times New Roman" w:eastAsia="Times New Roman" w:hint="default"/>
                <w:sz w:val="18"/>
                <w:szCs w:val="18"/>
              </w:rPr>
            </w:pPr>
            <w:r>
              <w:rPr>
                <w:rFonts w:ascii="Times New Roman"/>
                <w:sz w:val="18"/>
              </w:rPr>
              <w:t>79,078,1</w:t>
            </w:r>
          </w:p>
          <w:p>
            <w:pPr>
              <w:pStyle w:val="TableParagraph"/>
              <w:spacing w:line="240" w:lineRule="auto" w:before="106"/>
              <w:ind w:left="323" w:right="0"/>
              <w:jc w:val="left"/>
              <w:rPr>
                <w:rFonts w:ascii="Times New Roman" w:hAnsi="Times New Roman" w:cs="Times New Roman" w:eastAsia="Times New Roman" w:hint="default"/>
                <w:sz w:val="18"/>
                <w:szCs w:val="18"/>
              </w:rPr>
            </w:pPr>
            <w:r>
              <w:rPr>
                <w:rFonts w:ascii="Times New Roman"/>
                <w:sz w:val="18"/>
              </w:rPr>
              <w:t>57.42</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75" w:right="0"/>
              <w:jc w:val="left"/>
              <w:rPr>
                <w:rFonts w:ascii="Times New Roman" w:hAnsi="Times New Roman" w:cs="Times New Roman" w:eastAsia="Times New Roman" w:hint="default"/>
                <w:sz w:val="18"/>
                <w:szCs w:val="18"/>
              </w:rPr>
            </w:pPr>
            <w:r>
              <w:rPr>
                <w:rFonts w:ascii="Times New Roman"/>
                <w:sz w:val="18"/>
              </w:rPr>
              <w:t>15.94%</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7" w:right="0"/>
              <w:jc w:val="left"/>
              <w:rPr>
                <w:rFonts w:ascii="Times New Roman" w:hAnsi="Times New Roman" w:cs="Times New Roman" w:eastAsia="Times New Roman" w:hint="default"/>
                <w:sz w:val="18"/>
                <w:szCs w:val="18"/>
              </w:rPr>
            </w:pPr>
            <w:r>
              <w:rPr>
                <w:rFonts w:ascii="Times New Roman"/>
                <w:sz w:val="18"/>
              </w:rPr>
              <w:t>417,074,0</w:t>
            </w:r>
          </w:p>
          <w:p>
            <w:pPr>
              <w:pStyle w:val="TableParagraph"/>
              <w:spacing w:line="240" w:lineRule="auto" w:before="106"/>
              <w:ind w:left="352" w:right="0"/>
              <w:jc w:val="left"/>
              <w:rPr>
                <w:rFonts w:ascii="Times New Roman" w:hAnsi="Times New Roman" w:cs="Times New Roman" w:eastAsia="Times New Roman" w:hint="default"/>
                <w:sz w:val="18"/>
                <w:szCs w:val="18"/>
              </w:rPr>
            </w:pPr>
            <w:r>
              <w:rPr>
                <w:rFonts w:ascii="Times New Roman"/>
                <w:sz w:val="18"/>
              </w:rPr>
              <w:t>51.07</w:t>
            </w: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2" w:right="0"/>
              <w:jc w:val="left"/>
              <w:rPr>
                <w:rFonts w:ascii="Times New Roman" w:hAnsi="Times New Roman" w:cs="Times New Roman" w:eastAsia="Times New Roman" w:hint="default"/>
                <w:sz w:val="18"/>
                <w:szCs w:val="18"/>
              </w:rPr>
            </w:pPr>
            <w:r>
              <w:rPr>
                <w:rFonts w:ascii="Times New Roman"/>
                <w:sz w:val="18"/>
              </w:rPr>
              <w:t>378,711</w:t>
            </w:r>
          </w:p>
          <w:p>
            <w:pPr>
              <w:pStyle w:val="TableParagraph"/>
              <w:spacing w:line="240" w:lineRule="auto" w:before="106"/>
              <w:ind w:left="80" w:right="0"/>
              <w:jc w:val="left"/>
              <w:rPr>
                <w:rFonts w:ascii="Times New Roman" w:hAnsi="Times New Roman" w:cs="Times New Roman" w:eastAsia="Times New Roman" w:hint="default"/>
                <w:sz w:val="18"/>
                <w:szCs w:val="18"/>
              </w:rPr>
            </w:pPr>
            <w:r>
              <w:rPr>
                <w:rFonts w:ascii="Times New Roman"/>
                <w:sz w:val="18"/>
              </w:rPr>
              <w:t>,017.68</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9" w:right="0"/>
              <w:jc w:val="left"/>
              <w:rPr>
                <w:rFonts w:ascii="Times New Roman" w:hAnsi="Times New Roman" w:cs="Times New Roman" w:eastAsia="Times New Roman" w:hint="default"/>
                <w:sz w:val="18"/>
                <w:szCs w:val="18"/>
              </w:rPr>
            </w:pPr>
            <w:r>
              <w:rPr>
                <w:rFonts w:ascii="Times New Roman"/>
                <w:sz w:val="18"/>
              </w:rPr>
              <w:t>62,487,19</w:t>
            </w:r>
          </w:p>
          <w:p>
            <w:pPr>
              <w:pStyle w:val="TableParagraph"/>
              <w:spacing w:line="240" w:lineRule="auto" w:before="106"/>
              <w:ind w:left="465" w:right="0"/>
              <w:jc w:val="left"/>
              <w:rPr>
                <w:rFonts w:ascii="Times New Roman" w:hAnsi="Times New Roman" w:cs="Times New Roman" w:eastAsia="Times New Roman" w:hint="default"/>
                <w:sz w:val="18"/>
                <w:szCs w:val="18"/>
              </w:rPr>
            </w:pPr>
            <w:r>
              <w:rPr>
                <w:rFonts w:ascii="Times New Roman"/>
                <w:sz w:val="18"/>
              </w:rPr>
              <w:t>7.92</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345" w:right="0"/>
              <w:jc w:val="left"/>
              <w:rPr>
                <w:rFonts w:ascii="Times New Roman" w:hAnsi="Times New Roman" w:cs="Times New Roman" w:eastAsia="Times New Roman" w:hint="default"/>
                <w:sz w:val="18"/>
                <w:szCs w:val="18"/>
              </w:rPr>
            </w:pPr>
            <w:r>
              <w:rPr>
                <w:rFonts w:ascii="Times New Roman"/>
                <w:sz w:val="18"/>
              </w:rPr>
              <w:t>16.50%</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8" w:right="0"/>
              <w:jc w:val="left"/>
              <w:rPr>
                <w:rFonts w:ascii="Times New Roman" w:hAnsi="Times New Roman" w:cs="Times New Roman" w:eastAsia="Times New Roman" w:hint="default"/>
                <w:sz w:val="18"/>
                <w:szCs w:val="18"/>
              </w:rPr>
            </w:pPr>
            <w:r>
              <w:rPr>
                <w:rFonts w:ascii="Times New Roman"/>
                <w:sz w:val="18"/>
              </w:rPr>
              <w:t>316,223,81</w:t>
            </w:r>
          </w:p>
          <w:p>
            <w:pPr>
              <w:pStyle w:val="TableParagraph"/>
              <w:spacing w:line="240" w:lineRule="auto" w:before="106"/>
              <w:ind w:left="584" w:right="0"/>
              <w:jc w:val="left"/>
              <w:rPr>
                <w:rFonts w:ascii="Times New Roman" w:hAnsi="Times New Roman" w:cs="Times New Roman" w:eastAsia="Times New Roman" w:hint="default"/>
                <w:sz w:val="18"/>
                <w:szCs w:val="18"/>
              </w:rPr>
            </w:pPr>
            <w:r>
              <w:rPr>
                <w:rFonts w:ascii="Times New Roman"/>
                <w:sz w:val="18"/>
              </w:rPr>
              <w:t>9.76</w:t>
            </w:r>
          </w:p>
        </w:tc>
      </w:tr>
      <w:tr>
        <w:trPr>
          <w:trHeight w:val="161" w:hRule="exact"/>
        </w:trPr>
        <w:tc>
          <w:tcPr>
            <w:tcW w:w="1635" w:type="dxa"/>
            <w:tcBorders>
              <w:top w:val="single" w:sz="4" w:space="0" w:color="000000"/>
              <w:left w:val="single" w:sz="4" w:space="0" w:color="000000"/>
              <w:bottom w:val="nil" w:sz="6" w:space="0" w:color="auto"/>
              <w:right w:val="single" w:sz="4" w:space="0" w:color="000000"/>
            </w:tcBorders>
            <w:shd w:val="clear" w:color="auto" w:fill="D2D2D2"/>
          </w:tcPr>
          <w:p>
            <w:pPr/>
          </w:p>
        </w:tc>
        <w:tc>
          <w:tcPr>
            <w:tcW w:w="763" w:type="dxa"/>
            <w:vMerge w:val="restart"/>
            <w:tcBorders>
              <w:top w:val="single" w:sz="4" w:space="0" w:color="000000"/>
              <w:left w:val="single" w:sz="9" w:space="0" w:color="D2D2D2"/>
              <w:right w:val="single" w:sz="4" w:space="0" w:color="000000"/>
            </w:tcBorders>
          </w:tcPr>
          <w:p>
            <w:pPr>
              <w:pStyle w:val="TableParagraph"/>
              <w:spacing w:line="240" w:lineRule="auto" w:before="91"/>
              <w:ind w:left="69" w:right="0"/>
              <w:jc w:val="center"/>
              <w:rPr>
                <w:rFonts w:ascii="Times New Roman" w:hAnsi="Times New Roman" w:cs="Times New Roman" w:eastAsia="Times New Roman" w:hint="default"/>
                <w:sz w:val="18"/>
                <w:szCs w:val="18"/>
              </w:rPr>
            </w:pPr>
            <w:r>
              <w:rPr>
                <w:rFonts w:ascii="Times New Roman"/>
                <w:sz w:val="18"/>
              </w:rPr>
              <w:t>496,152,</w:t>
            </w:r>
          </w:p>
          <w:p>
            <w:pPr>
              <w:pStyle w:val="TableParagraph"/>
              <w:spacing w:line="240" w:lineRule="auto" w:before="106"/>
              <w:ind w:left="205" w:right="0"/>
              <w:jc w:val="center"/>
              <w:rPr>
                <w:rFonts w:ascii="Times New Roman" w:hAnsi="Times New Roman" w:cs="Times New Roman" w:eastAsia="Times New Roman" w:hint="default"/>
                <w:sz w:val="18"/>
                <w:szCs w:val="18"/>
              </w:rPr>
            </w:pPr>
            <w:r>
              <w:rPr>
                <w:rFonts w:ascii="Times New Roman"/>
                <w:sz w:val="18"/>
              </w:rPr>
              <w:t>208.49</w:t>
            </w:r>
          </w:p>
        </w:tc>
        <w:tc>
          <w:tcPr>
            <w:tcW w:w="76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762" w:type="dxa"/>
            <w:vMerge w:val="restart"/>
            <w:tcBorders>
              <w:top w:val="single" w:sz="4" w:space="0" w:color="000000"/>
              <w:left w:val="single" w:sz="4" w:space="0" w:color="000000"/>
              <w:right w:val="single" w:sz="4" w:space="0" w:color="000000"/>
            </w:tcBorders>
          </w:tcPr>
          <w:p>
            <w:pPr>
              <w:pStyle w:val="TableParagraph"/>
              <w:spacing w:line="240" w:lineRule="auto" w:before="91"/>
              <w:ind w:left="98" w:right="0"/>
              <w:jc w:val="left"/>
              <w:rPr>
                <w:rFonts w:ascii="Times New Roman" w:hAnsi="Times New Roman" w:cs="Times New Roman" w:eastAsia="Times New Roman" w:hint="default"/>
                <w:sz w:val="18"/>
                <w:szCs w:val="18"/>
              </w:rPr>
            </w:pPr>
            <w:r>
              <w:rPr>
                <w:rFonts w:ascii="Times New Roman"/>
                <w:sz w:val="18"/>
              </w:rPr>
              <w:t>79,078,1</w:t>
            </w:r>
          </w:p>
          <w:p>
            <w:pPr>
              <w:pStyle w:val="TableParagraph"/>
              <w:spacing w:line="240" w:lineRule="auto" w:before="106"/>
              <w:ind w:left="323" w:right="0"/>
              <w:jc w:val="left"/>
              <w:rPr>
                <w:rFonts w:ascii="Times New Roman" w:hAnsi="Times New Roman" w:cs="Times New Roman" w:eastAsia="Times New Roman" w:hint="default"/>
                <w:sz w:val="18"/>
                <w:szCs w:val="18"/>
              </w:rPr>
            </w:pPr>
            <w:r>
              <w:rPr>
                <w:rFonts w:ascii="Times New Roman"/>
                <w:sz w:val="18"/>
              </w:rPr>
              <w:t>57.42</w:t>
            </w:r>
          </w:p>
        </w:tc>
        <w:tc>
          <w:tcPr>
            <w:tcW w:w="76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75" w:right="0"/>
              <w:jc w:val="left"/>
              <w:rPr>
                <w:rFonts w:ascii="Times New Roman" w:hAnsi="Times New Roman" w:cs="Times New Roman" w:eastAsia="Times New Roman" w:hint="default"/>
                <w:sz w:val="18"/>
                <w:szCs w:val="18"/>
              </w:rPr>
            </w:pPr>
            <w:r>
              <w:rPr>
                <w:rFonts w:ascii="Times New Roman"/>
                <w:sz w:val="18"/>
              </w:rPr>
              <w:t>15.94%</w:t>
            </w:r>
          </w:p>
        </w:tc>
        <w:tc>
          <w:tcPr>
            <w:tcW w:w="790" w:type="dxa"/>
            <w:vMerge w:val="restart"/>
            <w:tcBorders>
              <w:top w:val="single" w:sz="4" w:space="0" w:color="000000"/>
              <w:left w:val="single" w:sz="4" w:space="0" w:color="000000"/>
              <w:right w:val="single" w:sz="4" w:space="0" w:color="000000"/>
            </w:tcBorders>
          </w:tcPr>
          <w:p>
            <w:pPr>
              <w:pStyle w:val="TableParagraph"/>
              <w:spacing w:line="240" w:lineRule="auto" w:before="91"/>
              <w:ind w:left="37" w:right="0"/>
              <w:jc w:val="left"/>
              <w:rPr>
                <w:rFonts w:ascii="Times New Roman" w:hAnsi="Times New Roman" w:cs="Times New Roman" w:eastAsia="Times New Roman" w:hint="default"/>
                <w:sz w:val="18"/>
                <w:szCs w:val="18"/>
              </w:rPr>
            </w:pPr>
            <w:r>
              <w:rPr>
                <w:rFonts w:ascii="Times New Roman"/>
                <w:sz w:val="18"/>
              </w:rPr>
              <w:t>417,074,0</w:t>
            </w:r>
          </w:p>
          <w:p>
            <w:pPr>
              <w:pStyle w:val="TableParagraph"/>
              <w:spacing w:line="240" w:lineRule="auto" w:before="106"/>
              <w:ind w:left="352" w:right="0"/>
              <w:jc w:val="left"/>
              <w:rPr>
                <w:rFonts w:ascii="Times New Roman" w:hAnsi="Times New Roman" w:cs="Times New Roman" w:eastAsia="Times New Roman" w:hint="default"/>
                <w:sz w:val="18"/>
                <w:szCs w:val="18"/>
              </w:rPr>
            </w:pPr>
            <w:r>
              <w:rPr>
                <w:rFonts w:ascii="Times New Roman"/>
                <w:sz w:val="18"/>
              </w:rPr>
              <w:t>51.07</w:t>
            </w:r>
          </w:p>
        </w:tc>
        <w:tc>
          <w:tcPr>
            <w:tcW w:w="654" w:type="dxa"/>
            <w:vMerge w:val="restart"/>
            <w:tcBorders>
              <w:top w:val="single" w:sz="4" w:space="0" w:color="000000"/>
              <w:left w:val="single" w:sz="4" w:space="0" w:color="000000"/>
              <w:right w:val="single" w:sz="4" w:space="0" w:color="000000"/>
            </w:tcBorders>
          </w:tcPr>
          <w:p>
            <w:pPr>
              <w:pStyle w:val="TableParagraph"/>
              <w:spacing w:line="240" w:lineRule="auto" w:before="91"/>
              <w:ind w:left="42" w:right="0"/>
              <w:jc w:val="left"/>
              <w:rPr>
                <w:rFonts w:ascii="Times New Roman" w:hAnsi="Times New Roman" w:cs="Times New Roman" w:eastAsia="Times New Roman" w:hint="default"/>
                <w:sz w:val="18"/>
                <w:szCs w:val="18"/>
              </w:rPr>
            </w:pPr>
            <w:r>
              <w:rPr>
                <w:rFonts w:ascii="Times New Roman"/>
                <w:sz w:val="18"/>
              </w:rPr>
              <w:t>378,711</w:t>
            </w:r>
          </w:p>
          <w:p>
            <w:pPr>
              <w:pStyle w:val="TableParagraph"/>
              <w:spacing w:line="240" w:lineRule="auto" w:before="106"/>
              <w:ind w:left="80" w:right="0"/>
              <w:jc w:val="left"/>
              <w:rPr>
                <w:rFonts w:ascii="Times New Roman" w:hAnsi="Times New Roman" w:cs="Times New Roman" w:eastAsia="Times New Roman" w:hint="default"/>
                <w:sz w:val="18"/>
                <w:szCs w:val="18"/>
              </w:rPr>
            </w:pPr>
            <w:r>
              <w:rPr>
                <w:rFonts w:ascii="Times New Roman"/>
                <w:sz w:val="18"/>
              </w:rPr>
              <w:t>,017.68</w:t>
            </w:r>
          </w:p>
        </w:tc>
        <w:tc>
          <w:tcPr>
            <w:tcW w:w="76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813" w:type="dxa"/>
            <w:vMerge w:val="restart"/>
            <w:tcBorders>
              <w:top w:val="single" w:sz="4" w:space="0" w:color="000000"/>
              <w:left w:val="single" w:sz="4" w:space="0" w:color="000000"/>
              <w:right w:val="single" w:sz="4" w:space="0" w:color="000000"/>
            </w:tcBorders>
          </w:tcPr>
          <w:p>
            <w:pPr>
              <w:pStyle w:val="TableParagraph"/>
              <w:spacing w:line="240" w:lineRule="auto" w:before="91"/>
              <w:ind w:left="59" w:right="0"/>
              <w:jc w:val="left"/>
              <w:rPr>
                <w:rFonts w:ascii="Times New Roman" w:hAnsi="Times New Roman" w:cs="Times New Roman" w:eastAsia="Times New Roman" w:hint="default"/>
                <w:sz w:val="18"/>
                <w:szCs w:val="18"/>
              </w:rPr>
            </w:pPr>
            <w:r>
              <w:rPr>
                <w:rFonts w:ascii="Times New Roman"/>
                <w:sz w:val="18"/>
              </w:rPr>
              <w:t>62,487,19</w:t>
            </w:r>
          </w:p>
          <w:p>
            <w:pPr>
              <w:pStyle w:val="TableParagraph"/>
              <w:spacing w:line="240" w:lineRule="auto" w:before="106"/>
              <w:ind w:left="465" w:right="0"/>
              <w:jc w:val="left"/>
              <w:rPr>
                <w:rFonts w:ascii="Times New Roman" w:hAnsi="Times New Roman" w:cs="Times New Roman" w:eastAsia="Times New Roman" w:hint="default"/>
                <w:sz w:val="18"/>
                <w:szCs w:val="18"/>
              </w:rPr>
            </w:pPr>
            <w:r>
              <w:rPr>
                <w:rFonts w:ascii="Times New Roman"/>
                <w:sz w:val="18"/>
              </w:rPr>
              <w:t>7.92</w:t>
            </w:r>
          </w:p>
        </w:tc>
        <w:tc>
          <w:tcPr>
            <w:tcW w:w="93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45" w:right="0"/>
              <w:jc w:val="left"/>
              <w:rPr>
                <w:rFonts w:ascii="Times New Roman" w:hAnsi="Times New Roman" w:cs="Times New Roman" w:eastAsia="Times New Roman" w:hint="default"/>
                <w:sz w:val="18"/>
                <w:szCs w:val="18"/>
              </w:rPr>
            </w:pPr>
            <w:r>
              <w:rPr>
                <w:rFonts w:ascii="Times New Roman"/>
                <w:sz w:val="18"/>
              </w:rPr>
              <w:t>16.50%</w:t>
            </w:r>
          </w:p>
        </w:tc>
        <w:tc>
          <w:tcPr>
            <w:tcW w:w="932" w:type="dxa"/>
            <w:vMerge w:val="restart"/>
            <w:tcBorders>
              <w:top w:val="single" w:sz="4" w:space="0" w:color="000000"/>
              <w:left w:val="single" w:sz="4" w:space="0" w:color="000000"/>
              <w:right w:val="single" w:sz="4" w:space="0" w:color="000000"/>
            </w:tcBorders>
          </w:tcPr>
          <w:p>
            <w:pPr>
              <w:pStyle w:val="TableParagraph"/>
              <w:spacing w:line="240" w:lineRule="auto" w:before="91"/>
              <w:ind w:left="88" w:right="0"/>
              <w:jc w:val="left"/>
              <w:rPr>
                <w:rFonts w:ascii="Times New Roman" w:hAnsi="Times New Roman" w:cs="Times New Roman" w:eastAsia="Times New Roman" w:hint="default"/>
                <w:sz w:val="18"/>
                <w:szCs w:val="18"/>
              </w:rPr>
            </w:pPr>
            <w:r>
              <w:rPr>
                <w:rFonts w:ascii="Times New Roman"/>
                <w:sz w:val="18"/>
              </w:rPr>
              <w:t>316,223,81</w:t>
            </w:r>
          </w:p>
          <w:p>
            <w:pPr>
              <w:pStyle w:val="TableParagraph"/>
              <w:spacing w:line="240" w:lineRule="auto" w:before="106"/>
              <w:ind w:left="584" w:right="0"/>
              <w:jc w:val="left"/>
              <w:rPr>
                <w:rFonts w:ascii="Times New Roman" w:hAnsi="Times New Roman" w:cs="Times New Roman" w:eastAsia="Times New Roman" w:hint="default"/>
                <w:sz w:val="18"/>
                <w:szCs w:val="18"/>
              </w:rPr>
            </w:pPr>
            <w:r>
              <w:rPr>
                <w:rFonts w:ascii="Times New Roman"/>
                <w:sz w:val="18"/>
              </w:rPr>
              <w:t>9.76</w:t>
            </w:r>
          </w:p>
        </w:tc>
      </w:tr>
      <w:tr>
        <w:trPr>
          <w:trHeight w:val="392" w:hRule="exact"/>
        </w:trPr>
        <w:tc>
          <w:tcPr>
            <w:tcW w:w="163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63" w:type="dxa"/>
            <w:vMerge/>
            <w:tcBorders>
              <w:left w:val="single" w:sz="9" w:space="0" w:color="D2D2D2"/>
              <w:right w:val="single" w:sz="4" w:space="0" w:color="000000"/>
            </w:tcBorders>
          </w:tcPr>
          <w:p>
            <w:pPr/>
          </w:p>
        </w:tc>
        <w:tc>
          <w:tcPr>
            <w:tcW w:w="762" w:type="dxa"/>
            <w:vMerge/>
            <w:tcBorders>
              <w:left w:val="single" w:sz="4" w:space="0" w:color="000000"/>
              <w:right w:val="single" w:sz="4" w:space="0" w:color="000000"/>
            </w:tcBorders>
          </w:tcPr>
          <w:p>
            <w:pPr/>
          </w:p>
        </w:tc>
        <w:tc>
          <w:tcPr>
            <w:tcW w:w="762" w:type="dxa"/>
            <w:vMerge/>
            <w:tcBorders>
              <w:left w:val="single" w:sz="4" w:space="0" w:color="000000"/>
              <w:right w:val="single" w:sz="4" w:space="0" w:color="000000"/>
            </w:tcBorders>
          </w:tcPr>
          <w:p>
            <w:pPr/>
          </w:p>
        </w:tc>
        <w:tc>
          <w:tcPr>
            <w:tcW w:w="762" w:type="dxa"/>
            <w:vMerge/>
            <w:tcBorders>
              <w:left w:val="single" w:sz="4" w:space="0" w:color="000000"/>
              <w:right w:val="single" w:sz="4" w:space="0" w:color="000000"/>
            </w:tcBorders>
          </w:tcPr>
          <w:p>
            <w:pPr/>
          </w:p>
        </w:tc>
        <w:tc>
          <w:tcPr>
            <w:tcW w:w="790" w:type="dxa"/>
            <w:vMerge/>
            <w:tcBorders>
              <w:left w:val="single" w:sz="4" w:space="0" w:color="000000"/>
              <w:right w:val="single" w:sz="4" w:space="0" w:color="000000"/>
            </w:tcBorders>
          </w:tcPr>
          <w:p>
            <w:pPr/>
          </w:p>
        </w:tc>
        <w:tc>
          <w:tcPr>
            <w:tcW w:w="654" w:type="dxa"/>
            <w:vMerge/>
            <w:tcBorders>
              <w:left w:val="single" w:sz="4" w:space="0" w:color="000000"/>
              <w:right w:val="single" w:sz="4" w:space="0" w:color="000000"/>
            </w:tcBorders>
          </w:tcPr>
          <w:p>
            <w:pPr/>
          </w:p>
        </w:tc>
        <w:tc>
          <w:tcPr>
            <w:tcW w:w="762" w:type="dxa"/>
            <w:vMerge/>
            <w:tcBorders>
              <w:left w:val="single" w:sz="4" w:space="0" w:color="000000"/>
              <w:right w:val="single" w:sz="4" w:space="0" w:color="000000"/>
            </w:tcBorders>
          </w:tcPr>
          <w:p>
            <w:pPr/>
          </w:p>
        </w:tc>
        <w:tc>
          <w:tcPr>
            <w:tcW w:w="813" w:type="dxa"/>
            <w:vMerge/>
            <w:tcBorders>
              <w:left w:val="single" w:sz="4" w:space="0" w:color="000000"/>
              <w:right w:val="single" w:sz="4" w:space="0" w:color="000000"/>
            </w:tcBorders>
          </w:tcPr>
          <w:p>
            <w:pPr/>
          </w:p>
        </w:tc>
        <w:tc>
          <w:tcPr>
            <w:tcW w:w="932" w:type="dxa"/>
            <w:vMerge/>
            <w:tcBorders>
              <w:left w:val="single" w:sz="4" w:space="0" w:color="000000"/>
              <w:right w:val="single" w:sz="4" w:space="0" w:color="000000"/>
            </w:tcBorders>
          </w:tcPr>
          <w:p>
            <w:pPr/>
          </w:p>
        </w:tc>
        <w:tc>
          <w:tcPr>
            <w:tcW w:w="932" w:type="dxa"/>
            <w:vMerge/>
            <w:tcBorders>
              <w:left w:val="single" w:sz="4" w:space="0" w:color="000000"/>
              <w:right w:val="single" w:sz="4" w:space="0" w:color="000000"/>
            </w:tcBorders>
          </w:tcPr>
          <w:p>
            <w:pPr/>
          </w:p>
        </w:tc>
      </w:tr>
      <w:tr>
        <w:trPr>
          <w:trHeight w:val="161" w:hRule="exact"/>
        </w:trPr>
        <w:tc>
          <w:tcPr>
            <w:tcW w:w="1635" w:type="dxa"/>
            <w:tcBorders>
              <w:top w:val="nil" w:sz="6" w:space="0" w:color="auto"/>
              <w:left w:val="single" w:sz="4" w:space="0" w:color="000000"/>
              <w:bottom w:val="single" w:sz="4" w:space="0" w:color="000000"/>
              <w:right w:val="single" w:sz="4" w:space="0" w:color="000000"/>
            </w:tcBorders>
            <w:shd w:val="clear" w:color="auto" w:fill="D2D2D2"/>
          </w:tcPr>
          <w:p>
            <w:pPr/>
          </w:p>
        </w:tc>
        <w:tc>
          <w:tcPr>
            <w:tcW w:w="763" w:type="dxa"/>
            <w:vMerge/>
            <w:tcBorders>
              <w:left w:val="single" w:sz="9" w:space="0" w:color="D2D2D2"/>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790" w:type="dxa"/>
            <w:vMerge/>
            <w:tcBorders>
              <w:left w:val="single" w:sz="4" w:space="0" w:color="000000"/>
              <w:bottom w:val="single" w:sz="4" w:space="0" w:color="000000"/>
              <w:right w:val="single" w:sz="4" w:space="0" w:color="000000"/>
            </w:tcBorders>
          </w:tcPr>
          <w:p>
            <w:pPr/>
          </w:p>
        </w:tc>
        <w:tc>
          <w:tcPr>
            <w:tcW w:w="654" w:type="dxa"/>
            <w:vMerge/>
            <w:tcBorders>
              <w:left w:val="single" w:sz="4" w:space="0" w:color="000000"/>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813" w:type="dxa"/>
            <w:vMerge/>
            <w:tcBorders>
              <w:left w:val="single" w:sz="4" w:space="0" w:color="000000"/>
              <w:bottom w:val="single" w:sz="4" w:space="0" w:color="000000"/>
              <w:right w:val="single" w:sz="4" w:space="0" w:color="000000"/>
            </w:tcBorders>
          </w:tcPr>
          <w:p>
            <w:pPr/>
          </w:p>
        </w:tc>
        <w:tc>
          <w:tcPr>
            <w:tcW w:w="932" w:type="dxa"/>
            <w:vMerge/>
            <w:tcBorders>
              <w:left w:val="single" w:sz="4" w:space="0" w:color="000000"/>
              <w:bottom w:val="single" w:sz="4" w:space="0" w:color="000000"/>
              <w:right w:val="single" w:sz="4" w:space="0" w:color="000000"/>
            </w:tcBorders>
          </w:tcPr>
          <w:p>
            <w:pPr/>
          </w:p>
        </w:tc>
        <w:tc>
          <w:tcPr>
            <w:tcW w:w="932" w:type="dxa"/>
            <w:vMerge/>
            <w:tcBorders>
              <w:left w:val="single" w:sz="4" w:space="0" w:color="000000"/>
              <w:bottom w:val="single" w:sz="4" w:space="0" w:color="000000"/>
              <w:right w:val="single" w:sz="4" w:space="0" w:color="000000"/>
            </w:tcBorders>
          </w:tcPr>
          <w:p>
            <w:pPr/>
          </w:p>
        </w:tc>
      </w:tr>
    </w:tbl>
    <w:p>
      <w:pPr>
        <w:spacing w:after="0"/>
        <w:sectPr>
          <w:type w:val="continuous"/>
          <w:pgSz w:w="11910" w:h="16840"/>
          <w:pgMar w:top="1060" w:bottom="1160" w:left="980" w:right="0"/>
        </w:sectPr>
      </w:pPr>
    </w:p>
    <w:p>
      <w:pPr>
        <w:spacing w:line="240" w:lineRule="auto" w:before="13"/>
        <w:rPr>
          <w:rFonts w:ascii="宋体" w:hAnsi="宋体" w:cs="宋体" w:eastAsia="宋体" w:hint="default"/>
          <w:sz w:val="25"/>
          <w:szCs w:val="25"/>
        </w:rPr>
      </w:pPr>
    </w:p>
    <w:p>
      <w:pPr>
        <w:spacing w:after="0" w:line="240" w:lineRule="auto"/>
        <w:rPr>
          <w:rFonts w:ascii="宋体" w:hAnsi="宋体" w:cs="宋体" w:eastAsia="宋体" w:hint="default"/>
          <w:sz w:val="25"/>
          <w:szCs w:val="25"/>
        </w:rPr>
        <w:sectPr>
          <w:pgSz w:w="11910" w:h="16840"/>
          <w:pgMar w:header="877" w:footer="979" w:top="1060" w:bottom="1160" w:left="980" w:right="0"/>
        </w:sectPr>
      </w:pPr>
    </w:p>
    <w:p>
      <w:pPr>
        <w:spacing w:before="44"/>
        <w:ind w:left="154" w:right="-20" w:firstLine="0"/>
        <w:jc w:val="left"/>
        <w:rPr>
          <w:rFonts w:ascii="宋体" w:hAnsi="宋体" w:cs="宋体" w:eastAsia="宋体" w:hint="default"/>
          <w:sz w:val="18"/>
          <w:szCs w:val="18"/>
        </w:rPr>
      </w:pPr>
      <w:r>
        <w:rPr>
          <w:rFonts w:ascii="宋体" w:hAnsi="宋体" w:cs="宋体" w:eastAsia="宋体" w:hint="default"/>
          <w:sz w:val="18"/>
          <w:szCs w:val="18"/>
        </w:rPr>
        <w:t>期末单项金额重大并单项计提坏账准备的应收账款：</w:t>
      </w:r>
    </w:p>
    <w:p>
      <w:pPr>
        <w:spacing w:line="340" w:lineRule="auto" w:before="116"/>
        <w:ind w:left="154" w:right="16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适用</w:t>
      </w:r>
      <w:r>
        <w:rPr>
          <w:rFonts w:ascii="Times New Roman" w:hAnsi="Times New Roman" w:cs="Times New Roman" w:eastAsia="Times New Roman" w:hint="default"/>
          <w:sz w:val="18"/>
          <w:szCs w:val="18"/>
        </w:rPr>
        <w:t>√</w:t>
      </w:r>
      <w:r>
        <w:rPr>
          <w:rFonts w:ascii="宋体" w:hAnsi="宋体" w:cs="宋体" w:eastAsia="宋体" w:hint="default"/>
          <w:sz w:val="18"/>
          <w:szCs w:val="18"/>
        </w:rPr>
        <w:t>不适用 组合中，按账龄分析法计提坏账准备的应收账款：</w:t>
      </w:r>
    </w:p>
    <w:p>
      <w:pPr>
        <w:spacing w:before="40"/>
        <w:ind w:left="154" w:right="-2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适用</w:t>
      </w:r>
      <w:r>
        <w:rPr>
          <w:rFonts w:ascii="Times New Roman" w:hAnsi="Times New Roman" w:cs="Times New Roman" w:eastAsia="Times New Roman" w:hint="default"/>
          <w:sz w:val="18"/>
          <w:szCs w:val="18"/>
        </w:rPr>
        <w:t>□</w:t>
      </w:r>
      <w:r>
        <w:rPr>
          <w:rFonts w:ascii="宋体" w:hAnsi="宋体" w:cs="宋体" w:eastAsia="宋体" w:hint="default"/>
          <w:sz w:val="18"/>
          <w:szCs w:val="18"/>
        </w:rPr>
        <w:t>不适用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3"/>
        <w:rPr>
          <w:rFonts w:ascii="宋体" w:hAnsi="宋体" w:cs="宋体" w:eastAsia="宋体" w:hint="default"/>
          <w:sz w:val="20"/>
          <w:szCs w:val="20"/>
        </w:rPr>
      </w:pPr>
    </w:p>
    <w:p>
      <w:pPr>
        <w:spacing w:before="0"/>
        <w:ind w:left="153" w:right="0" w:firstLine="0"/>
        <w:jc w:val="left"/>
        <w:rPr>
          <w:rFonts w:ascii="宋体" w:hAnsi="宋体" w:cs="宋体" w:eastAsia="宋体" w:hint="default"/>
          <w:sz w:val="18"/>
          <w:szCs w:val="18"/>
        </w:rPr>
      </w:pPr>
      <w:r>
        <w:rPr>
          <w:rFonts w:ascii="宋体" w:hAnsi="宋体" w:cs="宋体" w:eastAsia="宋体" w:hint="default"/>
          <w:sz w:val="18"/>
          <w:szCs w:val="18"/>
        </w:rPr>
        <w:t>单位：元</w:t>
      </w:r>
    </w:p>
    <w:p>
      <w:pPr>
        <w:spacing w:after="0"/>
        <w:jc w:val="left"/>
        <w:rPr>
          <w:rFonts w:ascii="宋体" w:hAnsi="宋体" w:cs="宋体" w:eastAsia="宋体" w:hint="default"/>
          <w:sz w:val="18"/>
          <w:szCs w:val="18"/>
        </w:rPr>
        <w:sectPr>
          <w:type w:val="continuous"/>
          <w:pgSz w:w="11910" w:h="16840"/>
          <w:pgMar w:top="1060" w:bottom="1160" w:left="980" w:right="0"/>
          <w:cols w:num="2" w:equalWidth="0">
            <w:col w:w="4295" w:space="4625"/>
            <w:col w:w="2010"/>
          </w:cols>
        </w:sectPr>
      </w:pP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392"/>
        <w:gridCol w:w="2393"/>
        <w:gridCol w:w="2392"/>
        <w:gridCol w:w="2392"/>
      </w:tblGrid>
      <w:tr>
        <w:trPr>
          <w:trHeight w:val="402" w:hRule="exact"/>
        </w:trPr>
        <w:tc>
          <w:tcPr>
            <w:tcW w:w="239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7177"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2392" w:type="dxa"/>
            <w:vMerge/>
            <w:tcBorders>
              <w:left w:val="single" w:sz="4" w:space="0" w:color="000000"/>
              <w:bottom w:val="single" w:sz="4" w:space="0" w:color="000000"/>
              <w:right w:val="single" w:sz="4" w:space="0" w:color="000000"/>
            </w:tcBorders>
            <w:shd w:val="clear" w:color="auto" w:fill="D2D2D2"/>
          </w:tcPr>
          <w:p>
            <w:pP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应收账款</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计提比例</w:t>
            </w:r>
          </w:p>
        </w:tc>
      </w:tr>
      <w:tr>
        <w:trPr>
          <w:trHeight w:val="402" w:hRule="exact"/>
        </w:trPr>
        <w:tc>
          <w:tcPr>
            <w:tcW w:w="9569"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年以内分项</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322,468,640.72</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16,123,432.03</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年以内小计</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322,468,640.72</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16,123,432.03</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91,662,690.14</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9,166,269.01</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29,801,518.62</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8,940,455.59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30.00%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52,219,359.01</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44,848,000.79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85.88%</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14,742,716.46</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7,371,358.23</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50.00%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12,316,674.13</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12,316,674.13</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100.00%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25,159,968.42</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25,159,968.43</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100.00%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496,152,208.49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79,078,157.42</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15.94%</w:t>
            </w:r>
          </w:p>
        </w:tc>
      </w:tr>
    </w:tbl>
    <w:p>
      <w:pPr>
        <w:spacing w:line="360" w:lineRule="auto" w:before="51"/>
        <w:ind w:left="154" w:right="6432" w:firstLine="0"/>
        <w:jc w:val="left"/>
        <w:rPr>
          <w:rFonts w:ascii="宋体" w:hAnsi="宋体" w:cs="宋体" w:eastAsia="宋体" w:hint="default"/>
          <w:sz w:val="18"/>
          <w:szCs w:val="18"/>
        </w:rPr>
      </w:pPr>
      <w:r>
        <w:rPr>
          <w:rFonts w:ascii="宋体" w:hAnsi="宋体" w:cs="宋体" w:eastAsia="宋体" w:hint="default"/>
          <w:sz w:val="18"/>
          <w:szCs w:val="18"/>
        </w:rPr>
        <w:t>确定该组合依据的说明： 组合中，采用余额百分比法计提坏账准备的应收账款：</w:t>
      </w:r>
    </w:p>
    <w:p>
      <w:pPr>
        <w:spacing w:line="348" w:lineRule="auto" w:before="26"/>
        <w:ind w:left="154" w:right="679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适用</w:t>
      </w:r>
      <w:r>
        <w:rPr>
          <w:rFonts w:ascii="Times New Roman" w:hAnsi="Times New Roman" w:cs="Times New Roman" w:eastAsia="Times New Roman" w:hint="default"/>
          <w:sz w:val="18"/>
          <w:szCs w:val="18"/>
        </w:rPr>
        <w:t>√</w:t>
      </w:r>
      <w:r>
        <w:rPr>
          <w:rFonts w:ascii="宋体" w:hAnsi="宋体" w:cs="宋体" w:eastAsia="宋体" w:hint="default"/>
          <w:sz w:val="18"/>
          <w:szCs w:val="18"/>
        </w:rPr>
        <w:t>不适用 组合中，采用其他方法计提坏账准备的应收账款： </w:t>
      </w:r>
      <w:r>
        <w:rPr>
          <w:rFonts w:ascii="Times New Roman" w:hAnsi="Times New Roman" w:cs="Times New Roman" w:eastAsia="Times New Roman" w:hint="default"/>
          <w:sz w:val="18"/>
          <w:szCs w:val="18"/>
        </w:rPr>
        <w:t>2)</w:t>
      </w:r>
      <w:r>
        <w:rPr>
          <w:rFonts w:ascii="宋体" w:hAnsi="宋体" w:cs="宋体" w:eastAsia="宋体" w:hint="default"/>
          <w:sz w:val="18"/>
          <w:szCs w:val="18"/>
        </w:rPr>
        <w:t>本期计提、收回或转回的坏账准备情况</w:t>
      </w:r>
    </w:p>
    <w:p>
      <w:pPr>
        <w:pStyle w:val="BodyText"/>
        <w:spacing w:line="240" w:lineRule="auto" w:before="65"/>
        <w:ind w:left="574" w:right="1117"/>
        <w:jc w:val="left"/>
      </w:pPr>
      <w:r>
        <w:rPr/>
        <w:t>本期计提坏账准备金额</w:t>
      </w:r>
      <w:r>
        <w:rPr>
          <w:spacing w:val="-53"/>
        </w:rPr>
        <w:t> </w:t>
      </w:r>
      <w:r>
        <w:rPr>
          <w:rFonts w:ascii="Times New Roman" w:hAnsi="Times New Roman" w:cs="Times New Roman" w:eastAsia="Times New Roman" w:hint="default"/>
        </w:rPr>
        <w:t>16,590,959.50</w:t>
      </w:r>
      <w:r>
        <w:rPr>
          <w:rFonts w:ascii="Times New Roman" w:hAnsi="Times New Roman" w:cs="Times New Roman" w:eastAsia="Times New Roman" w:hint="default"/>
          <w:spacing w:val="-1"/>
        </w:rPr>
        <w:t> </w:t>
      </w:r>
      <w:r>
        <w:rPr/>
        <w:t>元；本期收回或转回坏账准备金额</w:t>
      </w:r>
      <w:r>
        <w:rPr>
          <w:spacing w:val="-53"/>
        </w:rPr>
        <w:t> </w:t>
      </w:r>
      <w:r>
        <w:rPr>
          <w:rFonts w:ascii="Times New Roman" w:hAnsi="Times New Roman" w:cs="Times New Roman" w:eastAsia="Times New Roman" w:hint="default"/>
        </w:rPr>
        <w:t>0.00</w:t>
      </w:r>
      <w:r>
        <w:rPr>
          <w:rFonts w:ascii="Times New Roman" w:hAnsi="Times New Roman" w:cs="Times New Roman" w:eastAsia="Times New Roman" w:hint="default"/>
          <w:spacing w:val="-1"/>
        </w:rPr>
        <w:t> </w:t>
      </w:r>
      <w:r>
        <w:rPr/>
        <w:t>元。</w:t>
      </w:r>
    </w:p>
    <w:p>
      <w:pPr>
        <w:spacing w:line="350" w:lineRule="auto" w:before="164"/>
        <w:ind w:left="154" w:right="6822" w:firstLine="0"/>
        <w:jc w:val="left"/>
        <w:rPr>
          <w:rFonts w:ascii="宋体" w:hAnsi="宋体" w:cs="宋体" w:eastAsia="宋体" w:hint="default"/>
          <w:sz w:val="18"/>
          <w:szCs w:val="18"/>
        </w:rPr>
      </w:pPr>
      <w:r>
        <w:rPr>
          <w:rFonts w:ascii="宋体" w:hAnsi="宋体" w:cs="宋体" w:eastAsia="宋体" w:hint="default"/>
          <w:sz w:val="18"/>
          <w:szCs w:val="18"/>
        </w:rPr>
        <w:t>其中本期坏账准备收回或转回金额重要的： </w:t>
      </w:r>
      <w:r>
        <w:rPr>
          <w:rFonts w:ascii="Times New Roman" w:hAnsi="Times New Roman" w:cs="Times New Roman" w:eastAsia="Times New Roman" w:hint="default"/>
          <w:sz w:val="18"/>
          <w:szCs w:val="18"/>
        </w:rPr>
        <w:t>3)</w:t>
      </w:r>
      <w:r>
        <w:rPr>
          <w:rFonts w:ascii="宋体" w:hAnsi="宋体" w:cs="宋体" w:eastAsia="宋体" w:hint="default"/>
          <w:sz w:val="18"/>
          <w:szCs w:val="18"/>
        </w:rPr>
        <w:t>本期实际核销的应收账款情况 其中重要的应收账款核销情况： 应收账款核销说明： </w:t>
      </w:r>
      <w:r>
        <w:rPr>
          <w:rFonts w:ascii="Times New Roman" w:hAnsi="Times New Roman" w:cs="Times New Roman" w:eastAsia="Times New Roman" w:hint="default"/>
          <w:sz w:val="18"/>
          <w:szCs w:val="18"/>
        </w:rPr>
        <w:t>4)</w:t>
      </w:r>
      <w:r>
        <w:rPr>
          <w:rFonts w:ascii="宋体" w:hAnsi="宋体" w:cs="宋体" w:eastAsia="宋体" w:hint="default"/>
          <w:sz w:val="18"/>
          <w:szCs w:val="18"/>
        </w:rPr>
        <w:t>按欠款方归集的期末余额前五名的应收账款情况 公司是否需要遵守特殊行业的披露要求</w:t>
      </w:r>
    </w:p>
    <w:p>
      <w:pPr>
        <w:spacing w:before="33"/>
        <w:ind w:left="154" w:right="1117" w:firstLine="0"/>
        <w:jc w:val="left"/>
        <w:rPr>
          <w:rFonts w:ascii="宋体" w:hAnsi="宋体" w:cs="宋体" w:eastAsia="宋体" w:hint="default"/>
          <w:sz w:val="18"/>
          <w:szCs w:val="18"/>
        </w:rPr>
      </w:pPr>
      <w:r>
        <w:rPr>
          <w:rFonts w:ascii="宋体" w:hAnsi="宋体" w:cs="宋体" w:eastAsia="宋体" w:hint="default"/>
          <w:sz w:val="18"/>
          <w:szCs w:val="18"/>
        </w:rPr>
        <w:t>否</w:t>
      </w:r>
    </w:p>
    <w:p>
      <w:pPr>
        <w:spacing w:line="240" w:lineRule="auto" w:before="6"/>
        <w:rPr>
          <w:rFonts w:ascii="宋体" w:hAnsi="宋体" w:cs="宋体" w:eastAsia="宋体" w:hint="default"/>
          <w:sz w:val="8"/>
          <w:szCs w:val="8"/>
        </w:rPr>
      </w:pPr>
    </w:p>
    <w:tbl>
      <w:tblPr>
        <w:tblW w:w="0" w:type="auto"/>
        <w:jc w:val="left"/>
        <w:tblInd w:w="755" w:type="dxa"/>
        <w:tblLayout w:type="fixed"/>
        <w:tblCellMar>
          <w:top w:w="0" w:type="dxa"/>
          <w:left w:w="0" w:type="dxa"/>
          <w:bottom w:w="0" w:type="dxa"/>
          <w:right w:w="0" w:type="dxa"/>
        </w:tblCellMar>
        <w:tblLook w:val="01E0"/>
      </w:tblPr>
      <w:tblGrid>
        <w:gridCol w:w="3338"/>
        <w:gridCol w:w="1586"/>
        <w:gridCol w:w="1420"/>
        <w:gridCol w:w="1418"/>
      </w:tblGrid>
      <w:tr>
        <w:trPr>
          <w:trHeight w:val="332" w:hRule="exact"/>
        </w:trPr>
        <w:tc>
          <w:tcPr>
            <w:tcW w:w="3338"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3"/>
              <w:ind w:right="0"/>
              <w:jc w:val="left"/>
              <w:rPr>
                <w:rFonts w:ascii="宋体" w:hAnsi="宋体" w:cs="宋体" w:eastAsia="宋体" w:hint="default"/>
                <w:sz w:val="26"/>
                <w:szCs w:val="26"/>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4424" w:type="dxa"/>
            <w:gridSpan w:val="3"/>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5"/>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664" w:hRule="exact"/>
        </w:trPr>
        <w:tc>
          <w:tcPr>
            <w:tcW w:w="3338" w:type="dxa"/>
            <w:vMerge/>
            <w:tcBorders>
              <w:left w:val="single" w:sz="4" w:space="0" w:color="000000"/>
              <w:bottom w:val="single" w:sz="4" w:space="0" w:color="000000"/>
              <w:right w:val="single" w:sz="4" w:space="0" w:color="000000"/>
            </w:tcBorders>
            <w:shd w:val="clear" w:color="auto" w:fill="D9D9D9"/>
          </w:tcPr>
          <w:p>
            <w:pPr/>
          </w:p>
        </w:tc>
        <w:tc>
          <w:tcPr>
            <w:tcW w:w="158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left="428"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42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25"/>
              <w:ind w:left="345" w:right="72" w:hanging="270"/>
              <w:jc w:val="left"/>
              <w:rPr>
                <w:rFonts w:ascii="宋体" w:hAnsi="宋体" w:cs="宋体" w:eastAsia="宋体" w:hint="default"/>
                <w:sz w:val="18"/>
                <w:szCs w:val="18"/>
              </w:rPr>
            </w:pPr>
            <w:r>
              <w:rPr>
                <w:rFonts w:ascii="宋体" w:hAnsi="宋体" w:cs="宋体" w:eastAsia="宋体" w:hint="default"/>
                <w:sz w:val="18"/>
                <w:szCs w:val="18"/>
              </w:rPr>
              <w:t>占应收账款合计 数的比例</w:t>
            </w:r>
          </w:p>
        </w:tc>
        <w:tc>
          <w:tcPr>
            <w:tcW w:w="141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left="343" w:right="0"/>
              <w:jc w:val="left"/>
              <w:rPr>
                <w:rFonts w:ascii="宋体" w:hAnsi="宋体" w:cs="宋体" w:eastAsia="宋体" w:hint="default"/>
                <w:sz w:val="18"/>
                <w:szCs w:val="18"/>
              </w:rPr>
            </w:pPr>
            <w:r>
              <w:rPr>
                <w:rFonts w:ascii="宋体" w:hAnsi="宋体" w:cs="宋体" w:eastAsia="宋体" w:hint="default"/>
                <w:sz w:val="18"/>
                <w:szCs w:val="18"/>
              </w:rPr>
              <w:t>坏账准备</w:t>
            </w:r>
          </w:p>
        </w:tc>
      </w:tr>
      <w:tr>
        <w:trPr>
          <w:trHeight w:val="338" w:hRule="exact"/>
        </w:trPr>
        <w:tc>
          <w:tcPr>
            <w:tcW w:w="333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5"/>
              <w:ind w:left="4" w:right="0"/>
              <w:jc w:val="left"/>
              <w:rPr>
                <w:rFonts w:ascii="宋体" w:hAnsi="宋体" w:cs="宋体" w:eastAsia="宋体" w:hint="default"/>
                <w:sz w:val="18"/>
                <w:szCs w:val="18"/>
              </w:rPr>
            </w:pPr>
            <w:r>
              <w:rPr>
                <w:rFonts w:ascii="宋体" w:hAnsi="宋体" w:cs="宋体" w:eastAsia="宋体" w:hint="default"/>
                <w:sz w:val="18"/>
                <w:szCs w:val="18"/>
              </w:rPr>
              <w:t>鹤壁市卓铭能源技术有限公司</w:t>
            </w:r>
          </w:p>
        </w:tc>
        <w:tc>
          <w:tcPr>
            <w:tcW w:w="1586"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55"/>
              <w:ind w:right="2"/>
              <w:jc w:val="right"/>
              <w:rPr>
                <w:rFonts w:ascii="Times New Roman" w:hAnsi="Times New Roman" w:cs="Times New Roman" w:eastAsia="Times New Roman" w:hint="default"/>
                <w:sz w:val="18"/>
                <w:szCs w:val="18"/>
              </w:rPr>
            </w:pPr>
            <w:r>
              <w:rPr>
                <w:rFonts w:ascii="Times New Roman"/>
                <w:spacing w:val="-1"/>
                <w:sz w:val="18"/>
              </w:rPr>
              <w:t>21,416,145.48</w:t>
            </w:r>
          </w:p>
        </w:tc>
        <w:tc>
          <w:tcPr>
            <w:tcW w:w="14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
              <w:jc w:val="right"/>
              <w:rPr>
                <w:rFonts w:ascii="Times New Roman" w:hAnsi="Times New Roman" w:cs="Times New Roman" w:eastAsia="Times New Roman" w:hint="default"/>
                <w:sz w:val="18"/>
                <w:szCs w:val="18"/>
              </w:rPr>
            </w:pPr>
            <w:r>
              <w:rPr>
                <w:rFonts w:ascii="Times New Roman"/>
                <w:sz w:val="18"/>
              </w:rPr>
              <w:t>4.32%</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3"/>
              <w:jc w:val="right"/>
              <w:rPr>
                <w:rFonts w:ascii="Times New Roman" w:hAnsi="Times New Roman" w:cs="Times New Roman" w:eastAsia="Times New Roman" w:hint="default"/>
                <w:sz w:val="18"/>
                <w:szCs w:val="18"/>
              </w:rPr>
            </w:pPr>
            <w:r>
              <w:rPr>
                <w:rFonts w:ascii="Times New Roman"/>
                <w:spacing w:val="-1"/>
                <w:sz w:val="18"/>
              </w:rPr>
              <w:t>1,070,807.27</w:t>
            </w:r>
          </w:p>
        </w:tc>
      </w:tr>
      <w:tr>
        <w:trPr>
          <w:trHeight w:val="342" w:hRule="exact"/>
        </w:trPr>
        <w:tc>
          <w:tcPr>
            <w:tcW w:w="333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河南优中贸易有限公司</w:t>
            </w:r>
          </w:p>
        </w:tc>
        <w:tc>
          <w:tcPr>
            <w:tcW w:w="1586"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60"/>
              <w:ind w:right="2"/>
              <w:jc w:val="right"/>
              <w:rPr>
                <w:rFonts w:ascii="Times New Roman" w:hAnsi="Times New Roman" w:cs="Times New Roman" w:eastAsia="Times New Roman" w:hint="default"/>
                <w:sz w:val="18"/>
                <w:szCs w:val="18"/>
              </w:rPr>
            </w:pPr>
            <w:r>
              <w:rPr>
                <w:rFonts w:ascii="Times New Roman"/>
                <w:spacing w:val="-1"/>
                <w:sz w:val="18"/>
              </w:rPr>
              <w:t>17,443,458.20</w:t>
            </w:r>
          </w:p>
        </w:tc>
        <w:tc>
          <w:tcPr>
            <w:tcW w:w="14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z w:val="18"/>
              </w:rPr>
              <w:t>3.52%</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3"/>
              <w:jc w:val="right"/>
              <w:rPr>
                <w:rFonts w:ascii="Times New Roman" w:hAnsi="Times New Roman" w:cs="Times New Roman" w:eastAsia="Times New Roman" w:hint="default"/>
                <w:sz w:val="18"/>
                <w:szCs w:val="18"/>
              </w:rPr>
            </w:pPr>
            <w:r>
              <w:rPr>
                <w:rFonts w:ascii="Times New Roman"/>
                <w:sz w:val="18"/>
              </w:rPr>
              <w:t>872,172.91</w:t>
            </w:r>
          </w:p>
        </w:tc>
      </w:tr>
      <w:tr>
        <w:trPr>
          <w:trHeight w:val="342" w:hRule="exact"/>
        </w:trPr>
        <w:tc>
          <w:tcPr>
            <w:tcW w:w="333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中国农业银行股份有限公司上海市分行</w:t>
            </w:r>
          </w:p>
        </w:tc>
        <w:tc>
          <w:tcPr>
            <w:tcW w:w="1586"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60"/>
              <w:ind w:right="2"/>
              <w:jc w:val="right"/>
              <w:rPr>
                <w:rFonts w:ascii="Times New Roman" w:hAnsi="Times New Roman" w:cs="Times New Roman" w:eastAsia="Times New Roman" w:hint="default"/>
                <w:sz w:val="18"/>
                <w:szCs w:val="18"/>
              </w:rPr>
            </w:pPr>
            <w:r>
              <w:rPr>
                <w:rFonts w:ascii="Times New Roman"/>
                <w:spacing w:val="-1"/>
                <w:sz w:val="18"/>
              </w:rPr>
              <w:t>11,350,651.15</w:t>
            </w:r>
          </w:p>
        </w:tc>
        <w:tc>
          <w:tcPr>
            <w:tcW w:w="14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z w:val="18"/>
              </w:rPr>
              <w:t>2.29%</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3"/>
              <w:jc w:val="right"/>
              <w:rPr>
                <w:rFonts w:ascii="Times New Roman" w:hAnsi="Times New Roman" w:cs="Times New Roman" w:eastAsia="Times New Roman" w:hint="default"/>
                <w:sz w:val="18"/>
                <w:szCs w:val="18"/>
              </w:rPr>
            </w:pPr>
            <w:r>
              <w:rPr>
                <w:rFonts w:ascii="Times New Roman"/>
                <w:sz w:val="18"/>
              </w:rPr>
              <w:t>567,532.56</w:t>
            </w:r>
          </w:p>
        </w:tc>
      </w:tr>
      <w:tr>
        <w:trPr>
          <w:trHeight w:val="342" w:hRule="exact"/>
        </w:trPr>
        <w:tc>
          <w:tcPr>
            <w:tcW w:w="333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北京航空航天大学</w:t>
            </w:r>
          </w:p>
        </w:tc>
        <w:tc>
          <w:tcPr>
            <w:tcW w:w="1586"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60"/>
              <w:ind w:right="2"/>
              <w:jc w:val="right"/>
              <w:rPr>
                <w:rFonts w:ascii="Times New Roman" w:hAnsi="Times New Roman" w:cs="Times New Roman" w:eastAsia="Times New Roman" w:hint="default"/>
                <w:sz w:val="18"/>
                <w:szCs w:val="18"/>
              </w:rPr>
            </w:pPr>
            <w:r>
              <w:rPr>
                <w:rFonts w:ascii="Times New Roman"/>
                <w:spacing w:val="-1"/>
                <w:sz w:val="18"/>
              </w:rPr>
              <w:t>8,797,139.46</w:t>
            </w:r>
          </w:p>
        </w:tc>
        <w:tc>
          <w:tcPr>
            <w:tcW w:w="14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z w:val="18"/>
              </w:rPr>
              <w:t>1.77%</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3"/>
              <w:jc w:val="right"/>
              <w:rPr>
                <w:rFonts w:ascii="Times New Roman" w:hAnsi="Times New Roman" w:cs="Times New Roman" w:eastAsia="Times New Roman" w:hint="default"/>
                <w:sz w:val="18"/>
                <w:szCs w:val="18"/>
              </w:rPr>
            </w:pPr>
            <w:r>
              <w:rPr>
                <w:rFonts w:ascii="Times New Roman"/>
                <w:sz w:val="18"/>
              </w:rPr>
              <w:t>994,300.44</w:t>
            </w:r>
          </w:p>
        </w:tc>
      </w:tr>
    </w:tbl>
    <w:p>
      <w:pPr>
        <w:spacing w:after="0" w:line="240" w:lineRule="auto"/>
        <w:jc w:val="right"/>
        <w:rPr>
          <w:rFonts w:ascii="Times New Roman" w:hAnsi="Times New Roman" w:cs="Times New Roman" w:eastAsia="Times New Roman" w:hint="default"/>
          <w:sz w:val="18"/>
          <w:szCs w:val="18"/>
        </w:rPr>
        <w:sectPr>
          <w:type w:val="continuous"/>
          <w:pgSz w:w="11910" w:h="16840"/>
          <w:pgMar w:top="1060" w:bottom="1160" w:left="980" w:right="0"/>
        </w:sectPr>
      </w:pPr>
    </w:p>
    <w:p>
      <w:pPr>
        <w:spacing w:line="240" w:lineRule="auto" w:before="6"/>
        <w:rPr>
          <w:rFonts w:ascii="宋体" w:hAnsi="宋体" w:cs="宋体" w:eastAsia="宋体" w:hint="default"/>
          <w:sz w:val="28"/>
          <w:szCs w:val="28"/>
        </w:rPr>
      </w:pPr>
    </w:p>
    <w:tbl>
      <w:tblPr>
        <w:tblW w:w="0" w:type="auto"/>
        <w:jc w:val="left"/>
        <w:tblInd w:w="755" w:type="dxa"/>
        <w:tblLayout w:type="fixed"/>
        <w:tblCellMar>
          <w:top w:w="0" w:type="dxa"/>
          <w:left w:w="0" w:type="dxa"/>
          <w:bottom w:w="0" w:type="dxa"/>
          <w:right w:w="0" w:type="dxa"/>
        </w:tblCellMar>
        <w:tblLook w:val="01E0"/>
      </w:tblPr>
      <w:tblGrid>
        <w:gridCol w:w="3338"/>
        <w:gridCol w:w="1586"/>
        <w:gridCol w:w="1420"/>
        <w:gridCol w:w="1418"/>
      </w:tblGrid>
      <w:tr>
        <w:trPr>
          <w:trHeight w:val="654" w:hRule="exact"/>
        </w:trPr>
        <w:tc>
          <w:tcPr>
            <w:tcW w:w="333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21"/>
              <w:ind w:left="4" w:right="81"/>
              <w:jc w:val="left"/>
              <w:rPr>
                <w:rFonts w:ascii="宋体" w:hAnsi="宋体" w:cs="宋体" w:eastAsia="宋体" w:hint="default"/>
                <w:sz w:val="18"/>
                <w:szCs w:val="18"/>
              </w:rPr>
            </w:pPr>
            <w:r>
              <w:rPr>
                <w:rFonts w:ascii="宋体" w:hAnsi="宋体" w:cs="宋体" w:eastAsia="宋体" w:hint="default"/>
                <w:sz w:val="18"/>
                <w:szCs w:val="18"/>
              </w:rPr>
              <w:t>中国工商银行股份有限公司咸阳文林路支 行</w:t>
            </w:r>
          </w:p>
        </w:tc>
        <w:tc>
          <w:tcPr>
            <w:tcW w:w="1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2"/>
              <w:jc w:val="right"/>
              <w:rPr>
                <w:rFonts w:ascii="Times New Roman" w:hAnsi="Times New Roman" w:cs="Times New Roman" w:eastAsia="Times New Roman" w:hint="default"/>
                <w:sz w:val="18"/>
                <w:szCs w:val="18"/>
              </w:rPr>
            </w:pPr>
            <w:r>
              <w:rPr>
                <w:rFonts w:ascii="Times New Roman"/>
                <w:spacing w:val="-1"/>
                <w:sz w:val="18"/>
              </w:rPr>
              <w:t>8,233,192.47</w:t>
            </w:r>
          </w:p>
        </w:tc>
        <w:tc>
          <w:tcPr>
            <w:tcW w:w="14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z w:val="18"/>
              </w:rPr>
              <w:t>1.66%</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3"/>
              <w:jc w:val="right"/>
              <w:rPr>
                <w:rFonts w:ascii="Times New Roman" w:hAnsi="Times New Roman" w:cs="Times New Roman" w:eastAsia="Times New Roman" w:hint="default"/>
                <w:sz w:val="18"/>
                <w:szCs w:val="18"/>
              </w:rPr>
            </w:pPr>
            <w:r>
              <w:rPr>
                <w:rFonts w:ascii="Times New Roman"/>
                <w:sz w:val="18"/>
              </w:rPr>
              <w:t>792,590.62</w:t>
            </w:r>
          </w:p>
        </w:tc>
      </w:tr>
      <w:tr>
        <w:trPr>
          <w:trHeight w:val="342" w:hRule="exact"/>
        </w:trPr>
        <w:tc>
          <w:tcPr>
            <w:tcW w:w="333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合计</w:t>
            </w:r>
          </w:p>
        </w:tc>
        <w:tc>
          <w:tcPr>
            <w:tcW w:w="1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2"/>
              <w:jc w:val="right"/>
              <w:rPr>
                <w:rFonts w:ascii="Times New Roman" w:hAnsi="Times New Roman" w:cs="Times New Roman" w:eastAsia="Times New Roman" w:hint="default"/>
                <w:sz w:val="18"/>
                <w:szCs w:val="18"/>
              </w:rPr>
            </w:pPr>
            <w:r>
              <w:rPr>
                <w:rFonts w:ascii="Times New Roman"/>
                <w:spacing w:val="-1"/>
                <w:sz w:val="18"/>
              </w:rPr>
              <w:t>67,240,586.76</w:t>
            </w:r>
          </w:p>
        </w:tc>
        <w:tc>
          <w:tcPr>
            <w:tcW w:w="14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z w:val="18"/>
              </w:rPr>
              <w:t>13.56%</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3"/>
              <w:jc w:val="right"/>
              <w:rPr>
                <w:rFonts w:ascii="Times New Roman" w:hAnsi="Times New Roman" w:cs="Times New Roman" w:eastAsia="Times New Roman" w:hint="default"/>
                <w:sz w:val="18"/>
                <w:szCs w:val="18"/>
              </w:rPr>
            </w:pPr>
            <w:r>
              <w:rPr>
                <w:rFonts w:ascii="Times New Roman"/>
                <w:spacing w:val="-1"/>
                <w:sz w:val="18"/>
              </w:rPr>
              <w:t>4,297,403.80</w:t>
            </w:r>
          </w:p>
        </w:tc>
      </w:tr>
    </w:tbl>
    <w:p>
      <w:pPr>
        <w:spacing w:line="240" w:lineRule="auto" w:before="5"/>
        <w:rPr>
          <w:rFonts w:ascii="宋体" w:hAnsi="宋体" w:cs="宋体" w:eastAsia="宋体" w:hint="default"/>
          <w:sz w:val="24"/>
          <w:szCs w:val="24"/>
        </w:rPr>
      </w:pPr>
    </w:p>
    <w:p>
      <w:pPr>
        <w:spacing w:before="44"/>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因金融资产转移而终止确认的应收账款</w:t>
      </w:r>
    </w:p>
    <w:p>
      <w:pPr>
        <w:spacing w:line="338" w:lineRule="auto" w:before="103"/>
        <w:ind w:left="154" w:right="682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转移应收账款且继续涉入形成的资产、负债金额</w:t>
      </w:r>
      <w:r>
        <w:rPr>
          <w:rFonts w:ascii="宋体" w:hAnsi="宋体" w:cs="宋体" w:eastAsia="宋体" w:hint="default"/>
          <w:w w:val="99"/>
          <w:sz w:val="18"/>
          <w:szCs w:val="18"/>
        </w:rPr>
        <w:t> </w:t>
      </w:r>
      <w:r>
        <w:rPr>
          <w:rFonts w:ascii="宋体" w:hAnsi="宋体" w:cs="宋体" w:eastAsia="宋体" w:hint="default"/>
          <w:sz w:val="18"/>
          <w:szCs w:val="18"/>
        </w:rPr>
        <w:t>其他说明：</w:t>
      </w:r>
    </w:p>
    <w:p>
      <w:pPr>
        <w:spacing w:line="240" w:lineRule="auto" w:before="2"/>
        <w:rPr>
          <w:rFonts w:ascii="宋体" w:hAnsi="宋体" w:cs="宋体" w:eastAsia="宋体" w:hint="default"/>
          <w:sz w:val="21"/>
          <w:szCs w:val="21"/>
        </w:rPr>
      </w:pPr>
    </w:p>
    <w:p>
      <w:pPr>
        <w:pStyle w:val="Heading4"/>
        <w:spacing w:line="240" w:lineRule="auto"/>
        <w:ind w:right="1117"/>
        <w:jc w:val="left"/>
        <w:rPr>
          <w:b w:val="0"/>
          <w:bCs w:val="0"/>
        </w:rPr>
      </w:pPr>
      <w:bookmarkStart w:name="4、预付款项" w:id="228"/>
      <w:bookmarkEnd w:id="228"/>
      <w:r>
        <w:rPr>
          <w:b w:val="0"/>
          <w:bCs w:val="0"/>
        </w:rPr>
      </w:r>
      <w:r>
        <w:rPr>
          <w:rFonts w:ascii="Times New Roman" w:hAnsi="Times New Roman" w:cs="Times New Roman" w:eastAsia="Times New Roman" w:hint="default"/>
        </w:rPr>
        <w:t>4</w:t>
      </w:r>
      <w:r>
        <w:rPr/>
        <w:t>、预付款项</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1117"/>
        <w:jc w:val="left"/>
        <w:rPr>
          <w:b w:val="0"/>
          <w:bCs w:val="0"/>
        </w:rPr>
      </w:pPr>
      <w:bookmarkStart w:name="（1）预付款项按账龄列示" w:id="229"/>
      <w:bookmarkEnd w:id="229"/>
      <w:r>
        <w:rPr>
          <w:b w:val="0"/>
          <w:bCs w:val="0"/>
        </w:rPr>
      </w:r>
      <w:r>
        <w:rPr/>
        <w:t>（</w:t>
      </w:r>
      <w:r>
        <w:rPr>
          <w:rFonts w:ascii="Times New Roman" w:hAnsi="Times New Roman" w:cs="Times New Roman" w:eastAsia="Times New Roman" w:hint="default"/>
        </w:rPr>
        <w:t>1</w:t>
      </w:r>
      <w:r>
        <w:rPr/>
        <w:t>）预付款项按账龄列示</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889"/>
        <w:gridCol w:w="1927"/>
        <w:gridCol w:w="1914"/>
        <w:gridCol w:w="1914"/>
        <w:gridCol w:w="1915"/>
      </w:tblGrid>
      <w:tr>
        <w:trPr>
          <w:trHeight w:val="206" w:hRule="exact"/>
        </w:trPr>
        <w:tc>
          <w:tcPr>
            <w:tcW w:w="1889" w:type="dxa"/>
            <w:tcBorders>
              <w:top w:val="single" w:sz="4" w:space="0" w:color="000000"/>
              <w:left w:val="single" w:sz="4" w:space="0" w:color="000000"/>
              <w:bottom w:val="nil" w:sz="6" w:space="0" w:color="auto"/>
              <w:right w:val="single" w:sz="4" w:space="0" w:color="000000"/>
            </w:tcBorders>
            <w:shd w:val="clear" w:color="auto" w:fill="D2D2D2"/>
          </w:tcPr>
          <w:p>
            <w:pPr/>
          </w:p>
        </w:tc>
        <w:tc>
          <w:tcPr>
            <w:tcW w:w="3841"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left="1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830"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91" w:hRule="exact"/>
        </w:trPr>
        <w:tc>
          <w:tcPr>
            <w:tcW w:w="1889"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3841" w:type="dxa"/>
            <w:gridSpan w:val="2"/>
            <w:vMerge/>
            <w:tcBorders>
              <w:left w:val="single" w:sz="4" w:space="0" w:color="000000"/>
              <w:bottom w:val="single" w:sz="4" w:space="0" w:color="000000"/>
              <w:right w:val="single" w:sz="4" w:space="0" w:color="000000"/>
            </w:tcBorders>
            <w:shd w:val="clear" w:color="auto" w:fill="D2D2D2"/>
          </w:tcPr>
          <w:p>
            <w:pPr/>
          </w:p>
        </w:tc>
        <w:tc>
          <w:tcPr>
            <w:tcW w:w="3830" w:type="dxa"/>
            <w:gridSpan w:val="2"/>
            <w:vMerge/>
            <w:tcBorders>
              <w:left w:val="single" w:sz="4" w:space="0" w:color="000000"/>
              <w:bottom w:val="single" w:sz="4" w:space="0" w:color="000000"/>
              <w:right w:val="single" w:sz="4" w:space="0" w:color="000000"/>
            </w:tcBorders>
            <w:shd w:val="clear" w:color="auto" w:fill="D2D2D2"/>
          </w:tcPr>
          <w:p>
            <w:pPr/>
          </w:p>
        </w:tc>
      </w:tr>
      <w:tr>
        <w:trPr>
          <w:trHeight w:val="200" w:hRule="exact"/>
        </w:trPr>
        <w:tc>
          <w:tcPr>
            <w:tcW w:w="1889" w:type="dxa"/>
            <w:vMerge/>
            <w:tcBorders>
              <w:left w:val="single" w:sz="4" w:space="0" w:color="000000"/>
              <w:bottom w:val="nil" w:sz="6" w:space="0" w:color="auto"/>
              <w:right w:val="single" w:sz="4" w:space="0" w:color="000000"/>
            </w:tcBorders>
            <w:shd w:val="clear" w:color="auto" w:fill="D2D2D2"/>
          </w:tcPr>
          <w:p>
            <w:pPr/>
          </w:p>
        </w:tc>
        <w:tc>
          <w:tcPr>
            <w:tcW w:w="192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11"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91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比例</w:t>
            </w:r>
          </w:p>
        </w:tc>
        <w:tc>
          <w:tcPr>
            <w:tcW w:w="191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191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比例</w:t>
            </w:r>
          </w:p>
        </w:tc>
      </w:tr>
      <w:tr>
        <w:trPr>
          <w:trHeight w:val="206" w:hRule="exact"/>
        </w:trPr>
        <w:tc>
          <w:tcPr>
            <w:tcW w:w="1889" w:type="dxa"/>
            <w:tcBorders>
              <w:top w:val="nil" w:sz="6" w:space="0" w:color="auto"/>
              <w:left w:val="single" w:sz="4" w:space="0" w:color="000000"/>
              <w:bottom w:val="single" w:sz="4" w:space="0" w:color="000000"/>
              <w:right w:val="single" w:sz="4" w:space="0" w:color="000000"/>
            </w:tcBorders>
            <w:shd w:val="clear" w:color="auto" w:fill="D2D2D2"/>
          </w:tcPr>
          <w:p>
            <w:pPr/>
          </w:p>
        </w:tc>
        <w:tc>
          <w:tcPr>
            <w:tcW w:w="1927" w:type="dxa"/>
            <w:vMerge/>
            <w:tcBorders>
              <w:left w:val="single" w:sz="4" w:space="0" w:color="000000"/>
              <w:bottom w:val="single" w:sz="4" w:space="0" w:color="000000"/>
              <w:right w:val="single" w:sz="4" w:space="0" w:color="000000"/>
            </w:tcBorders>
            <w:shd w:val="clear" w:color="auto" w:fill="D2D2D2"/>
          </w:tcPr>
          <w:p>
            <w:pPr/>
          </w:p>
        </w:tc>
        <w:tc>
          <w:tcPr>
            <w:tcW w:w="1914" w:type="dxa"/>
            <w:vMerge/>
            <w:tcBorders>
              <w:left w:val="single" w:sz="4" w:space="0" w:color="000000"/>
              <w:bottom w:val="single" w:sz="4" w:space="0" w:color="000000"/>
              <w:right w:val="single" w:sz="4" w:space="0" w:color="000000"/>
            </w:tcBorders>
            <w:shd w:val="clear" w:color="auto" w:fill="D2D2D2"/>
          </w:tcPr>
          <w:p>
            <w:pPr/>
          </w:p>
        </w:tc>
        <w:tc>
          <w:tcPr>
            <w:tcW w:w="1914" w:type="dxa"/>
            <w:vMerge/>
            <w:tcBorders>
              <w:left w:val="single" w:sz="4" w:space="0" w:color="000000"/>
              <w:bottom w:val="single" w:sz="4" w:space="0" w:color="000000"/>
              <w:right w:val="single" w:sz="4" w:space="0" w:color="000000"/>
            </w:tcBorders>
            <w:shd w:val="clear" w:color="auto" w:fill="D2D2D2"/>
          </w:tcPr>
          <w:p>
            <w:pPr/>
          </w:p>
        </w:tc>
        <w:tc>
          <w:tcPr>
            <w:tcW w:w="1915"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92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21,777,514.34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88.29%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18,044,135.36</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87.42%</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92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1,315,019.34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5.33%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1,560,681.08</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7.56%</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92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818,775.98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3.32%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1,037,155.08</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5.02%</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192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754,929.94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3.06%</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27" w:type="dxa"/>
            <w:tcBorders>
              <w:top w:val="single" w:sz="4" w:space="0" w:color="000000"/>
              <w:left w:val="single" w:sz="13" w:space="0" w:color="D2D2D2"/>
              <w:bottom w:val="single" w:sz="4" w:space="0" w:color="000000"/>
              <w:right w:val="single" w:sz="13" w:space="0" w:color="D2D2D2"/>
            </w:tcBorders>
          </w:tcPr>
          <w:p>
            <w:pPr>
              <w:pStyle w:val="TableParagraph"/>
              <w:spacing w:line="240" w:lineRule="auto" w:before="91"/>
              <w:ind w:right="9"/>
              <w:jc w:val="right"/>
              <w:rPr>
                <w:rFonts w:ascii="Times New Roman" w:hAnsi="Times New Roman" w:cs="Times New Roman" w:eastAsia="Times New Roman" w:hint="default"/>
                <w:sz w:val="18"/>
                <w:szCs w:val="18"/>
              </w:rPr>
            </w:pPr>
            <w:r>
              <w:rPr>
                <w:rFonts w:ascii="Times New Roman"/>
                <w:spacing w:val="-1"/>
                <w:sz w:val="18"/>
              </w:rPr>
              <w:t>24,666,239.60</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19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20,641,971.52</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bl>
    <w:p>
      <w:pPr>
        <w:spacing w:before="51"/>
        <w:ind w:left="154" w:right="1117" w:firstLine="0"/>
        <w:jc w:val="left"/>
        <w:rPr>
          <w:rFonts w:ascii="宋体" w:hAnsi="宋体" w:cs="宋体" w:eastAsia="宋体" w:hint="default"/>
          <w:sz w:val="18"/>
          <w:szCs w:val="18"/>
        </w:rPr>
      </w:pPr>
      <w:r>
        <w:rPr>
          <w:rFonts w:ascii="宋体" w:hAnsi="宋体" w:cs="宋体" w:eastAsia="宋体" w:hint="default"/>
          <w:sz w:val="18"/>
          <w:szCs w:val="18"/>
        </w:rPr>
        <w:t>账龄超过</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年且金额重要的预付款项未及时结算原因的说明：</w:t>
      </w:r>
    </w:p>
    <w:p>
      <w:pPr>
        <w:pStyle w:val="BodyText"/>
        <w:spacing w:line="240" w:lineRule="auto" w:before="77"/>
        <w:ind w:right="1117"/>
        <w:jc w:val="left"/>
      </w:pPr>
      <w:r>
        <w:rPr/>
        <w:t>账龄超过一年且金额重大的预付款项为</w:t>
      </w:r>
      <w:r>
        <w:rPr>
          <w:rFonts w:ascii="Times New Roman" w:hAnsi="Times New Roman" w:cs="Times New Roman" w:eastAsia="Times New Roman" w:hint="default"/>
        </w:rPr>
        <w:t>2,888,725.26</w:t>
      </w:r>
      <w:r>
        <w:rPr/>
        <w:t>元，主要为预付材料款项。</w:t>
      </w:r>
    </w:p>
    <w:p>
      <w:pPr>
        <w:spacing w:line="240" w:lineRule="auto" w:before="8"/>
        <w:rPr>
          <w:rFonts w:ascii="宋体" w:hAnsi="宋体" w:cs="宋体" w:eastAsia="宋体" w:hint="default"/>
          <w:sz w:val="24"/>
          <w:szCs w:val="24"/>
        </w:rPr>
      </w:pPr>
    </w:p>
    <w:p>
      <w:pPr>
        <w:pStyle w:val="Heading4"/>
        <w:spacing w:line="240" w:lineRule="auto"/>
        <w:ind w:right="1117"/>
        <w:jc w:val="left"/>
        <w:rPr>
          <w:b w:val="0"/>
          <w:bCs w:val="0"/>
        </w:rPr>
      </w:pPr>
      <w:bookmarkStart w:name="（2）按预付对象归集的期末余额前五名的预付款情况" w:id="230"/>
      <w:bookmarkEnd w:id="230"/>
      <w:r>
        <w:rPr>
          <w:b w:val="0"/>
          <w:bCs w:val="0"/>
        </w:rPr>
      </w:r>
      <w:r>
        <w:rPr/>
        <w:t>（</w:t>
      </w:r>
      <w:r>
        <w:rPr>
          <w:rFonts w:ascii="Times New Roman" w:hAnsi="Times New Roman" w:cs="Times New Roman" w:eastAsia="Times New Roman" w:hint="default"/>
        </w:rPr>
        <w:t>2</w:t>
      </w:r>
      <w:r>
        <w:rPr/>
        <w:t>）按预付对象归集的期末余额前五名的预付款情况</w:t>
      </w:r>
      <w:r>
        <w:rPr>
          <w:b w:val="0"/>
          <w:bCs w:val="0"/>
        </w:rPr>
      </w:r>
    </w:p>
    <w:p>
      <w:pPr>
        <w:spacing w:line="240" w:lineRule="auto" w:before="10"/>
        <w:rPr>
          <w:rFonts w:ascii="宋体" w:hAnsi="宋体" w:cs="宋体" w:eastAsia="宋体" w:hint="default"/>
          <w:b/>
          <w:bCs/>
          <w:sz w:val="25"/>
          <w:szCs w:val="25"/>
        </w:rPr>
      </w:pPr>
    </w:p>
    <w:tbl>
      <w:tblPr>
        <w:tblW w:w="0" w:type="auto"/>
        <w:jc w:val="left"/>
        <w:tblInd w:w="758" w:type="dxa"/>
        <w:tblLayout w:type="fixed"/>
        <w:tblCellMar>
          <w:top w:w="0" w:type="dxa"/>
          <w:left w:w="0" w:type="dxa"/>
          <w:bottom w:w="0" w:type="dxa"/>
          <w:right w:w="0" w:type="dxa"/>
        </w:tblCellMar>
        <w:tblLook w:val="01E0"/>
      </w:tblPr>
      <w:tblGrid>
        <w:gridCol w:w="3501"/>
        <w:gridCol w:w="2129"/>
        <w:gridCol w:w="2127"/>
      </w:tblGrid>
      <w:tr>
        <w:trPr>
          <w:trHeight w:val="171" w:hRule="exact"/>
        </w:trPr>
        <w:tc>
          <w:tcPr>
            <w:tcW w:w="3501" w:type="dxa"/>
            <w:tcBorders>
              <w:top w:val="single" w:sz="4" w:space="0" w:color="000000"/>
              <w:left w:val="single" w:sz="4" w:space="0" w:color="000000"/>
              <w:bottom w:val="nil" w:sz="6" w:space="0" w:color="auto"/>
              <w:right w:val="single" w:sz="4" w:space="0" w:color="000000"/>
            </w:tcBorders>
            <w:shd w:val="clear" w:color="auto" w:fill="D9D9D9"/>
          </w:tcPr>
          <w:p>
            <w:pPr/>
          </w:p>
        </w:tc>
        <w:tc>
          <w:tcPr>
            <w:tcW w:w="2129" w:type="dxa"/>
            <w:tcBorders>
              <w:top w:val="single" w:sz="4" w:space="0" w:color="000000"/>
              <w:left w:val="single" w:sz="4" w:space="0" w:color="000000"/>
              <w:bottom w:val="nil" w:sz="6" w:space="0" w:color="auto"/>
              <w:right w:val="single" w:sz="4" w:space="0" w:color="000000"/>
            </w:tcBorders>
            <w:shd w:val="clear" w:color="auto" w:fill="D9D9D9"/>
          </w:tcPr>
          <w:p>
            <w:pPr/>
          </w:p>
        </w:tc>
        <w:tc>
          <w:tcPr>
            <w:tcW w:w="2127" w:type="dxa"/>
            <w:vMerge w:val="restart"/>
            <w:tcBorders>
              <w:top w:val="single" w:sz="4" w:space="0" w:color="000000"/>
              <w:left w:val="single" w:sz="4" w:space="0" w:color="000000"/>
              <w:right w:val="single" w:sz="4" w:space="0" w:color="000000"/>
            </w:tcBorders>
            <w:shd w:val="clear" w:color="auto" w:fill="D9D9D9"/>
          </w:tcPr>
          <w:p>
            <w:pPr>
              <w:pStyle w:val="TableParagraph"/>
              <w:spacing w:line="316" w:lineRule="auto" w:before="20"/>
              <w:ind w:left="442" w:right="66" w:hanging="375"/>
              <w:jc w:val="left"/>
              <w:rPr>
                <w:rFonts w:ascii="宋体" w:hAnsi="宋体" w:cs="宋体" w:eastAsia="宋体" w:hint="default"/>
                <w:sz w:val="18"/>
                <w:szCs w:val="18"/>
              </w:rPr>
            </w:pPr>
            <w:r>
              <w:rPr>
                <w:rFonts w:ascii="宋体" w:hAnsi="宋体" w:cs="宋体" w:eastAsia="宋体" w:hint="default"/>
                <w:sz w:val="18"/>
                <w:szCs w:val="18"/>
              </w:rPr>
              <w:t>占预付款项期末余额合计 数的比例（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r>
      <w:tr>
        <w:trPr>
          <w:trHeight w:val="488" w:hRule="exact"/>
        </w:trPr>
        <w:tc>
          <w:tcPr>
            <w:tcW w:w="3501" w:type="dxa"/>
            <w:tcBorders>
              <w:top w:val="nil" w:sz="6" w:space="0" w:color="auto"/>
              <w:left w:val="single" w:sz="4" w:space="0" w:color="000000"/>
              <w:bottom w:val="single" w:sz="4" w:space="0" w:color="000000"/>
              <w:right w:val="single" w:sz="4" w:space="0" w:color="000000"/>
            </w:tcBorders>
            <w:shd w:val="clear" w:color="auto" w:fill="D9D9D9"/>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预付对象</w:t>
            </w:r>
          </w:p>
        </w:tc>
        <w:tc>
          <w:tcPr>
            <w:tcW w:w="2129" w:type="dxa"/>
            <w:tcBorders>
              <w:top w:val="nil" w:sz="6" w:space="0" w:color="auto"/>
              <w:left w:val="single" w:sz="4" w:space="0" w:color="000000"/>
              <w:bottom w:val="single" w:sz="4" w:space="0" w:color="000000"/>
              <w:right w:val="single" w:sz="4" w:space="0" w:color="000000"/>
            </w:tcBorders>
            <w:shd w:val="clear" w:color="auto" w:fill="D9D9D9"/>
          </w:tcPr>
          <w:p>
            <w:pPr>
              <w:pStyle w:val="TableParagraph"/>
              <w:spacing w:line="240" w:lineRule="auto" w:before="10"/>
              <w:ind w:left="699"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2127" w:type="dxa"/>
            <w:vMerge/>
            <w:tcBorders>
              <w:left w:val="single" w:sz="4" w:space="0" w:color="000000"/>
              <w:bottom w:val="single" w:sz="4" w:space="0" w:color="000000"/>
              <w:right w:val="single" w:sz="4" w:space="0" w:color="000000"/>
            </w:tcBorders>
            <w:shd w:val="clear" w:color="auto" w:fill="D9D9D9"/>
          </w:tcPr>
          <w:p>
            <w:pPr/>
          </w:p>
        </w:tc>
      </w:tr>
      <w:tr>
        <w:trPr>
          <w:trHeight w:val="337" w:hRule="exact"/>
        </w:trPr>
        <w:tc>
          <w:tcPr>
            <w:tcW w:w="350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6"/>
              <w:ind w:left="2" w:right="0"/>
              <w:jc w:val="left"/>
              <w:rPr>
                <w:rFonts w:ascii="宋体" w:hAnsi="宋体" w:cs="宋体" w:eastAsia="宋体" w:hint="default"/>
                <w:sz w:val="18"/>
                <w:szCs w:val="18"/>
              </w:rPr>
            </w:pPr>
            <w:r>
              <w:rPr>
                <w:rFonts w:ascii="宋体" w:hAnsi="宋体" w:cs="宋体" w:eastAsia="宋体" w:hint="default"/>
                <w:sz w:val="18"/>
                <w:szCs w:val="18"/>
              </w:rPr>
              <w:t>乌鲁木齐市中网恒业电子科技有限公司</w:t>
            </w:r>
          </w:p>
        </w:tc>
        <w:tc>
          <w:tcPr>
            <w:tcW w:w="2129"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55"/>
              <w:ind w:right="3"/>
              <w:jc w:val="right"/>
              <w:rPr>
                <w:rFonts w:ascii="Times New Roman" w:hAnsi="Times New Roman" w:cs="Times New Roman" w:eastAsia="Times New Roman" w:hint="default"/>
                <w:sz w:val="18"/>
                <w:szCs w:val="18"/>
              </w:rPr>
            </w:pPr>
            <w:r>
              <w:rPr>
                <w:rFonts w:ascii="Times New Roman"/>
                <w:spacing w:val="-1"/>
                <w:sz w:val="18"/>
              </w:rPr>
              <w:t>4,358,400.00</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
              <w:jc w:val="right"/>
              <w:rPr>
                <w:rFonts w:ascii="Times New Roman" w:hAnsi="Times New Roman" w:cs="Times New Roman" w:eastAsia="Times New Roman" w:hint="default"/>
                <w:sz w:val="18"/>
                <w:szCs w:val="18"/>
              </w:rPr>
            </w:pPr>
            <w:r>
              <w:rPr>
                <w:rFonts w:ascii="Times New Roman"/>
                <w:sz w:val="18"/>
              </w:rPr>
              <w:t>17.67</w:t>
            </w:r>
          </w:p>
        </w:tc>
      </w:tr>
      <w:tr>
        <w:trPr>
          <w:trHeight w:val="342" w:hRule="exact"/>
        </w:trPr>
        <w:tc>
          <w:tcPr>
            <w:tcW w:w="350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西安智感电子科技有限公司</w:t>
            </w:r>
          </w:p>
        </w:tc>
        <w:tc>
          <w:tcPr>
            <w:tcW w:w="2129"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61"/>
              <w:ind w:right="3"/>
              <w:jc w:val="right"/>
              <w:rPr>
                <w:rFonts w:ascii="Times New Roman" w:hAnsi="Times New Roman" w:cs="Times New Roman" w:eastAsia="Times New Roman" w:hint="default"/>
                <w:sz w:val="18"/>
                <w:szCs w:val="18"/>
              </w:rPr>
            </w:pPr>
            <w:r>
              <w:rPr>
                <w:rFonts w:ascii="Times New Roman"/>
                <w:spacing w:val="-1"/>
                <w:sz w:val="18"/>
              </w:rPr>
              <w:t>1,296,000.00</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z w:val="18"/>
              </w:rPr>
              <w:t>5.25</w:t>
            </w:r>
          </w:p>
        </w:tc>
      </w:tr>
      <w:tr>
        <w:trPr>
          <w:trHeight w:val="342" w:hRule="exact"/>
        </w:trPr>
        <w:tc>
          <w:tcPr>
            <w:tcW w:w="350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普元信息技术股份有限公司</w:t>
            </w:r>
          </w:p>
        </w:tc>
        <w:tc>
          <w:tcPr>
            <w:tcW w:w="2129"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61"/>
              <w:ind w:right="3"/>
              <w:jc w:val="right"/>
              <w:rPr>
                <w:rFonts w:ascii="Times New Roman" w:hAnsi="Times New Roman" w:cs="Times New Roman" w:eastAsia="Times New Roman" w:hint="default"/>
                <w:sz w:val="18"/>
                <w:szCs w:val="18"/>
              </w:rPr>
            </w:pPr>
            <w:r>
              <w:rPr>
                <w:rFonts w:ascii="Times New Roman"/>
                <w:sz w:val="18"/>
              </w:rPr>
              <w:t>952,374.17</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z w:val="18"/>
              </w:rPr>
              <w:t>3.86</w:t>
            </w:r>
          </w:p>
        </w:tc>
      </w:tr>
      <w:tr>
        <w:trPr>
          <w:trHeight w:val="342" w:hRule="exact"/>
        </w:trPr>
        <w:tc>
          <w:tcPr>
            <w:tcW w:w="350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阿里云计算有限公司</w:t>
            </w:r>
          </w:p>
        </w:tc>
        <w:tc>
          <w:tcPr>
            <w:tcW w:w="2129"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61"/>
              <w:ind w:right="3"/>
              <w:jc w:val="right"/>
              <w:rPr>
                <w:rFonts w:ascii="Times New Roman" w:hAnsi="Times New Roman" w:cs="Times New Roman" w:eastAsia="Times New Roman" w:hint="default"/>
                <w:sz w:val="18"/>
                <w:szCs w:val="18"/>
              </w:rPr>
            </w:pPr>
            <w:r>
              <w:rPr>
                <w:rFonts w:ascii="Times New Roman"/>
                <w:sz w:val="18"/>
              </w:rPr>
              <w:t>620,464.36</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z w:val="18"/>
              </w:rPr>
              <w:t>2.52</w:t>
            </w:r>
          </w:p>
        </w:tc>
      </w:tr>
      <w:tr>
        <w:trPr>
          <w:trHeight w:val="342" w:hRule="exact"/>
        </w:trPr>
        <w:tc>
          <w:tcPr>
            <w:tcW w:w="350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林志洪</w:t>
            </w:r>
          </w:p>
        </w:tc>
        <w:tc>
          <w:tcPr>
            <w:tcW w:w="2129"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61"/>
              <w:ind w:right="3"/>
              <w:jc w:val="right"/>
              <w:rPr>
                <w:rFonts w:ascii="Times New Roman" w:hAnsi="Times New Roman" w:cs="Times New Roman" w:eastAsia="Times New Roman" w:hint="default"/>
                <w:sz w:val="18"/>
                <w:szCs w:val="18"/>
              </w:rPr>
            </w:pPr>
            <w:r>
              <w:rPr>
                <w:rFonts w:ascii="Times New Roman"/>
                <w:sz w:val="18"/>
              </w:rPr>
              <w:t>325,306.38</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z w:val="18"/>
              </w:rPr>
              <w:t>1.32</w:t>
            </w:r>
          </w:p>
        </w:tc>
      </w:tr>
      <w:tr>
        <w:trPr>
          <w:trHeight w:val="342" w:hRule="exact"/>
        </w:trPr>
        <w:tc>
          <w:tcPr>
            <w:tcW w:w="350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合计</w:t>
            </w:r>
          </w:p>
        </w:tc>
        <w:tc>
          <w:tcPr>
            <w:tcW w:w="2129"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61"/>
              <w:ind w:right="3"/>
              <w:jc w:val="right"/>
              <w:rPr>
                <w:rFonts w:ascii="Times New Roman" w:hAnsi="Times New Roman" w:cs="Times New Roman" w:eastAsia="Times New Roman" w:hint="default"/>
                <w:sz w:val="18"/>
                <w:szCs w:val="18"/>
              </w:rPr>
            </w:pPr>
            <w:r>
              <w:rPr>
                <w:rFonts w:ascii="Times New Roman"/>
                <w:spacing w:val="-1"/>
                <w:sz w:val="18"/>
              </w:rPr>
              <w:t>7,552,544.91</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z w:val="18"/>
              </w:rPr>
              <w:t>30.62</w:t>
            </w:r>
          </w:p>
        </w:tc>
      </w:tr>
    </w:tbl>
    <w:p>
      <w:pPr>
        <w:spacing w:line="240" w:lineRule="auto" w:before="5"/>
        <w:rPr>
          <w:rFonts w:ascii="宋体" w:hAnsi="宋体" w:cs="宋体" w:eastAsia="宋体" w:hint="default"/>
          <w:b/>
          <w:bCs/>
          <w:sz w:val="24"/>
          <w:szCs w:val="24"/>
        </w:rPr>
      </w:pPr>
    </w:p>
    <w:p>
      <w:pPr>
        <w:spacing w:before="44"/>
        <w:ind w:left="154" w:right="1117"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pStyle w:val="Heading4"/>
        <w:spacing w:line="240" w:lineRule="auto"/>
        <w:ind w:right="1117"/>
        <w:jc w:val="left"/>
        <w:rPr>
          <w:b w:val="0"/>
          <w:bCs w:val="0"/>
        </w:rPr>
      </w:pPr>
      <w:bookmarkStart w:name="5、其他应收款" w:id="231"/>
      <w:bookmarkEnd w:id="231"/>
      <w:r>
        <w:rPr>
          <w:b w:val="0"/>
          <w:bCs w:val="0"/>
        </w:rPr>
      </w:r>
      <w:r>
        <w:rPr>
          <w:rFonts w:ascii="Times New Roman" w:hAnsi="Times New Roman" w:cs="Times New Roman" w:eastAsia="Times New Roman" w:hint="default"/>
        </w:rPr>
        <w:t>5</w:t>
      </w:r>
      <w:r>
        <w:rPr/>
        <w:t>、其他应收款</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90"/>
        <w:gridCol w:w="3190"/>
        <w:gridCol w:w="3179"/>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after="0" w:line="240" w:lineRule="auto"/>
        <w:jc w:val="center"/>
        <w:rPr>
          <w:rFonts w:ascii="宋体" w:hAnsi="宋体" w:cs="宋体" w:eastAsia="宋体" w:hint="default"/>
          <w:sz w:val="18"/>
          <w:szCs w:val="18"/>
        </w:rPr>
        <w:sectPr>
          <w:pgSz w:w="11910" w:h="16840"/>
          <w:pgMar w:header="87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3189"/>
        <w:gridCol w:w="3191"/>
        <w:gridCol w:w="3190"/>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62,538,708.35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57,605,184.03</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62,538,708.35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57,605,184.03</w:t>
            </w:r>
          </w:p>
        </w:tc>
      </w:tr>
    </w:tbl>
    <w:p>
      <w:pPr>
        <w:spacing w:line="240" w:lineRule="auto" w:before="2"/>
        <w:rPr>
          <w:rFonts w:ascii="宋体" w:hAnsi="宋体" w:cs="宋体" w:eastAsia="宋体" w:hint="default"/>
          <w:sz w:val="19"/>
          <w:szCs w:val="19"/>
        </w:rPr>
      </w:pPr>
    </w:p>
    <w:p>
      <w:pPr>
        <w:pStyle w:val="Heading4"/>
        <w:spacing w:line="240" w:lineRule="auto" w:before="35"/>
        <w:ind w:right="1117"/>
        <w:jc w:val="left"/>
        <w:rPr>
          <w:b w:val="0"/>
          <w:bCs w:val="0"/>
        </w:rPr>
      </w:pPr>
      <w:bookmarkStart w:name="（1）应收利息" w:id="232"/>
      <w:bookmarkEnd w:id="232"/>
      <w:r>
        <w:rPr>
          <w:b w:val="0"/>
          <w:bCs w:val="0"/>
        </w:rPr>
      </w:r>
      <w:r>
        <w:rPr/>
        <w:t>（</w:t>
      </w:r>
      <w:r>
        <w:rPr>
          <w:rFonts w:ascii="Times New Roman" w:hAnsi="Times New Roman" w:cs="Times New Roman" w:eastAsia="Times New Roman" w:hint="default"/>
        </w:rPr>
        <w:t>1</w:t>
      </w:r>
      <w:r>
        <w:rPr/>
        <w:t>）应收利息</w:t>
      </w:r>
      <w:r>
        <w:rPr>
          <w:b w:val="0"/>
          <w:bCs w:val="0"/>
        </w:rPr>
      </w:r>
    </w:p>
    <w:p>
      <w:pPr>
        <w:spacing w:line="240" w:lineRule="auto" w:before="8"/>
        <w:rPr>
          <w:rFonts w:ascii="宋体" w:hAnsi="宋体" w:cs="宋体" w:eastAsia="宋体" w:hint="default"/>
          <w:b/>
          <w:bCs/>
          <w:sz w:val="26"/>
          <w:szCs w:val="26"/>
        </w:rPr>
      </w:pPr>
    </w:p>
    <w:p>
      <w:pPr>
        <w:spacing w:before="0"/>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应收利息分类</w:t>
      </w:r>
    </w:p>
    <w:p>
      <w:pPr>
        <w:spacing w:line="338" w:lineRule="auto" w:before="103"/>
        <w:ind w:left="154" w:right="952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重要逾期利息</w:t>
      </w:r>
      <w:r>
        <w:rPr>
          <w:rFonts w:ascii="宋体" w:hAnsi="宋体" w:cs="宋体" w:eastAsia="宋体" w:hint="default"/>
          <w:w w:val="99"/>
          <w:sz w:val="18"/>
          <w:szCs w:val="18"/>
        </w:rPr>
        <w:t> </w:t>
      </w:r>
      <w:r>
        <w:rPr>
          <w:rFonts w:ascii="宋体" w:hAnsi="宋体" w:cs="宋体" w:eastAsia="宋体" w:hint="default"/>
          <w:sz w:val="18"/>
          <w:szCs w:val="18"/>
        </w:rPr>
        <w:t>其他说明：</w:t>
      </w:r>
    </w:p>
    <w:p>
      <w:pPr>
        <w:spacing w:line="240" w:lineRule="auto" w:before="1"/>
        <w:rPr>
          <w:rFonts w:ascii="宋体" w:hAnsi="宋体" w:cs="宋体" w:eastAsia="宋体" w:hint="default"/>
          <w:sz w:val="21"/>
          <w:szCs w:val="21"/>
        </w:rPr>
      </w:pPr>
    </w:p>
    <w:p>
      <w:pPr>
        <w:pStyle w:val="Heading4"/>
        <w:spacing w:line="240" w:lineRule="auto"/>
        <w:ind w:right="1117"/>
        <w:jc w:val="left"/>
        <w:rPr>
          <w:b w:val="0"/>
          <w:bCs w:val="0"/>
        </w:rPr>
      </w:pPr>
      <w:bookmarkStart w:name="（2）应收股利" w:id="233"/>
      <w:bookmarkEnd w:id="233"/>
      <w:r>
        <w:rPr>
          <w:b w:val="0"/>
          <w:bCs w:val="0"/>
        </w:rPr>
      </w:r>
      <w:r>
        <w:rPr/>
        <w:t>（</w:t>
      </w:r>
      <w:r>
        <w:rPr>
          <w:rFonts w:ascii="Times New Roman" w:hAnsi="Times New Roman" w:cs="Times New Roman" w:eastAsia="Times New Roman" w:hint="default"/>
        </w:rPr>
        <w:t>2</w:t>
      </w:r>
      <w:r>
        <w:rPr/>
        <w:t>）应收股利</w:t>
      </w:r>
      <w:r>
        <w:rPr>
          <w:b w:val="0"/>
          <w:bCs w:val="0"/>
        </w:rPr>
      </w:r>
    </w:p>
    <w:p>
      <w:pPr>
        <w:spacing w:line="240" w:lineRule="auto" w:before="9"/>
        <w:rPr>
          <w:rFonts w:ascii="宋体" w:hAnsi="宋体" w:cs="宋体" w:eastAsia="宋体" w:hint="default"/>
          <w:b/>
          <w:bCs/>
          <w:sz w:val="26"/>
          <w:szCs w:val="26"/>
        </w:rPr>
      </w:pPr>
    </w:p>
    <w:p>
      <w:pPr>
        <w:spacing w:before="0"/>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应收股利</w:t>
      </w:r>
    </w:p>
    <w:p>
      <w:pPr>
        <w:spacing w:line="340" w:lineRule="auto" w:before="102"/>
        <w:ind w:left="154" w:right="808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重要的账龄超过</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年的应收股利</w:t>
      </w:r>
      <w:r>
        <w:rPr>
          <w:rFonts w:ascii="宋体" w:hAnsi="宋体" w:cs="宋体" w:eastAsia="宋体" w:hint="default"/>
          <w:w w:val="99"/>
          <w:sz w:val="18"/>
          <w:szCs w:val="18"/>
        </w:rPr>
        <w:t> </w:t>
      </w:r>
      <w:r>
        <w:rPr>
          <w:rFonts w:ascii="宋体" w:hAnsi="宋体" w:cs="宋体" w:eastAsia="宋体" w:hint="default"/>
          <w:sz w:val="18"/>
          <w:szCs w:val="18"/>
        </w:rPr>
        <w:t>其他说明：</w:t>
      </w:r>
    </w:p>
    <w:p>
      <w:pPr>
        <w:spacing w:line="240" w:lineRule="auto" w:before="12"/>
        <w:rPr>
          <w:rFonts w:ascii="宋体" w:hAnsi="宋体" w:cs="宋体" w:eastAsia="宋体" w:hint="default"/>
          <w:sz w:val="20"/>
          <w:szCs w:val="20"/>
        </w:rPr>
      </w:pPr>
    </w:p>
    <w:p>
      <w:pPr>
        <w:pStyle w:val="Heading4"/>
        <w:spacing w:line="240" w:lineRule="auto"/>
        <w:ind w:right="1117"/>
        <w:jc w:val="left"/>
        <w:rPr>
          <w:b w:val="0"/>
          <w:bCs w:val="0"/>
        </w:rPr>
      </w:pPr>
      <w:bookmarkStart w:name="（3）其他应收款" w:id="234"/>
      <w:bookmarkEnd w:id="234"/>
      <w:r>
        <w:rPr>
          <w:b w:val="0"/>
          <w:bCs w:val="0"/>
        </w:rPr>
      </w:r>
      <w:r>
        <w:rPr/>
        <w:t>（</w:t>
      </w:r>
      <w:r>
        <w:rPr>
          <w:rFonts w:ascii="Times New Roman" w:hAnsi="Times New Roman" w:cs="Times New Roman" w:eastAsia="Times New Roman" w:hint="default"/>
        </w:rPr>
        <w:t>3</w:t>
      </w:r>
      <w:r>
        <w:rPr/>
        <w:t>）其他应收款</w:t>
      </w:r>
      <w:r>
        <w:rPr>
          <w:b w:val="0"/>
          <w:bCs w:val="0"/>
        </w:rPr>
      </w:r>
    </w:p>
    <w:p>
      <w:pPr>
        <w:spacing w:line="240" w:lineRule="auto" w:before="4"/>
        <w:rPr>
          <w:rFonts w:ascii="宋体" w:hAnsi="宋体" w:cs="宋体" w:eastAsia="宋体" w:hint="default"/>
          <w:b/>
          <w:bCs/>
          <w:sz w:val="23"/>
          <w:szCs w:val="23"/>
        </w:rPr>
      </w:pPr>
    </w:p>
    <w:p>
      <w:pPr>
        <w:spacing w:before="44"/>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其他应收款分类披露</w:t>
      </w:r>
    </w:p>
    <w:p>
      <w:pPr>
        <w:spacing w:before="102"/>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623"/>
        <w:gridCol w:w="763"/>
        <w:gridCol w:w="762"/>
        <w:gridCol w:w="762"/>
        <w:gridCol w:w="762"/>
        <w:gridCol w:w="790"/>
        <w:gridCol w:w="654"/>
        <w:gridCol w:w="762"/>
        <w:gridCol w:w="813"/>
        <w:gridCol w:w="932"/>
        <w:gridCol w:w="932"/>
      </w:tblGrid>
      <w:tr>
        <w:trPr>
          <w:trHeight w:val="397" w:hRule="exact"/>
        </w:trPr>
        <w:tc>
          <w:tcPr>
            <w:tcW w:w="1623" w:type="dxa"/>
            <w:vMerge w:val="restart"/>
            <w:tcBorders>
              <w:top w:val="single" w:sz="4" w:space="0" w:color="000000"/>
              <w:left w:val="single" w:sz="4" w:space="0" w:color="000000"/>
              <w:right w:val="single" w:sz="4" w:space="0" w:color="000000"/>
            </w:tcBorders>
            <w:shd w:val="clear" w:color="auto" w:fill="D2D2D2"/>
          </w:tcPr>
          <w:p>
            <w:pPr/>
          </w:p>
        </w:tc>
        <w:tc>
          <w:tcPr>
            <w:tcW w:w="3839"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094"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66" w:hRule="exact"/>
        </w:trPr>
        <w:tc>
          <w:tcPr>
            <w:tcW w:w="1623" w:type="dxa"/>
            <w:vMerge/>
            <w:tcBorders>
              <w:left w:val="single" w:sz="4" w:space="0" w:color="000000"/>
              <w:bottom w:val="nil" w:sz="6" w:space="0" w:color="auto"/>
              <w:right w:val="single" w:sz="4" w:space="0" w:color="000000"/>
            </w:tcBorders>
            <w:shd w:val="clear" w:color="auto" w:fill="D2D2D2"/>
          </w:tcPr>
          <w:p>
            <w:pPr/>
          </w:p>
        </w:tc>
        <w:tc>
          <w:tcPr>
            <w:tcW w:w="1525"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9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24"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97"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790" w:type="dxa"/>
            <w:vMerge w:val="restart"/>
            <w:tcBorders>
              <w:top w:val="single" w:sz="4" w:space="0" w:color="000000"/>
              <w:left w:val="single" w:sz="4" w:space="0" w:color="000000"/>
              <w:right w:val="single" w:sz="4" w:space="0" w:color="000000"/>
            </w:tcBorders>
            <w:shd w:val="clear" w:color="auto" w:fill="D2D2D2"/>
          </w:tcPr>
          <w:p>
            <w:pPr/>
          </w:p>
        </w:tc>
        <w:tc>
          <w:tcPr>
            <w:tcW w:w="1416"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42"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745"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506"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932" w:type="dxa"/>
            <w:vMerge w:val="restart"/>
            <w:tcBorders>
              <w:top w:val="single" w:sz="4" w:space="0" w:color="000000"/>
              <w:left w:val="single" w:sz="4" w:space="0" w:color="000000"/>
              <w:right w:val="single" w:sz="4" w:space="0" w:color="000000"/>
            </w:tcBorders>
            <w:shd w:val="clear" w:color="auto" w:fill="D2D2D2"/>
          </w:tcPr>
          <w:p>
            <w:pPr/>
          </w:p>
        </w:tc>
      </w:tr>
      <w:tr>
        <w:trPr>
          <w:trHeight w:val="242" w:hRule="exact"/>
        </w:trPr>
        <w:tc>
          <w:tcPr>
            <w:tcW w:w="162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11"/>
              <w:jc w:val="center"/>
              <w:rPr>
                <w:rFonts w:ascii="宋体" w:hAnsi="宋体" w:cs="宋体" w:eastAsia="宋体" w:hint="default"/>
                <w:sz w:val="18"/>
                <w:szCs w:val="18"/>
              </w:rPr>
            </w:pPr>
            <w:r>
              <w:rPr>
                <w:rFonts w:ascii="宋体" w:hAnsi="宋体" w:cs="宋体" w:eastAsia="宋体" w:hint="default"/>
                <w:sz w:val="18"/>
                <w:szCs w:val="18"/>
              </w:rPr>
              <w:t>类别</w:t>
            </w:r>
          </w:p>
        </w:tc>
        <w:tc>
          <w:tcPr>
            <w:tcW w:w="1525" w:type="dxa"/>
            <w:gridSpan w:val="2"/>
            <w:vMerge/>
            <w:tcBorders>
              <w:left w:val="single" w:sz="4" w:space="0" w:color="000000"/>
              <w:bottom w:val="single" w:sz="4" w:space="0" w:color="000000"/>
              <w:right w:val="single" w:sz="4" w:space="0" w:color="000000"/>
            </w:tcBorders>
            <w:shd w:val="clear" w:color="auto" w:fill="D2D2D2"/>
          </w:tcPr>
          <w:p>
            <w:pPr/>
          </w:p>
        </w:tc>
        <w:tc>
          <w:tcPr>
            <w:tcW w:w="1524" w:type="dxa"/>
            <w:gridSpan w:val="2"/>
            <w:vMerge/>
            <w:tcBorders>
              <w:left w:val="single" w:sz="4" w:space="0" w:color="000000"/>
              <w:bottom w:val="single" w:sz="4" w:space="0" w:color="000000"/>
              <w:right w:val="single" w:sz="4" w:space="0" w:color="000000"/>
            </w:tcBorders>
            <w:shd w:val="clear" w:color="auto" w:fill="D2D2D2"/>
          </w:tcPr>
          <w:p>
            <w:pPr/>
          </w:p>
        </w:tc>
        <w:tc>
          <w:tcPr>
            <w:tcW w:w="790" w:type="dxa"/>
            <w:vMerge/>
            <w:tcBorders>
              <w:left w:val="single" w:sz="4" w:space="0" w:color="000000"/>
              <w:bottom w:val="nil" w:sz="6" w:space="0" w:color="auto"/>
              <w:right w:val="single" w:sz="4" w:space="0" w:color="000000"/>
            </w:tcBorders>
            <w:shd w:val="clear" w:color="auto" w:fill="D2D2D2"/>
          </w:tcPr>
          <w:p>
            <w:pPr/>
          </w:p>
        </w:tc>
        <w:tc>
          <w:tcPr>
            <w:tcW w:w="1416" w:type="dxa"/>
            <w:gridSpan w:val="2"/>
            <w:vMerge/>
            <w:tcBorders>
              <w:left w:val="single" w:sz="4" w:space="0" w:color="000000"/>
              <w:bottom w:val="single" w:sz="4" w:space="0" w:color="000000"/>
              <w:right w:val="single" w:sz="4" w:space="0" w:color="000000"/>
            </w:tcBorders>
            <w:shd w:val="clear" w:color="auto" w:fill="D2D2D2"/>
          </w:tcPr>
          <w:p>
            <w:pPr/>
          </w:p>
        </w:tc>
        <w:tc>
          <w:tcPr>
            <w:tcW w:w="1745" w:type="dxa"/>
            <w:gridSpan w:val="2"/>
            <w:vMerge/>
            <w:tcBorders>
              <w:left w:val="single" w:sz="4" w:space="0" w:color="000000"/>
              <w:bottom w:val="single" w:sz="4" w:space="0" w:color="000000"/>
              <w:right w:val="single" w:sz="4" w:space="0" w:color="000000"/>
            </w:tcBorders>
            <w:shd w:val="clear" w:color="auto" w:fill="D2D2D2"/>
          </w:tcPr>
          <w:p>
            <w:pPr/>
          </w:p>
        </w:tc>
        <w:tc>
          <w:tcPr>
            <w:tcW w:w="932" w:type="dxa"/>
            <w:vMerge/>
            <w:tcBorders>
              <w:left w:val="single" w:sz="4" w:space="0" w:color="000000"/>
              <w:bottom w:val="nil" w:sz="6" w:space="0" w:color="auto"/>
              <w:right w:val="single" w:sz="4" w:space="0" w:color="000000"/>
            </w:tcBorders>
            <w:shd w:val="clear" w:color="auto" w:fill="D2D2D2"/>
          </w:tcPr>
          <w:p>
            <w:pPr/>
          </w:p>
        </w:tc>
      </w:tr>
      <w:tr>
        <w:trPr>
          <w:trHeight w:val="158" w:hRule="exact"/>
        </w:trPr>
        <w:tc>
          <w:tcPr>
            <w:tcW w:w="1623" w:type="dxa"/>
            <w:vMerge/>
            <w:tcBorders>
              <w:left w:val="single" w:sz="4" w:space="0" w:color="000000"/>
              <w:bottom w:val="single" w:sz="4" w:space="0" w:color="FFFFFF"/>
              <w:right w:val="single" w:sz="4" w:space="0" w:color="000000"/>
            </w:tcBorders>
            <w:shd w:val="clear" w:color="auto" w:fill="D2D2D2"/>
          </w:tcPr>
          <w:p>
            <w:pPr/>
          </w:p>
        </w:tc>
        <w:tc>
          <w:tcPr>
            <w:tcW w:w="763"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2"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2"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2"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1"/>
              <w:ind w:left="285" w:right="104" w:hanging="180"/>
              <w:jc w:val="left"/>
              <w:rPr>
                <w:rFonts w:ascii="宋体" w:hAnsi="宋体" w:cs="宋体" w:eastAsia="宋体" w:hint="default"/>
                <w:sz w:val="18"/>
                <w:szCs w:val="18"/>
              </w:rPr>
            </w:pPr>
            <w:r>
              <w:rPr>
                <w:rFonts w:ascii="宋体" w:hAnsi="宋体" w:cs="宋体" w:eastAsia="宋体" w:hint="default"/>
                <w:sz w:val="18"/>
                <w:szCs w:val="18"/>
              </w:rPr>
              <w:t>计提比 例</w:t>
            </w:r>
          </w:p>
        </w:tc>
        <w:tc>
          <w:tcPr>
            <w:tcW w:w="79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0"/>
              <w:ind w:left="29"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654" w:type="dxa"/>
            <w:tcBorders>
              <w:top w:val="single" w:sz="4" w:space="0" w:color="000000"/>
              <w:left w:val="single" w:sz="4" w:space="0" w:color="000000"/>
              <w:bottom w:val="nil" w:sz="6" w:space="0" w:color="auto"/>
              <w:right w:val="single" w:sz="4" w:space="0" w:color="000000"/>
            </w:tcBorders>
            <w:shd w:val="clear" w:color="auto" w:fill="D2D2D2"/>
          </w:tcPr>
          <w:p>
            <w:pPr/>
          </w:p>
        </w:tc>
        <w:tc>
          <w:tcPr>
            <w:tcW w:w="762" w:type="dxa"/>
            <w:tcBorders>
              <w:top w:val="single" w:sz="4" w:space="0" w:color="000000"/>
              <w:left w:val="single" w:sz="4" w:space="0" w:color="000000"/>
              <w:bottom w:val="nil" w:sz="6" w:space="0" w:color="auto"/>
              <w:right w:val="single" w:sz="4" w:space="0" w:color="000000"/>
            </w:tcBorders>
            <w:shd w:val="clear" w:color="auto" w:fill="D2D2D2"/>
          </w:tcPr>
          <w:p>
            <w:pPr/>
          </w:p>
        </w:tc>
        <w:tc>
          <w:tcPr>
            <w:tcW w:w="813" w:type="dxa"/>
            <w:tcBorders>
              <w:top w:val="single" w:sz="4" w:space="0" w:color="000000"/>
              <w:left w:val="single" w:sz="4" w:space="0" w:color="000000"/>
              <w:bottom w:val="nil" w:sz="6" w:space="0" w:color="auto"/>
              <w:right w:val="single" w:sz="4" w:space="0" w:color="000000"/>
            </w:tcBorders>
            <w:shd w:val="clear" w:color="auto" w:fill="D2D2D2"/>
          </w:tcPr>
          <w:p>
            <w:pPr/>
          </w:p>
        </w:tc>
        <w:tc>
          <w:tcPr>
            <w:tcW w:w="932" w:type="dxa"/>
            <w:tcBorders>
              <w:top w:val="single" w:sz="4" w:space="0" w:color="000000"/>
              <w:left w:val="single" w:sz="4" w:space="0" w:color="000000"/>
              <w:bottom w:val="nil" w:sz="6" w:space="0" w:color="auto"/>
              <w:right w:val="single" w:sz="4" w:space="0" w:color="000000"/>
            </w:tcBorders>
            <w:shd w:val="clear" w:color="auto" w:fill="D2D2D2"/>
          </w:tcPr>
          <w:p>
            <w:pPr/>
          </w:p>
        </w:tc>
        <w:tc>
          <w:tcPr>
            <w:tcW w:w="93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0"/>
              <w:ind w:left="100"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193" w:hRule="exact"/>
        </w:trPr>
        <w:tc>
          <w:tcPr>
            <w:tcW w:w="1623" w:type="dxa"/>
            <w:vMerge w:val="restart"/>
            <w:tcBorders>
              <w:top w:val="single" w:sz="4" w:space="0" w:color="FFFFFF"/>
              <w:left w:val="single" w:sz="4" w:space="0" w:color="000000"/>
              <w:right w:val="single" w:sz="4" w:space="0" w:color="000000"/>
            </w:tcBorders>
            <w:shd w:val="clear" w:color="auto" w:fill="D2D2D2"/>
          </w:tcPr>
          <w:p>
            <w:pPr/>
          </w:p>
        </w:tc>
        <w:tc>
          <w:tcPr>
            <w:tcW w:w="763"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9"/>
              <w:ind w:left="195"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9"/>
              <w:ind w:left="195"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762"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9"/>
              <w:ind w:left="195"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vMerge/>
            <w:tcBorders>
              <w:left w:val="single" w:sz="4" w:space="0" w:color="000000"/>
              <w:right w:val="single" w:sz="4" w:space="0" w:color="000000"/>
            </w:tcBorders>
            <w:shd w:val="clear" w:color="auto" w:fill="D2D2D2"/>
          </w:tcPr>
          <w:p>
            <w:pPr/>
          </w:p>
        </w:tc>
        <w:tc>
          <w:tcPr>
            <w:tcW w:w="790" w:type="dxa"/>
            <w:vMerge/>
            <w:tcBorders>
              <w:left w:val="single" w:sz="4" w:space="0" w:color="000000"/>
              <w:bottom w:val="nil" w:sz="6" w:space="0" w:color="auto"/>
              <w:right w:val="single" w:sz="4" w:space="0" w:color="000000"/>
            </w:tcBorders>
            <w:shd w:val="clear" w:color="auto" w:fill="D2D2D2"/>
          </w:tcPr>
          <w:p>
            <w:pPr/>
          </w:p>
        </w:tc>
        <w:tc>
          <w:tcPr>
            <w:tcW w:w="65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141"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195"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81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221"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93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101"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932" w:type="dxa"/>
            <w:vMerge/>
            <w:tcBorders>
              <w:left w:val="single" w:sz="4" w:space="0" w:color="000000"/>
              <w:bottom w:val="nil" w:sz="6" w:space="0" w:color="auto"/>
              <w:right w:val="single" w:sz="4" w:space="0" w:color="000000"/>
            </w:tcBorders>
            <w:shd w:val="clear" w:color="auto" w:fill="D2D2D2"/>
          </w:tcPr>
          <w:p>
            <w:pPr/>
          </w:p>
        </w:tc>
      </w:tr>
      <w:tr>
        <w:trPr>
          <w:trHeight w:val="202" w:hRule="exact"/>
        </w:trPr>
        <w:tc>
          <w:tcPr>
            <w:tcW w:w="1623" w:type="dxa"/>
            <w:vMerge/>
            <w:tcBorders>
              <w:left w:val="single" w:sz="4" w:space="0" w:color="000000"/>
              <w:right w:val="single" w:sz="4" w:space="0" w:color="000000"/>
            </w:tcBorders>
            <w:shd w:val="clear" w:color="auto" w:fill="D2D2D2"/>
          </w:tcPr>
          <w:p>
            <w:pPr/>
          </w:p>
        </w:tc>
        <w:tc>
          <w:tcPr>
            <w:tcW w:w="763"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right w:val="single" w:sz="4" w:space="0" w:color="000000"/>
            </w:tcBorders>
            <w:shd w:val="clear" w:color="auto" w:fill="D2D2D2"/>
          </w:tcPr>
          <w:p>
            <w:pPr/>
          </w:p>
        </w:tc>
        <w:tc>
          <w:tcPr>
            <w:tcW w:w="790" w:type="dxa"/>
            <w:vMerge w:val="restart"/>
            <w:tcBorders>
              <w:top w:val="nil" w:sz="6" w:space="0" w:color="auto"/>
              <w:left w:val="single" w:sz="4" w:space="0" w:color="000000"/>
              <w:right w:val="single" w:sz="4" w:space="0" w:color="000000"/>
            </w:tcBorders>
            <w:shd w:val="clear" w:color="auto" w:fill="D2D2D2"/>
          </w:tcPr>
          <w:p>
            <w:pPr/>
          </w:p>
        </w:tc>
        <w:tc>
          <w:tcPr>
            <w:tcW w:w="654"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bottom w:val="nil" w:sz="6" w:space="0" w:color="auto"/>
              <w:right w:val="single" w:sz="4" w:space="0" w:color="000000"/>
            </w:tcBorders>
            <w:shd w:val="clear" w:color="auto" w:fill="D2D2D2"/>
          </w:tcPr>
          <w:p>
            <w:pPr/>
          </w:p>
        </w:tc>
        <w:tc>
          <w:tcPr>
            <w:tcW w:w="813" w:type="dxa"/>
            <w:vMerge/>
            <w:tcBorders>
              <w:left w:val="single" w:sz="4" w:space="0" w:color="000000"/>
              <w:bottom w:val="nil" w:sz="6" w:space="0" w:color="auto"/>
              <w:right w:val="single" w:sz="4" w:space="0" w:color="000000"/>
            </w:tcBorders>
            <w:shd w:val="clear" w:color="auto" w:fill="D2D2D2"/>
          </w:tcPr>
          <w:p>
            <w:pPr/>
          </w:p>
        </w:tc>
        <w:tc>
          <w:tcPr>
            <w:tcW w:w="932" w:type="dxa"/>
            <w:vMerge/>
            <w:tcBorders>
              <w:left w:val="single" w:sz="4" w:space="0" w:color="000000"/>
              <w:bottom w:val="nil" w:sz="6" w:space="0" w:color="auto"/>
              <w:right w:val="single" w:sz="4" w:space="0" w:color="000000"/>
            </w:tcBorders>
            <w:shd w:val="clear" w:color="auto" w:fill="D2D2D2"/>
          </w:tcPr>
          <w:p>
            <w:pPr/>
          </w:p>
        </w:tc>
        <w:tc>
          <w:tcPr>
            <w:tcW w:w="932" w:type="dxa"/>
            <w:vMerge w:val="restart"/>
            <w:tcBorders>
              <w:top w:val="nil" w:sz="6" w:space="0" w:color="auto"/>
              <w:left w:val="single" w:sz="4" w:space="0" w:color="000000"/>
              <w:right w:val="single" w:sz="4" w:space="0" w:color="000000"/>
            </w:tcBorders>
            <w:shd w:val="clear" w:color="auto" w:fill="D2D2D2"/>
          </w:tcPr>
          <w:p>
            <w:pPr/>
          </w:p>
        </w:tc>
      </w:tr>
      <w:tr>
        <w:trPr>
          <w:trHeight w:val="161" w:hRule="exact"/>
        </w:trPr>
        <w:tc>
          <w:tcPr>
            <w:tcW w:w="1623" w:type="dxa"/>
            <w:vMerge/>
            <w:tcBorders>
              <w:left w:val="single" w:sz="4" w:space="0" w:color="000000"/>
              <w:bottom w:val="single" w:sz="4" w:space="0" w:color="000000"/>
              <w:right w:val="single" w:sz="4" w:space="0" w:color="000000"/>
            </w:tcBorders>
            <w:shd w:val="clear" w:color="auto" w:fill="D2D2D2"/>
          </w:tcPr>
          <w:p>
            <w:pPr/>
          </w:p>
        </w:tc>
        <w:tc>
          <w:tcPr>
            <w:tcW w:w="763"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vMerge/>
            <w:tcBorders>
              <w:left w:val="single" w:sz="4" w:space="0" w:color="000000"/>
              <w:bottom w:val="single" w:sz="4" w:space="0" w:color="000000"/>
              <w:right w:val="single" w:sz="4" w:space="0" w:color="000000"/>
            </w:tcBorders>
            <w:shd w:val="clear" w:color="auto" w:fill="D2D2D2"/>
          </w:tcPr>
          <w:p>
            <w:pPr/>
          </w:p>
        </w:tc>
        <w:tc>
          <w:tcPr>
            <w:tcW w:w="790" w:type="dxa"/>
            <w:vMerge/>
            <w:tcBorders>
              <w:left w:val="single" w:sz="4" w:space="0" w:color="000000"/>
              <w:bottom w:val="single" w:sz="4" w:space="0" w:color="000000"/>
              <w:right w:val="single" w:sz="4" w:space="0" w:color="000000"/>
            </w:tcBorders>
            <w:shd w:val="clear" w:color="auto" w:fill="D2D2D2"/>
          </w:tcPr>
          <w:p>
            <w:pPr/>
          </w:p>
        </w:tc>
        <w:tc>
          <w:tcPr>
            <w:tcW w:w="654"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tcBorders>
              <w:top w:val="nil" w:sz="6" w:space="0" w:color="auto"/>
              <w:left w:val="single" w:sz="4" w:space="0" w:color="000000"/>
              <w:bottom w:val="single" w:sz="4" w:space="0" w:color="000000"/>
              <w:right w:val="single" w:sz="4" w:space="0" w:color="000000"/>
            </w:tcBorders>
            <w:shd w:val="clear" w:color="auto" w:fill="D2D2D2"/>
          </w:tcPr>
          <w:p>
            <w:pPr/>
          </w:p>
        </w:tc>
        <w:tc>
          <w:tcPr>
            <w:tcW w:w="813" w:type="dxa"/>
            <w:tcBorders>
              <w:top w:val="nil" w:sz="6" w:space="0" w:color="auto"/>
              <w:left w:val="single" w:sz="4" w:space="0" w:color="000000"/>
              <w:bottom w:val="single" w:sz="4" w:space="0" w:color="000000"/>
              <w:right w:val="single" w:sz="4" w:space="0" w:color="000000"/>
            </w:tcBorders>
            <w:shd w:val="clear" w:color="auto" w:fill="D2D2D2"/>
          </w:tcPr>
          <w:p>
            <w:pPr/>
          </w:p>
        </w:tc>
        <w:tc>
          <w:tcPr>
            <w:tcW w:w="932" w:type="dxa"/>
            <w:tcBorders>
              <w:top w:val="nil" w:sz="6" w:space="0" w:color="auto"/>
              <w:left w:val="single" w:sz="4" w:space="0" w:color="000000"/>
              <w:bottom w:val="single" w:sz="4" w:space="0" w:color="000000"/>
              <w:right w:val="single" w:sz="4" w:space="0" w:color="000000"/>
            </w:tcBorders>
            <w:shd w:val="clear" w:color="auto" w:fill="D2D2D2"/>
          </w:tcPr>
          <w:p>
            <w:pPr/>
          </w:p>
        </w:tc>
        <w:tc>
          <w:tcPr>
            <w:tcW w:w="932" w:type="dxa"/>
            <w:vMerge/>
            <w:tcBorders>
              <w:left w:val="single" w:sz="4" w:space="0" w:color="000000"/>
              <w:bottom w:val="single" w:sz="4" w:space="0" w:color="000000"/>
              <w:right w:val="single" w:sz="4" w:space="0" w:color="000000"/>
            </w:tcBorders>
            <w:shd w:val="clear" w:color="auto" w:fill="D2D2D2"/>
          </w:tcPr>
          <w:p>
            <w:pPr/>
          </w:p>
        </w:tc>
      </w:tr>
      <w:tr>
        <w:trPr>
          <w:trHeight w:val="1026" w:hRule="exact"/>
        </w:trPr>
        <w:tc>
          <w:tcPr>
            <w:tcW w:w="16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160"/>
              <w:jc w:val="both"/>
              <w:rPr>
                <w:rFonts w:ascii="宋体" w:hAnsi="宋体" w:cs="宋体" w:eastAsia="宋体" w:hint="default"/>
                <w:sz w:val="18"/>
                <w:szCs w:val="18"/>
              </w:rPr>
            </w:pPr>
            <w:r>
              <w:rPr>
                <w:rFonts w:ascii="宋体" w:hAnsi="宋体" w:cs="宋体" w:eastAsia="宋体" w:hint="default"/>
                <w:sz w:val="18"/>
                <w:szCs w:val="18"/>
              </w:rPr>
              <w:t>按信用风险特征组 合计提坏账准备的 其他应收款</w:t>
            </w:r>
          </w:p>
        </w:tc>
        <w:tc>
          <w:tcPr>
            <w:tcW w:w="76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7" w:right="0"/>
              <w:jc w:val="left"/>
              <w:rPr>
                <w:rFonts w:ascii="Times New Roman" w:hAnsi="Times New Roman" w:cs="Times New Roman" w:eastAsia="Times New Roman" w:hint="default"/>
                <w:sz w:val="18"/>
                <w:szCs w:val="18"/>
              </w:rPr>
            </w:pPr>
            <w:r>
              <w:rPr>
                <w:rFonts w:ascii="Times New Roman"/>
                <w:sz w:val="18"/>
              </w:rPr>
              <w:t>66,801,7</w:t>
            </w:r>
          </w:p>
          <w:p>
            <w:pPr>
              <w:pStyle w:val="TableParagraph"/>
              <w:spacing w:line="240" w:lineRule="auto" w:before="105"/>
              <w:ind w:left="313" w:right="0"/>
              <w:jc w:val="left"/>
              <w:rPr>
                <w:rFonts w:ascii="Times New Roman" w:hAnsi="Times New Roman" w:cs="Times New Roman" w:eastAsia="Times New Roman" w:hint="default"/>
                <w:sz w:val="18"/>
                <w:szCs w:val="18"/>
              </w:rPr>
            </w:pPr>
            <w:r>
              <w:rPr>
                <w:rFonts w:ascii="Times New Roman"/>
                <w:sz w:val="18"/>
              </w:rPr>
              <w:t>60.03</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8" w:right="0"/>
              <w:jc w:val="left"/>
              <w:rPr>
                <w:rFonts w:ascii="Times New Roman" w:hAnsi="Times New Roman" w:cs="Times New Roman" w:eastAsia="Times New Roman" w:hint="default"/>
                <w:sz w:val="18"/>
                <w:szCs w:val="18"/>
              </w:rPr>
            </w:pPr>
            <w:r>
              <w:rPr>
                <w:rFonts w:ascii="Times New Roman"/>
                <w:sz w:val="18"/>
              </w:rPr>
              <w:t>4,263,05</w:t>
            </w:r>
          </w:p>
          <w:p>
            <w:pPr>
              <w:pStyle w:val="TableParagraph"/>
              <w:spacing w:line="240" w:lineRule="auto" w:before="105"/>
              <w:ind w:left="413" w:right="0"/>
              <w:jc w:val="left"/>
              <w:rPr>
                <w:rFonts w:ascii="Times New Roman" w:hAnsi="Times New Roman" w:cs="Times New Roman" w:eastAsia="Times New Roman" w:hint="default"/>
                <w:sz w:val="18"/>
                <w:szCs w:val="18"/>
              </w:rPr>
            </w:pPr>
            <w:r>
              <w:rPr>
                <w:rFonts w:ascii="Times New Roman"/>
                <w:sz w:val="18"/>
              </w:rPr>
              <w:t>1.68</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265" w:right="0"/>
              <w:jc w:val="left"/>
              <w:rPr>
                <w:rFonts w:ascii="Times New Roman" w:hAnsi="Times New Roman" w:cs="Times New Roman" w:eastAsia="Times New Roman" w:hint="default"/>
                <w:sz w:val="18"/>
                <w:szCs w:val="18"/>
              </w:rPr>
            </w:pPr>
            <w:r>
              <w:rPr>
                <w:rFonts w:ascii="Times New Roman"/>
                <w:sz w:val="18"/>
              </w:rPr>
              <w:t>6.38%</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7" w:right="0"/>
              <w:jc w:val="left"/>
              <w:rPr>
                <w:rFonts w:ascii="Times New Roman" w:hAnsi="Times New Roman" w:cs="Times New Roman" w:eastAsia="Times New Roman" w:hint="default"/>
                <w:sz w:val="18"/>
                <w:szCs w:val="18"/>
              </w:rPr>
            </w:pPr>
            <w:r>
              <w:rPr>
                <w:rFonts w:ascii="Times New Roman"/>
                <w:sz w:val="18"/>
              </w:rPr>
              <w:t>62,538,70</w:t>
            </w:r>
          </w:p>
          <w:p>
            <w:pPr>
              <w:pStyle w:val="TableParagraph"/>
              <w:spacing w:line="240" w:lineRule="auto" w:before="105"/>
              <w:ind w:left="442" w:right="0"/>
              <w:jc w:val="left"/>
              <w:rPr>
                <w:rFonts w:ascii="Times New Roman" w:hAnsi="Times New Roman" w:cs="Times New Roman" w:eastAsia="Times New Roman" w:hint="default"/>
                <w:sz w:val="18"/>
                <w:szCs w:val="18"/>
              </w:rPr>
            </w:pPr>
            <w:r>
              <w:rPr>
                <w:rFonts w:ascii="Times New Roman"/>
                <w:sz w:val="18"/>
              </w:rPr>
              <w:t>8.35</w:t>
            </w: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0" w:right="0"/>
              <w:jc w:val="left"/>
              <w:rPr>
                <w:rFonts w:ascii="Times New Roman" w:hAnsi="Times New Roman" w:cs="Times New Roman" w:eastAsia="Times New Roman" w:hint="default"/>
                <w:sz w:val="18"/>
                <w:szCs w:val="18"/>
              </w:rPr>
            </w:pPr>
            <w:r>
              <w:rPr>
                <w:rFonts w:ascii="Times New Roman"/>
                <w:sz w:val="18"/>
              </w:rPr>
              <w:t>60,816,</w:t>
            </w:r>
          </w:p>
          <w:p>
            <w:pPr>
              <w:pStyle w:val="TableParagraph"/>
              <w:spacing w:line="240" w:lineRule="auto" w:before="105"/>
              <w:ind w:left="126" w:right="0"/>
              <w:jc w:val="left"/>
              <w:rPr>
                <w:rFonts w:ascii="Times New Roman" w:hAnsi="Times New Roman" w:cs="Times New Roman" w:eastAsia="Times New Roman" w:hint="default"/>
                <w:sz w:val="18"/>
                <w:szCs w:val="18"/>
              </w:rPr>
            </w:pPr>
            <w:r>
              <w:rPr>
                <w:rFonts w:ascii="Times New Roman"/>
                <w:sz w:val="18"/>
              </w:rPr>
              <w:t>801.92</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3,211,617</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.89</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435" w:right="0"/>
              <w:jc w:val="left"/>
              <w:rPr>
                <w:rFonts w:ascii="Times New Roman" w:hAnsi="Times New Roman" w:cs="Times New Roman" w:eastAsia="Times New Roman" w:hint="default"/>
                <w:sz w:val="18"/>
                <w:szCs w:val="18"/>
              </w:rPr>
            </w:pPr>
            <w:r>
              <w:rPr>
                <w:rFonts w:ascii="Times New Roman"/>
                <w:sz w:val="18"/>
              </w:rPr>
              <w:t>5.28%</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57,605,184.</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03</w:t>
            </w:r>
          </w:p>
        </w:tc>
      </w:tr>
      <w:tr>
        <w:trPr>
          <w:trHeight w:val="161" w:hRule="exact"/>
        </w:trPr>
        <w:tc>
          <w:tcPr>
            <w:tcW w:w="1623" w:type="dxa"/>
            <w:tcBorders>
              <w:top w:val="single" w:sz="4" w:space="0" w:color="000000"/>
              <w:left w:val="single" w:sz="4" w:space="0" w:color="000000"/>
              <w:bottom w:val="nil" w:sz="6" w:space="0" w:color="auto"/>
              <w:right w:val="single" w:sz="4" w:space="0" w:color="000000"/>
            </w:tcBorders>
            <w:shd w:val="clear" w:color="auto" w:fill="D2D2D2"/>
          </w:tcPr>
          <w:p>
            <w:pPr/>
          </w:p>
        </w:tc>
        <w:tc>
          <w:tcPr>
            <w:tcW w:w="763" w:type="dxa"/>
            <w:vMerge w:val="restart"/>
            <w:tcBorders>
              <w:top w:val="single" w:sz="4" w:space="0" w:color="000000"/>
              <w:left w:val="single" w:sz="9" w:space="0" w:color="D2D2D2"/>
              <w:right w:val="single" w:sz="4" w:space="0" w:color="000000"/>
            </w:tcBorders>
          </w:tcPr>
          <w:p>
            <w:pPr>
              <w:pStyle w:val="TableParagraph"/>
              <w:spacing w:line="240" w:lineRule="auto" w:before="91"/>
              <w:ind w:left="93" w:right="0"/>
              <w:jc w:val="left"/>
              <w:rPr>
                <w:rFonts w:ascii="Times New Roman" w:hAnsi="Times New Roman" w:cs="Times New Roman" w:eastAsia="Times New Roman" w:hint="default"/>
                <w:sz w:val="18"/>
                <w:szCs w:val="18"/>
              </w:rPr>
            </w:pPr>
            <w:r>
              <w:rPr>
                <w:rFonts w:ascii="Times New Roman"/>
                <w:sz w:val="18"/>
              </w:rPr>
              <w:t>66,801,7</w:t>
            </w:r>
          </w:p>
          <w:p>
            <w:pPr>
              <w:pStyle w:val="TableParagraph"/>
              <w:spacing w:line="240" w:lineRule="auto" w:before="105"/>
              <w:ind w:left="318" w:right="0"/>
              <w:jc w:val="left"/>
              <w:rPr>
                <w:rFonts w:ascii="Times New Roman" w:hAnsi="Times New Roman" w:cs="Times New Roman" w:eastAsia="Times New Roman" w:hint="default"/>
                <w:sz w:val="18"/>
                <w:szCs w:val="18"/>
              </w:rPr>
            </w:pPr>
            <w:r>
              <w:rPr>
                <w:rFonts w:ascii="Times New Roman"/>
                <w:sz w:val="18"/>
              </w:rPr>
              <w:t>60.03</w:t>
            </w:r>
          </w:p>
        </w:tc>
        <w:tc>
          <w:tcPr>
            <w:tcW w:w="76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762" w:type="dxa"/>
            <w:vMerge w:val="restart"/>
            <w:tcBorders>
              <w:top w:val="single" w:sz="4" w:space="0" w:color="000000"/>
              <w:left w:val="single" w:sz="4" w:space="0" w:color="000000"/>
              <w:right w:val="single" w:sz="4" w:space="0" w:color="000000"/>
            </w:tcBorders>
          </w:tcPr>
          <w:p>
            <w:pPr>
              <w:pStyle w:val="TableParagraph"/>
              <w:spacing w:line="240" w:lineRule="auto" w:before="91"/>
              <w:ind w:left="98" w:right="0"/>
              <w:jc w:val="left"/>
              <w:rPr>
                <w:rFonts w:ascii="Times New Roman" w:hAnsi="Times New Roman" w:cs="Times New Roman" w:eastAsia="Times New Roman" w:hint="default"/>
                <w:sz w:val="18"/>
                <w:szCs w:val="18"/>
              </w:rPr>
            </w:pPr>
            <w:r>
              <w:rPr>
                <w:rFonts w:ascii="Times New Roman"/>
                <w:sz w:val="18"/>
              </w:rPr>
              <w:t>4,263,05</w:t>
            </w:r>
          </w:p>
          <w:p>
            <w:pPr>
              <w:pStyle w:val="TableParagraph"/>
              <w:spacing w:line="240" w:lineRule="auto" w:before="105"/>
              <w:ind w:left="413" w:right="0"/>
              <w:jc w:val="left"/>
              <w:rPr>
                <w:rFonts w:ascii="Times New Roman" w:hAnsi="Times New Roman" w:cs="Times New Roman" w:eastAsia="Times New Roman" w:hint="default"/>
                <w:sz w:val="18"/>
                <w:szCs w:val="18"/>
              </w:rPr>
            </w:pPr>
            <w:r>
              <w:rPr>
                <w:rFonts w:ascii="Times New Roman"/>
                <w:sz w:val="18"/>
              </w:rPr>
              <w:t>1.68</w:t>
            </w:r>
          </w:p>
        </w:tc>
        <w:tc>
          <w:tcPr>
            <w:tcW w:w="76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65" w:right="0"/>
              <w:jc w:val="left"/>
              <w:rPr>
                <w:rFonts w:ascii="Times New Roman" w:hAnsi="Times New Roman" w:cs="Times New Roman" w:eastAsia="Times New Roman" w:hint="default"/>
                <w:sz w:val="18"/>
                <w:szCs w:val="18"/>
              </w:rPr>
            </w:pPr>
            <w:r>
              <w:rPr>
                <w:rFonts w:ascii="Times New Roman"/>
                <w:sz w:val="18"/>
              </w:rPr>
              <w:t>6.38%</w:t>
            </w:r>
          </w:p>
        </w:tc>
        <w:tc>
          <w:tcPr>
            <w:tcW w:w="790" w:type="dxa"/>
            <w:vMerge w:val="restart"/>
            <w:tcBorders>
              <w:top w:val="single" w:sz="4" w:space="0" w:color="000000"/>
              <w:left w:val="single" w:sz="4" w:space="0" w:color="000000"/>
              <w:right w:val="single" w:sz="4" w:space="0" w:color="000000"/>
            </w:tcBorders>
          </w:tcPr>
          <w:p>
            <w:pPr>
              <w:pStyle w:val="TableParagraph"/>
              <w:spacing w:line="240" w:lineRule="auto" w:before="91"/>
              <w:ind w:left="37" w:right="0"/>
              <w:jc w:val="left"/>
              <w:rPr>
                <w:rFonts w:ascii="Times New Roman" w:hAnsi="Times New Roman" w:cs="Times New Roman" w:eastAsia="Times New Roman" w:hint="default"/>
                <w:sz w:val="18"/>
                <w:szCs w:val="18"/>
              </w:rPr>
            </w:pPr>
            <w:r>
              <w:rPr>
                <w:rFonts w:ascii="Times New Roman"/>
                <w:sz w:val="18"/>
              </w:rPr>
              <w:t>62,538,70</w:t>
            </w:r>
          </w:p>
          <w:p>
            <w:pPr>
              <w:pStyle w:val="TableParagraph"/>
              <w:spacing w:line="240" w:lineRule="auto" w:before="105"/>
              <w:ind w:left="442" w:right="0"/>
              <w:jc w:val="left"/>
              <w:rPr>
                <w:rFonts w:ascii="Times New Roman" w:hAnsi="Times New Roman" w:cs="Times New Roman" w:eastAsia="Times New Roman" w:hint="default"/>
                <w:sz w:val="18"/>
                <w:szCs w:val="18"/>
              </w:rPr>
            </w:pPr>
            <w:r>
              <w:rPr>
                <w:rFonts w:ascii="Times New Roman"/>
                <w:sz w:val="18"/>
              </w:rPr>
              <w:t>8.35</w:t>
            </w:r>
          </w:p>
        </w:tc>
        <w:tc>
          <w:tcPr>
            <w:tcW w:w="654" w:type="dxa"/>
            <w:vMerge w:val="restart"/>
            <w:tcBorders>
              <w:top w:val="single" w:sz="4" w:space="0" w:color="000000"/>
              <w:left w:val="single" w:sz="4" w:space="0" w:color="000000"/>
              <w:right w:val="single" w:sz="4" w:space="0" w:color="000000"/>
            </w:tcBorders>
          </w:tcPr>
          <w:p>
            <w:pPr>
              <w:pStyle w:val="TableParagraph"/>
              <w:spacing w:line="240" w:lineRule="auto" w:before="91"/>
              <w:ind w:left="80" w:right="0"/>
              <w:jc w:val="left"/>
              <w:rPr>
                <w:rFonts w:ascii="Times New Roman" w:hAnsi="Times New Roman" w:cs="Times New Roman" w:eastAsia="Times New Roman" w:hint="default"/>
                <w:sz w:val="18"/>
                <w:szCs w:val="18"/>
              </w:rPr>
            </w:pPr>
            <w:r>
              <w:rPr>
                <w:rFonts w:ascii="Times New Roman"/>
                <w:sz w:val="18"/>
              </w:rPr>
              <w:t>60,816,</w:t>
            </w:r>
          </w:p>
          <w:p>
            <w:pPr>
              <w:pStyle w:val="TableParagraph"/>
              <w:spacing w:line="240" w:lineRule="auto" w:before="105"/>
              <w:ind w:left="126" w:right="0"/>
              <w:jc w:val="left"/>
              <w:rPr>
                <w:rFonts w:ascii="Times New Roman" w:hAnsi="Times New Roman" w:cs="Times New Roman" w:eastAsia="Times New Roman" w:hint="default"/>
                <w:sz w:val="18"/>
                <w:szCs w:val="18"/>
              </w:rPr>
            </w:pPr>
            <w:r>
              <w:rPr>
                <w:rFonts w:ascii="Times New Roman"/>
                <w:sz w:val="18"/>
              </w:rPr>
              <w:t>801.92</w:t>
            </w:r>
          </w:p>
        </w:tc>
        <w:tc>
          <w:tcPr>
            <w:tcW w:w="76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813"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3,211,617</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.89</w:t>
            </w:r>
          </w:p>
        </w:tc>
        <w:tc>
          <w:tcPr>
            <w:tcW w:w="93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35" w:right="0"/>
              <w:jc w:val="left"/>
              <w:rPr>
                <w:rFonts w:ascii="Times New Roman" w:hAnsi="Times New Roman" w:cs="Times New Roman" w:eastAsia="Times New Roman" w:hint="default"/>
                <w:sz w:val="18"/>
                <w:szCs w:val="18"/>
              </w:rPr>
            </w:pPr>
            <w:r>
              <w:rPr>
                <w:rFonts w:ascii="Times New Roman"/>
                <w:sz w:val="18"/>
              </w:rPr>
              <w:t>5.28%</w:t>
            </w:r>
          </w:p>
        </w:tc>
        <w:tc>
          <w:tcPr>
            <w:tcW w:w="932" w:type="dxa"/>
            <w:vMerge w:val="restart"/>
            <w:tcBorders>
              <w:top w:val="single" w:sz="4" w:space="0" w:color="000000"/>
              <w:left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57,605,184.</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03</w:t>
            </w:r>
          </w:p>
        </w:tc>
      </w:tr>
      <w:tr>
        <w:trPr>
          <w:trHeight w:val="392" w:hRule="exact"/>
        </w:trPr>
        <w:tc>
          <w:tcPr>
            <w:tcW w:w="162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63" w:type="dxa"/>
            <w:vMerge/>
            <w:tcBorders>
              <w:left w:val="single" w:sz="9" w:space="0" w:color="D2D2D2"/>
              <w:right w:val="single" w:sz="4" w:space="0" w:color="000000"/>
            </w:tcBorders>
          </w:tcPr>
          <w:p>
            <w:pPr/>
          </w:p>
        </w:tc>
        <w:tc>
          <w:tcPr>
            <w:tcW w:w="762" w:type="dxa"/>
            <w:vMerge/>
            <w:tcBorders>
              <w:left w:val="single" w:sz="4" w:space="0" w:color="000000"/>
              <w:right w:val="single" w:sz="4" w:space="0" w:color="000000"/>
            </w:tcBorders>
          </w:tcPr>
          <w:p>
            <w:pPr/>
          </w:p>
        </w:tc>
        <w:tc>
          <w:tcPr>
            <w:tcW w:w="762" w:type="dxa"/>
            <w:vMerge/>
            <w:tcBorders>
              <w:left w:val="single" w:sz="4" w:space="0" w:color="000000"/>
              <w:right w:val="single" w:sz="4" w:space="0" w:color="000000"/>
            </w:tcBorders>
          </w:tcPr>
          <w:p>
            <w:pPr/>
          </w:p>
        </w:tc>
        <w:tc>
          <w:tcPr>
            <w:tcW w:w="762" w:type="dxa"/>
            <w:vMerge/>
            <w:tcBorders>
              <w:left w:val="single" w:sz="4" w:space="0" w:color="000000"/>
              <w:right w:val="single" w:sz="4" w:space="0" w:color="000000"/>
            </w:tcBorders>
          </w:tcPr>
          <w:p>
            <w:pPr/>
          </w:p>
        </w:tc>
        <w:tc>
          <w:tcPr>
            <w:tcW w:w="790" w:type="dxa"/>
            <w:vMerge/>
            <w:tcBorders>
              <w:left w:val="single" w:sz="4" w:space="0" w:color="000000"/>
              <w:right w:val="single" w:sz="4" w:space="0" w:color="000000"/>
            </w:tcBorders>
          </w:tcPr>
          <w:p>
            <w:pPr/>
          </w:p>
        </w:tc>
        <w:tc>
          <w:tcPr>
            <w:tcW w:w="654" w:type="dxa"/>
            <w:vMerge/>
            <w:tcBorders>
              <w:left w:val="single" w:sz="4" w:space="0" w:color="000000"/>
              <w:right w:val="single" w:sz="4" w:space="0" w:color="000000"/>
            </w:tcBorders>
          </w:tcPr>
          <w:p>
            <w:pPr/>
          </w:p>
        </w:tc>
        <w:tc>
          <w:tcPr>
            <w:tcW w:w="762" w:type="dxa"/>
            <w:vMerge/>
            <w:tcBorders>
              <w:left w:val="single" w:sz="4" w:space="0" w:color="000000"/>
              <w:right w:val="single" w:sz="4" w:space="0" w:color="000000"/>
            </w:tcBorders>
          </w:tcPr>
          <w:p>
            <w:pPr/>
          </w:p>
        </w:tc>
        <w:tc>
          <w:tcPr>
            <w:tcW w:w="813" w:type="dxa"/>
            <w:vMerge/>
            <w:tcBorders>
              <w:left w:val="single" w:sz="4" w:space="0" w:color="000000"/>
              <w:right w:val="single" w:sz="4" w:space="0" w:color="000000"/>
            </w:tcBorders>
          </w:tcPr>
          <w:p>
            <w:pPr/>
          </w:p>
        </w:tc>
        <w:tc>
          <w:tcPr>
            <w:tcW w:w="932" w:type="dxa"/>
            <w:vMerge/>
            <w:tcBorders>
              <w:left w:val="single" w:sz="4" w:space="0" w:color="000000"/>
              <w:right w:val="single" w:sz="4" w:space="0" w:color="000000"/>
            </w:tcBorders>
          </w:tcPr>
          <w:p>
            <w:pPr/>
          </w:p>
        </w:tc>
        <w:tc>
          <w:tcPr>
            <w:tcW w:w="932" w:type="dxa"/>
            <w:vMerge/>
            <w:tcBorders>
              <w:left w:val="single" w:sz="4" w:space="0" w:color="000000"/>
              <w:right w:val="single" w:sz="4" w:space="0" w:color="000000"/>
            </w:tcBorders>
          </w:tcPr>
          <w:p>
            <w:pPr/>
          </w:p>
        </w:tc>
      </w:tr>
      <w:tr>
        <w:trPr>
          <w:trHeight w:val="161" w:hRule="exact"/>
        </w:trPr>
        <w:tc>
          <w:tcPr>
            <w:tcW w:w="1623" w:type="dxa"/>
            <w:tcBorders>
              <w:top w:val="nil" w:sz="6" w:space="0" w:color="auto"/>
              <w:left w:val="single" w:sz="4" w:space="0" w:color="000000"/>
              <w:bottom w:val="single" w:sz="4" w:space="0" w:color="000000"/>
              <w:right w:val="single" w:sz="4" w:space="0" w:color="000000"/>
            </w:tcBorders>
            <w:shd w:val="clear" w:color="auto" w:fill="D2D2D2"/>
          </w:tcPr>
          <w:p>
            <w:pPr/>
          </w:p>
        </w:tc>
        <w:tc>
          <w:tcPr>
            <w:tcW w:w="763" w:type="dxa"/>
            <w:vMerge/>
            <w:tcBorders>
              <w:left w:val="single" w:sz="9" w:space="0" w:color="D2D2D2"/>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790" w:type="dxa"/>
            <w:vMerge/>
            <w:tcBorders>
              <w:left w:val="single" w:sz="4" w:space="0" w:color="000000"/>
              <w:bottom w:val="single" w:sz="4" w:space="0" w:color="000000"/>
              <w:right w:val="single" w:sz="4" w:space="0" w:color="000000"/>
            </w:tcBorders>
          </w:tcPr>
          <w:p>
            <w:pPr/>
          </w:p>
        </w:tc>
        <w:tc>
          <w:tcPr>
            <w:tcW w:w="654" w:type="dxa"/>
            <w:vMerge/>
            <w:tcBorders>
              <w:left w:val="single" w:sz="4" w:space="0" w:color="000000"/>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813" w:type="dxa"/>
            <w:vMerge/>
            <w:tcBorders>
              <w:left w:val="single" w:sz="4" w:space="0" w:color="000000"/>
              <w:bottom w:val="single" w:sz="4" w:space="0" w:color="000000"/>
              <w:right w:val="single" w:sz="4" w:space="0" w:color="000000"/>
            </w:tcBorders>
          </w:tcPr>
          <w:p>
            <w:pPr/>
          </w:p>
        </w:tc>
        <w:tc>
          <w:tcPr>
            <w:tcW w:w="932" w:type="dxa"/>
            <w:vMerge/>
            <w:tcBorders>
              <w:left w:val="single" w:sz="4" w:space="0" w:color="000000"/>
              <w:bottom w:val="single" w:sz="4" w:space="0" w:color="000000"/>
              <w:right w:val="single" w:sz="4" w:space="0" w:color="000000"/>
            </w:tcBorders>
          </w:tcPr>
          <w:p>
            <w:pPr/>
          </w:p>
        </w:tc>
        <w:tc>
          <w:tcPr>
            <w:tcW w:w="932" w:type="dxa"/>
            <w:vMerge/>
            <w:tcBorders>
              <w:left w:val="single" w:sz="4" w:space="0" w:color="000000"/>
              <w:bottom w:val="single" w:sz="4" w:space="0" w:color="000000"/>
              <w:right w:val="single" w:sz="4" w:space="0" w:color="000000"/>
            </w:tcBorders>
          </w:tcPr>
          <w:p>
            <w:pPr/>
          </w:p>
        </w:tc>
      </w:tr>
    </w:tbl>
    <w:p>
      <w:pPr>
        <w:spacing w:after="0"/>
        <w:sectPr>
          <w:pgSz w:w="11910" w:h="16840"/>
          <w:pgMar w:header="877" w:footer="979" w:top="1060" w:bottom="1160" w:left="980" w:right="0"/>
        </w:sectPr>
      </w:pPr>
    </w:p>
    <w:p>
      <w:pPr>
        <w:spacing w:before="51"/>
        <w:ind w:left="154" w:right="-20" w:firstLine="0"/>
        <w:jc w:val="left"/>
        <w:rPr>
          <w:rFonts w:ascii="宋体" w:hAnsi="宋体" w:cs="宋体" w:eastAsia="宋体" w:hint="default"/>
          <w:sz w:val="18"/>
          <w:szCs w:val="18"/>
        </w:rPr>
      </w:pPr>
      <w:r>
        <w:rPr>
          <w:rFonts w:ascii="宋体" w:hAnsi="宋体" w:cs="宋体" w:eastAsia="宋体" w:hint="default"/>
          <w:sz w:val="18"/>
          <w:szCs w:val="18"/>
        </w:rPr>
        <w:t>期末单项金额重大并单项计提坏账准备的其他应收款：</w:t>
      </w:r>
    </w:p>
    <w:p>
      <w:pPr>
        <w:spacing w:line="338" w:lineRule="auto" w:before="117"/>
        <w:ind w:left="154" w:right="16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适用</w:t>
      </w:r>
      <w:r>
        <w:rPr>
          <w:rFonts w:ascii="Times New Roman" w:hAnsi="Times New Roman" w:cs="Times New Roman" w:eastAsia="Times New Roman" w:hint="default"/>
          <w:sz w:val="18"/>
          <w:szCs w:val="18"/>
        </w:rPr>
        <w:t>√</w:t>
      </w:r>
      <w:r>
        <w:rPr>
          <w:rFonts w:ascii="宋体" w:hAnsi="宋体" w:cs="宋体" w:eastAsia="宋体" w:hint="default"/>
          <w:sz w:val="18"/>
          <w:szCs w:val="18"/>
        </w:rPr>
        <w:t>不适用 组合中，按账龄分析法计提坏账准备的其他应收款：</w:t>
      </w:r>
    </w:p>
    <w:p>
      <w:pPr>
        <w:spacing w:before="42"/>
        <w:ind w:left="154" w:right="-2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适用</w:t>
      </w:r>
      <w:r>
        <w:rPr>
          <w:rFonts w:ascii="Times New Roman" w:hAnsi="Times New Roman" w:cs="Times New Roman" w:eastAsia="Times New Roman" w:hint="default"/>
          <w:sz w:val="18"/>
          <w:szCs w:val="18"/>
        </w:rPr>
        <w:t>□</w:t>
      </w:r>
      <w:r>
        <w:rPr>
          <w:rFonts w:ascii="宋体" w:hAnsi="宋体" w:cs="宋体" w:eastAsia="宋体" w:hint="default"/>
          <w:sz w:val="18"/>
          <w:szCs w:val="18"/>
        </w:rPr>
        <w:t>不适用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8"/>
        <w:rPr>
          <w:rFonts w:ascii="宋体" w:hAnsi="宋体" w:cs="宋体" w:eastAsia="宋体" w:hint="default"/>
          <w:sz w:val="21"/>
          <w:szCs w:val="21"/>
        </w:rPr>
      </w:pPr>
    </w:p>
    <w:p>
      <w:pPr>
        <w:spacing w:before="0"/>
        <w:ind w:left="153" w:right="0" w:firstLine="0"/>
        <w:jc w:val="left"/>
        <w:rPr>
          <w:rFonts w:ascii="宋体" w:hAnsi="宋体" w:cs="宋体" w:eastAsia="宋体" w:hint="default"/>
          <w:sz w:val="18"/>
          <w:szCs w:val="18"/>
        </w:rPr>
      </w:pPr>
      <w:r>
        <w:rPr>
          <w:rFonts w:ascii="宋体" w:hAnsi="宋体" w:cs="宋体" w:eastAsia="宋体" w:hint="default"/>
          <w:sz w:val="18"/>
          <w:szCs w:val="18"/>
        </w:rPr>
        <w:t>单位：元</w:t>
      </w:r>
    </w:p>
    <w:p>
      <w:pPr>
        <w:spacing w:after="0"/>
        <w:jc w:val="left"/>
        <w:rPr>
          <w:rFonts w:ascii="宋体" w:hAnsi="宋体" w:cs="宋体" w:eastAsia="宋体" w:hint="default"/>
          <w:sz w:val="18"/>
          <w:szCs w:val="18"/>
        </w:rPr>
        <w:sectPr>
          <w:type w:val="continuous"/>
          <w:pgSz w:w="11910" w:h="16840"/>
          <w:pgMar w:top="1060" w:bottom="1160" w:left="980" w:right="0"/>
          <w:cols w:num="2" w:equalWidth="0">
            <w:col w:w="4475" w:space="4445"/>
            <w:col w:w="2010"/>
          </w:cols>
        </w:sectPr>
      </w:pP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2392"/>
        <w:gridCol w:w="2393"/>
        <w:gridCol w:w="2392"/>
        <w:gridCol w:w="2392"/>
      </w:tblGrid>
      <w:tr>
        <w:trPr>
          <w:trHeight w:val="402" w:hRule="exact"/>
        </w:trPr>
        <w:tc>
          <w:tcPr>
            <w:tcW w:w="239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7177"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2392" w:type="dxa"/>
            <w:vMerge/>
            <w:tcBorders>
              <w:left w:val="single" w:sz="4" w:space="0" w:color="000000"/>
              <w:bottom w:val="single" w:sz="4" w:space="0" w:color="000000"/>
              <w:right w:val="single" w:sz="4" w:space="0" w:color="000000"/>
            </w:tcBorders>
            <w:shd w:val="clear" w:color="auto" w:fill="D2D2D2"/>
          </w:tcPr>
          <w:p>
            <w:pP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1"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计提比例</w:t>
            </w:r>
          </w:p>
        </w:tc>
      </w:tr>
      <w:tr>
        <w:trPr>
          <w:trHeight w:val="402" w:hRule="exact"/>
        </w:trPr>
        <w:tc>
          <w:tcPr>
            <w:tcW w:w="9569"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年以内分项</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10,063,693.92</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503,184.69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年以内小计</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10,063,693.92</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503,184.69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6,237,944.68</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623,326.04</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10.00%</w:t>
            </w:r>
          </w:p>
        </w:tc>
      </w:tr>
    </w:tbl>
    <w:p>
      <w:pPr>
        <w:spacing w:after="0" w:line="240" w:lineRule="auto"/>
        <w:jc w:val="right"/>
        <w:rPr>
          <w:rFonts w:ascii="Times New Roman" w:hAnsi="Times New Roman" w:cs="Times New Roman" w:eastAsia="Times New Roman" w:hint="default"/>
          <w:sz w:val="18"/>
          <w:szCs w:val="18"/>
        </w:rPr>
        <w:sectPr>
          <w:type w:val="continuous"/>
          <w:pgSz w:w="11910" w:h="16840"/>
          <w:pgMar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2391"/>
        <w:gridCol w:w="2394"/>
        <w:gridCol w:w="2392"/>
        <w:gridCol w:w="2392"/>
      </w:tblGrid>
      <w:tr>
        <w:trPr>
          <w:trHeight w:val="402"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1,243,577.07</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373,073.12</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30.00%</w:t>
            </w:r>
          </w:p>
        </w:tc>
      </w:tr>
      <w:tr>
        <w:trPr>
          <w:trHeight w:val="402"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3,160,315.03</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2,763,467.83</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87.44%</w:t>
            </w:r>
          </w:p>
        </w:tc>
      </w:tr>
      <w:tr>
        <w:trPr>
          <w:trHeight w:val="402"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793,694.41</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396,847.21</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50.00%</w:t>
            </w:r>
          </w:p>
        </w:tc>
      </w:tr>
      <w:tr>
        <w:trPr>
          <w:trHeight w:val="402"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765,941.03</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765,941.03</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100.00%</w:t>
            </w:r>
          </w:p>
        </w:tc>
      </w:tr>
      <w:tr>
        <w:trPr>
          <w:trHeight w:val="402"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1,600,679.59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1,600,679.59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100.00%</w:t>
            </w:r>
          </w:p>
        </w:tc>
      </w:tr>
      <w:tr>
        <w:trPr>
          <w:trHeight w:val="402"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20,705,530.70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4,263,051.68</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20.59%</w:t>
            </w:r>
          </w:p>
        </w:tc>
      </w:tr>
    </w:tbl>
    <w:p>
      <w:pPr>
        <w:spacing w:line="360" w:lineRule="auto" w:before="51"/>
        <w:ind w:left="154" w:right="6252" w:firstLine="0"/>
        <w:jc w:val="left"/>
        <w:rPr>
          <w:rFonts w:ascii="宋体" w:hAnsi="宋体" w:cs="宋体" w:eastAsia="宋体" w:hint="default"/>
          <w:sz w:val="18"/>
          <w:szCs w:val="18"/>
        </w:rPr>
      </w:pPr>
      <w:r>
        <w:rPr>
          <w:rFonts w:ascii="宋体" w:hAnsi="宋体" w:cs="宋体" w:eastAsia="宋体" w:hint="default"/>
          <w:sz w:val="18"/>
          <w:szCs w:val="18"/>
        </w:rPr>
        <w:t>确定该组合依据的说明： 组合中，采用余额百分比法计提坏账准备的其他应收款：</w:t>
      </w:r>
    </w:p>
    <w:p>
      <w:pPr>
        <w:spacing w:line="340" w:lineRule="auto" w:before="26"/>
        <w:ind w:left="154" w:right="661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适用</w:t>
      </w:r>
      <w:r>
        <w:rPr>
          <w:rFonts w:ascii="Times New Roman" w:hAnsi="Times New Roman" w:cs="Times New Roman" w:eastAsia="Times New Roman" w:hint="default"/>
          <w:sz w:val="18"/>
          <w:szCs w:val="18"/>
        </w:rPr>
        <w:t>√</w:t>
      </w:r>
      <w:r>
        <w:rPr>
          <w:rFonts w:ascii="宋体" w:hAnsi="宋体" w:cs="宋体" w:eastAsia="宋体" w:hint="default"/>
          <w:sz w:val="18"/>
          <w:szCs w:val="18"/>
        </w:rPr>
        <w:t>不适用 组合中，采用其他方法计提坏账准备的其他应收款：</w:t>
      </w:r>
    </w:p>
    <w:p>
      <w:pPr>
        <w:spacing w:before="40"/>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适用</w:t>
      </w:r>
      <w:r>
        <w:rPr>
          <w:rFonts w:ascii="Times New Roman" w:hAnsi="Times New Roman" w:cs="Times New Roman" w:eastAsia="Times New Roman" w:hint="default"/>
          <w:sz w:val="18"/>
          <w:szCs w:val="18"/>
        </w:rPr>
        <w:t>□</w:t>
      </w:r>
      <w:r>
        <w:rPr>
          <w:rFonts w:ascii="宋体" w:hAnsi="宋体" w:cs="宋体" w:eastAsia="宋体" w:hint="default"/>
          <w:sz w:val="18"/>
          <w:szCs w:val="18"/>
        </w:rPr>
        <w:t>不适用</w:t>
      </w:r>
    </w:p>
    <w:p>
      <w:pPr>
        <w:spacing w:line="240" w:lineRule="auto" w:before="4"/>
        <w:rPr>
          <w:rFonts w:ascii="宋体" w:hAnsi="宋体" w:cs="宋体" w:eastAsia="宋体" w:hint="default"/>
          <w:sz w:val="7"/>
          <w:szCs w:val="7"/>
        </w:rPr>
      </w:pPr>
    </w:p>
    <w:tbl>
      <w:tblPr>
        <w:tblW w:w="0" w:type="auto"/>
        <w:jc w:val="left"/>
        <w:tblInd w:w="755" w:type="dxa"/>
        <w:tblLayout w:type="fixed"/>
        <w:tblCellMar>
          <w:top w:w="0" w:type="dxa"/>
          <w:left w:w="0" w:type="dxa"/>
          <w:bottom w:w="0" w:type="dxa"/>
          <w:right w:w="0" w:type="dxa"/>
        </w:tblCellMar>
        <w:tblLook w:val="01E0"/>
      </w:tblPr>
      <w:tblGrid>
        <w:gridCol w:w="2112"/>
        <w:gridCol w:w="1834"/>
        <w:gridCol w:w="1834"/>
        <w:gridCol w:w="2034"/>
      </w:tblGrid>
      <w:tr>
        <w:trPr>
          <w:trHeight w:val="337" w:hRule="exact"/>
        </w:trPr>
        <w:tc>
          <w:tcPr>
            <w:tcW w:w="2112"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left="689" w:right="0"/>
              <w:jc w:val="left"/>
              <w:rPr>
                <w:rFonts w:ascii="宋体" w:hAnsi="宋体" w:cs="宋体" w:eastAsia="宋体" w:hint="default"/>
                <w:sz w:val="18"/>
                <w:szCs w:val="18"/>
              </w:rPr>
            </w:pPr>
            <w:r>
              <w:rPr>
                <w:rFonts w:ascii="宋体" w:hAnsi="宋体" w:cs="宋体" w:eastAsia="宋体" w:hint="default"/>
                <w:sz w:val="18"/>
                <w:szCs w:val="18"/>
              </w:rPr>
              <w:t>组合名称</w:t>
            </w:r>
          </w:p>
        </w:tc>
        <w:tc>
          <w:tcPr>
            <w:tcW w:w="5702" w:type="dxa"/>
            <w:gridSpan w:val="3"/>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6"/>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342" w:hRule="exact"/>
        </w:trPr>
        <w:tc>
          <w:tcPr>
            <w:tcW w:w="2112" w:type="dxa"/>
            <w:vMerge/>
            <w:tcBorders>
              <w:left w:val="single" w:sz="4" w:space="0" w:color="000000"/>
              <w:bottom w:val="single" w:sz="4" w:space="0" w:color="000000"/>
              <w:right w:val="single" w:sz="4" w:space="0" w:color="000000"/>
            </w:tcBorders>
            <w:shd w:val="clear" w:color="auto" w:fill="D9D9D9"/>
          </w:tcPr>
          <w:p>
            <w:pPr/>
          </w:p>
        </w:tc>
        <w:tc>
          <w:tcPr>
            <w:tcW w:w="183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left="460"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83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left="551"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203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left="395" w:right="0"/>
              <w:jc w:val="left"/>
              <w:rPr>
                <w:rFonts w:ascii="宋体" w:hAnsi="宋体" w:cs="宋体" w:eastAsia="宋体" w:hint="default"/>
                <w:sz w:val="18"/>
                <w:szCs w:val="18"/>
              </w:rPr>
            </w:pPr>
            <w:r>
              <w:rPr>
                <w:rFonts w:ascii="宋体" w:hAnsi="宋体" w:cs="宋体" w:eastAsia="宋体" w:hint="default"/>
                <w:sz w:val="18"/>
                <w:szCs w:val="18"/>
              </w:rPr>
              <w:t>计提比例（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r>
      <w:tr>
        <w:trPr>
          <w:trHeight w:val="342" w:hRule="exact"/>
        </w:trPr>
        <w:tc>
          <w:tcPr>
            <w:tcW w:w="211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保证金等组合</w:t>
            </w:r>
          </w:p>
        </w:tc>
        <w:tc>
          <w:tcPr>
            <w:tcW w:w="1834" w:type="dxa"/>
            <w:tcBorders>
              <w:top w:val="single" w:sz="8" w:space="0" w:color="000000"/>
              <w:left w:val="single" w:sz="6" w:space="0" w:color="000000"/>
              <w:bottom w:val="single" w:sz="4" w:space="0" w:color="000000"/>
              <w:right w:val="single" w:sz="4" w:space="0" w:color="000000"/>
            </w:tcBorders>
          </w:tcPr>
          <w:p>
            <w:pPr>
              <w:pStyle w:val="TableParagraph"/>
              <w:spacing w:line="240" w:lineRule="auto" w:before="55"/>
              <w:ind w:right="3"/>
              <w:jc w:val="right"/>
              <w:rPr>
                <w:rFonts w:ascii="Times New Roman" w:hAnsi="Times New Roman" w:cs="Times New Roman" w:eastAsia="Times New Roman" w:hint="default"/>
                <w:sz w:val="18"/>
                <w:szCs w:val="18"/>
              </w:rPr>
            </w:pPr>
            <w:r>
              <w:rPr>
                <w:rFonts w:ascii="Times New Roman"/>
                <w:spacing w:val="-1"/>
                <w:sz w:val="18"/>
              </w:rPr>
              <w:t>46,096,229.33</w:t>
            </w:r>
          </w:p>
        </w:tc>
        <w:tc>
          <w:tcPr>
            <w:tcW w:w="1834" w:type="dxa"/>
            <w:tcBorders>
              <w:top w:val="single" w:sz="8" w:space="0" w:color="000000"/>
              <w:left w:val="single" w:sz="4" w:space="0" w:color="000000"/>
              <w:bottom w:val="single" w:sz="4" w:space="0" w:color="000000"/>
              <w:right w:val="single" w:sz="4" w:space="0" w:color="000000"/>
            </w:tcBorders>
          </w:tcPr>
          <w:p>
            <w:pPr/>
          </w:p>
        </w:tc>
        <w:tc>
          <w:tcPr>
            <w:tcW w:w="2034" w:type="dxa"/>
            <w:tcBorders>
              <w:top w:val="single" w:sz="8" w:space="0" w:color="000000"/>
              <w:left w:val="single" w:sz="4" w:space="0" w:color="000000"/>
              <w:bottom w:val="single" w:sz="4" w:space="0" w:color="000000"/>
              <w:right w:val="single" w:sz="4" w:space="0" w:color="000000"/>
            </w:tcBorders>
          </w:tcPr>
          <w:p>
            <w:pPr/>
          </w:p>
        </w:tc>
      </w:tr>
      <w:tr>
        <w:trPr>
          <w:trHeight w:val="343" w:hRule="exact"/>
        </w:trPr>
        <w:tc>
          <w:tcPr>
            <w:tcW w:w="211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834"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61"/>
              <w:ind w:right="3"/>
              <w:jc w:val="right"/>
              <w:rPr>
                <w:rFonts w:ascii="Times New Roman" w:hAnsi="Times New Roman" w:cs="Times New Roman" w:eastAsia="Times New Roman" w:hint="default"/>
                <w:sz w:val="18"/>
                <w:szCs w:val="18"/>
              </w:rPr>
            </w:pPr>
            <w:r>
              <w:rPr>
                <w:rFonts w:ascii="Times New Roman"/>
                <w:spacing w:val="-1"/>
                <w:sz w:val="18"/>
              </w:rPr>
              <w:t>46,096,229.33</w:t>
            </w:r>
          </w:p>
        </w:tc>
        <w:tc>
          <w:tcPr>
            <w:tcW w:w="1834" w:type="dxa"/>
            <w:tcBorders>
              <w:top w:val="single" w:sz="4" w:space="0" w:color="000000"/>
              <w:left w:val="single" w:sz="4" w:space="0" w:color="000000"/>
              <w:bottom w:val="single" w:sz="4" w:space="0" w:color="000000"/>
              <w:right w:val="single" w:sz="4" w:space="0" w:color="000000"/>
            </w:tcBorders>
          </w:tcPr>
          <w:p>
            <w:pPr/>
          </w:p>
        </w:tc>
        <w:tc>
          <w:tcPr>
            <w:tcW w:w="2034"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5"/>
        <w:rPr>
          <w:rFonts w:ascii="宋体" w:hAnsi="宋体" w:cs="宋体" w:eastAsia="宋体" w:hint="default"/>
          <w:sz w:val="24"/>
          <w:szCs w:val="24"/>
        </w:rPr>
      </w:pPr>
    </w:p>
    <w:p>
      <w:pPr>
        <w:spacing w:before="44"/>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本期计提、收回或转回的坏账准备情况</w:t>
      </w:r>
    </w:p>
    <w:p>
      <w:pPr>
        <w:pStyle w:val="BodyText"/>
        <w:spacing w:line="240" w:lineRule="auto" w:before="155"/>
        <w:ind w:left="577" w:right="1117"/>
        <w:jc w:val="left"/>
      </w:pPr>
      <w:r>
        <w:rPr/>
        <w:t>本期计提坏账准备金额</w:t>
      </w:r>
      <w:r>
        <w:rPr>
          <w:spacing w:val="-52"/>
        </w:rPr>
        <w:t> </w:t>
      </w:r>
      <w:r>
        <w:rPr>
          <w:rFonts w:ascii="Times New Roman" w:hAnsi="Times New Roman" w:cs="Times New Roman" w:eastAsia="Times New Roman" w:hint="default"/>
        </w:rPr>
        <w:t>1,051,433.79</w:t>
      </w:r>
      <w:r>
        <w:rPr>
          <w:rFonts w:ascii="Times New Roman" w:hAnsi="Times New Roman" w:cs="Times New Roman" w:eastAsia="Times New Roman" w:hint="default"/>
          <w:spacing w:val="-1"/>
        </w:rPr>
        <w:t> </w:t>
      </w:r>
      <w:r>
        <w:rPr/>
        <w:t>元；本期收回或转回坏账准备金额元。</w:t>
      </w:r>
    </w:p>
    <w:p>
      <w:pPr>
        <w:spacing w:line="240" w:lineRule="auto" w:before="4"/>
        <w:rPr>
          <w:rFonts w:ascii="宋体" w:hAnsi="宋体" w:cs="宋体" w:eastAsia="宋体" w:hint="default"/>
          <w:sz w:val="9"/>
          <w:szCs w:val="9"/>
        </w:rPr>
      </w:pPr>
    </w:p>
    <w:p>
      <w:pPr>
        <w:spacing w:after="0" w:line="240" w:lineRule="auto"/>
        <w:rPr>
          <w:rFonts w:ascii="宋体" w:hAnsi="宋体" w:cs="宋体" w:eastAsia="宋体" w:hint="default"/>
          <w:sz w:val="9"/>
          <w:szCs w:val="9"/>
        </w:rPr>
        <w:sectPr>
          <w:pgSz w:w="11910" w:h="16840"/>
          <w:pgMar w:header="877" w:footer="979" w:top="1060" w:bottom="1160" w:left="980" w:right="0"/>
        </w:sectPr>
      </w:pPr>
    </w:p>
    <w:p>
      <w:pPr>
        <w:spacing w:line="352" w:lineRule="auto" w:before="44"/>
        <w:ind w:left="154" w:right="-20" w:firstLine="0"/>
        <w:jc w:val="left"/>
        <w:rPr>
          <w:rFonts w:ascii="宋体" w:hAnsi="宋体" w:cs="宋体" w:eastAsia="宋体" w:hint="default"/>
          <w:sz w:val="18"/>
          <w:szCs w:val="18"/>
        </w:rPr>
      </w:pPr>
      <w:r>
        <w:rPr>
          <w:rFonts w:ascii="宋体" w:hAnsi="宋体" w:cs="宋体" w:eastAsia="宋体" w:hint="default"/>
          <w:sz w:val="18"/>
          <w:szCs w:val="18"/>
        </w:rPr>
        <w:t>其中本期坏账准备转回或收回金额重要的： </w:t>
      </w:r>
      <w:r>
        <w:rPr>
          <w:rFonts w:ascii="Times New Roman" w:hAnsi="Times New Roman" w:cs="Times New Roman" w:eastAsia="Times New Roman" w:hint="default"/>
          <w:sz w:val="18"/>
          <w:szCs w:val="18"/>
        </w:rPr>
        <w:t>3)</w:t>
      </w:r>
      <w:r>
        <w:rPr>
          <w:rFonts w:ascii="宋体" w:hAnsi="宋体" w:cs="宋体" w:eastAsia="宋体" w:hint="default"/>
          <w:sz w:val="18"/>
          <w:szCs w:val="18"/>
        </w:rPr>
        <w:t>本期实际核销的其他应收款情况 其中重要的其他应收款核销情况： 其他应收款核销说明： </w:t>
      </w:r>
      <w:r>
        <w:rPr>
          <w:rFonts w:ascii="Times New Roman" w:hAnsi="Times New Roman" w:cs="Times New Roman" w:eastAsia="Times New Roman" w:hint="default"/>
          <w:sz w:val="18"/>
          <w:szCs w:val="18"/>
        </w:rPr>
        <w:t>4)</w:t>
      </w:r>
      <w:r>
        <w:rPr>
          <w:rFonts w:ascii="宋体" w:hAnsi="宋体" w:cs="宋体" w:eastAsia="宋体" w:hint="default"/>
          <w:sz w:val="18"/>
          <w:szCs w:val="18"/>
        </w:rPr>
        <w:t>其他应收款按款项性质分类情况</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before="155"/>
        <w:ind w:left="153" w:right="0" w:firstLine="0"/>
        <w:jc w:val="left"/>
        <w:rPr>
          <w:rFonts w:ascii="宋体" w:hAnsi="宋体" w:cs="宋体" w:eastAsia="宋体" w:hint="default"/>
          <w:sz w:val="18"/>
          <w:szCs w:val="18"/>
        </w:rPr>
      </w:pPr>
      <w:r>
        <w:rPr>
          <w:rFonts w:ascii="宋体" w:hAnsi="宋体" w:cs="宋体" w:eastAsia="宋体" w:hint="default"/>
          <w:sz w:val="18"/>
          <w:szCs w:val="18"/>
        </w:rPr>
        <w:t>单位：元</w:t>
      </w:r>
    </w:p>
    <w:p>
      <w:pPr>
        <w:spacing w:after="0"/>
        <w:jc w:val="left"/>
        <w:rPr>
          <w:rFonts w:ascii="宋体" w:hAnsi="宋体" w:cs="宋体" w:eastAsia="宋体" w:hint="default"/>
          <w:sz w:val="18"/>
          <w:szCs w:val="18"/>
        </w:rPr>
        <w:sectPr>
          <w:type w:val="continuous"/>
          <w:pgSz w:w="11910" w:h="16840"/>
          <w:pgMar w:top="1060" w:bottom="1160" w:left="980" w:right="0"/>
          <w:cols w:num="2" w:equalWidth="0">
            <w:col w:w="3575" w:space="5345"/>
            <w:col w:w="2010"/>
          </w:cols>
        </w:sectPr>
      </w:pP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1"/>
        <w:gridCol w:w="3191"/>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款项性质</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50" w:right="0"/>
              <w:jc w:val="left"/>
              <w:rPr>
                <w:rFonts w:ascii="宋体" w:hAnsi="宋体" w:cs="宋体" w:eastAsia="宋体" w:hint="default"/>
                <w:sz w:val="18"/>
                <w:szCs w:val="18"/>
              </w:rPr>
            </w:pPr>
            <w:r>
              <w:rPr>
                <w:rFonts w:ascii="宋体" w:hAnsi="宋体" w:cs="宋体" w:eastAsia="宋体" w:hint="default"/>
                <w:sz w:val="18"/>
                <w:szCs w:val="18"/>
              </w:rPr>
              <w:t>期末账面余额</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50" w:right="0"/>
              <w:jc w:val="left"/>
              <w:rPr>
                <w:rFonts w:ascii="宋体" w:hAnsi="宋体" w:cs="宋体" w:eastAsia="宋体" w:hint="default"/>
                <w:sz w:val="18"/>
                <w:szCs w:val="18"/>
              </w:rPr>
            </w:pPr>
            <w:r>
              <w:rPr>
                <w:rFonts w:ascii="宋体" w:hAnsi="宋体" w:cs="宋体" w:eastAsia="宋体" w:hint="default"/>
                <w:sz w:val="18"/>
                <w:szCs w:val="18"/>
              </w:rPr>
              <w:t>期初账面余额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备用金</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233,461.50</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4,511,195.41</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日常借款</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5,976,424.32</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2,208,992.05</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其他单位</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14,729,106.38</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14,630,838.34</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保证金及其他</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45,862,767.83</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39,465,776.12</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66,801,760.03</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60,816,801.92</w:t>
            </w:r>
          </w:p>
        </w:tc>
      </w:tr>
    </w:tbl>
    <w:p>
      <w:pPr>
        <w:spacing w:before="51"/>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按欠款方归集的期末余额前五名的其他应收款情况</w:t>
      </w:r>
    </w:p>
    <w:p>
      <w:pPr>
        <w:spacing w:before="103"/>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594"/>
        <w:gridCol w:w="1595"/>
        <w:gridCol w:w="1594"/>
        <w:gridCol w:w="1594"/>
        <w:gridCol w:w="1596"/>
        <w:gridCol w:w="1595"/>
      </w:tblGrid>
      <w:tr>
        <w:trPr>
          <w:trHeight w:val="714"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430"/>
              <w:jc w:val="right"/>
              <w:rPr>
                <w:rFonts w:ascii="宋体" w:hAnsi="宋体" w:cs="宋体" w:eastAsia="宋体" w:hint="default"/>
                <w:sz w:val="18"/>
                <w:szCs w:val="18"/>
              </w:rPr>
            </w:pPr>
            <w:r>
              <w:rPr>
                <w:rFonts w:ascii="宋体" w:hAnsi="宋体" w:cs="宋体" w:eastAsia="宋体" w:hint="default"/>
                <w:sz w:val="18"/>
                <w:szCs w:val="18"/>
              </w:rPr>
              <w:t>单位名称</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43" w:right="0"/>
              <w:jc w:val="left"/>
              <w:rPr>
                <w:rFonts w:ascii="宋体" w:hAnsi="宋体" w:cs="宋体" w:eastAsia="宋体" w:hint="default"/>
                <w:sz w:val="18"/>
                <w:szCs w:val="18"/>
              </w:rPr>
            </w:pPr>
            <w:r>
              <w:rPr>
                <w:rFonts w:ascii="宋体" w:hAnsi="宋体" w:cs="宋体" w:eastAsia="宋体" w:hint="default"/>
                <w:sz w:val="18"/>
                <w:szCs w:val="18"/>
              </w:rPr>
              <w:t>款项的性质</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31"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73" w:right="71"/>
              <w:jc w:val="left"/>
              <w:rPr>
                <w:rFonts w:ascii="宋体" w:hAnsi="宋体" w:cs="宋体" w:eastAsia="宋体" w:hint="default"/>
                <w:sz w:val="18"/>
                <w:szCs w:val="18"/>
              </w:rPr>
            </w:pPr>
            <w:r>
              <w:rPr>
                <w:rFonts w:ascii="宋体" w:hAnsi="宋体" w:cs="宋体" w:eastAsia="宋体" w:hint="default"/>
                <w:sz w:val="18"/>
                <w:szCs w:val="18"/>
              </w:rPr>
              <w:t>占其他应收款期末 余额合计数的比例</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71"/>
              <w:jc w:val="right"/>
              <w:rPr>
                <w:rFonts w:ascii="宋体" w:hAnsi="宋体" w:cs="宋体" w:eastAsia="宋体" w:hint="default"/>
                <w:sz w:val="18"/>
                <w:szCs w:val="18"/>
              </w:rPr>
            </w:pPr>
            <w:r>
              <w:rPr>
                <w:rFonts w:ascii="宋体" w:hAnsi="宋体" w:cs="宋体" w:eastAsia="宋体" w:hint="default"/>
                <w:sz w:val="18"/>
                <w:szCs w:val="18"/>
              </w:rPr>
              <w:t>坏账准备期末余额</w:t>
            </w: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19"/>
              <w:jc w:val="left"/>
              <w:rPr>
                <w:rFonts w:ascii="宋体" w:hAnsi="宋体" w:cs="宋体" w:eastAsia="宋体" w:hint="default"/>
                <w:sz w:val="18"/>
                <w:szCs w:val="18"/>
              </w:rPr>
            </w:pPr>
            <w:r>
              <w:rPr>
                <w:rFonts w:ascii="宋体" w:hAnsi="宋体" w:cs="宋体" w:eastAsia="宋体" w:hint="default"/>
                <w:sz w:val="18"/>
                <w:szCs w:val="18"/>
              </w:rPr>
              <w:t>郑州瑞茂通供应链 有限公司</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4,796,000.00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7.18%</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479,600.00</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479"/>
              <w:jc w:val="right"/>
              <w:rPr>
                <w:rFonts w:ascii="宋体" w:hAnsi="宋体" w:cs="宋体" w:eastAsia="宋体" w:hint="default"/>
                <w:sz w:val="18"/>
                <w:szCs w:val="18"/>
              </w:rPr>
            </w:pPr>
            <w:r>
              <w:rPr>
                <w:rFonts w:ascii="宋体" w:hAnsi="宋体" w:cs="宋体" w:eastAsia="宋体" w:hint="default"/>
                <w:sz w:val="18"/>
                <w:szCs w:val="18"/>
              </w:rPr>
              <w:t>大连理工大学</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保证金及其他</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2,344,379.66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3.51%</w:t>
            </w:r>
          </w:p>
        </w:tc>
        <w:tc>
          <w:tcPr>
            <w:tcW w:w="1595" w:type="dxa"/>
            <w:tcBorders>
              <w:top w:val="single" w:sz="4" w:space="0" w:color="000000"/>
              <w:left w:val="single" w:sz="4" w:space="0" w:color="000000"/>
              <w:bottom w:val="single" w:sz="4" w:space="0" w:color="000000"/>
              <w:right w:val="single" w:sz="4" w:space="0" w:color="000000"/>
            </w:tcBorders>
          </w:tcPr>
          <w:p>
            <w:pPr/>
          </w:p>
        </w:tc>
      </w:tr>
    </w:tbl>
    <w:p>
      <w:pPr>
        <w:spacing w:after="0"/>
        <w:sectPr>
          <w:type w:val="continuous"/>
          <w:pgSz w:w="11910" w:h="16840"/>
          <w:pgMar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594"/>
        <w:gridCol w:w="1595"/>
        <w:gridCol w:w="1594"/>
        <w:gridCol w:w="1594"/>
        <w:gridCol w:w="1596"/>
        <w:gridCol w:w="1595"/>
      </w:tblGrid>
      <w:tr>
        <w:trPr>
          <w:trHeight w:val="714"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19"/>
              <w:jc w:val="left"/>
              <w:rPr>
                <w:rFonts w:ascii="宋体" w:hAnsi="宋体" w:cs="宋体" w:eastAsia="宋体" w:hint="default"/>
                <w:sz w:val="18"/>
                <w:szCs w:val="18"/>
              </w:rPr>
            </w:pPr>
            <w:r>
              <w:rPr>
                <w:rFonts w:ascii="宋体" w:hAnsi="宋体" w:cs="宋体" w:eastAsia="宋体" w:hint="default"/>
                <w:sz w:val="18"/>
                <w:szCs w:val="18"/>
              </w:rPr>
              <w:t>甘肃工业职业技术 学院</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保证金及其他</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2,000,000.00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2.99%</w:t>
            </w:r>
          </w:p>
        </w:tc>
        <w:tc>
          <w:tcPr>
            <w:tcW w:w="159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北京中医药大学</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保证金及其他</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1,682,398.00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2.52%</w:t>
            </w:r>
          </w:p>
        </w:tc>
        <w:tc>
          <w:tcPr>
            <w:tcW w:w="159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天津大学</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保证金及其他</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1,434,320.00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2.15%</w:t>
            </w:r>
          </w:p>
        </w:tc>
        <w:tc>
          <w:tcPr>
            <w:tcW w:w="159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w:t>
            </w:r>
          </w:p>
        </w:tc>
        <w:tc>
          <w:tcPr>
            <w:tcW w:w="1594"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91"/>
              <w:ind w:right="9"/>
              <w:jc w:val="right"/>
              <w:rPr>
                <w:rFonts w:ascii="Times New Roman" w:hAnsi="Times New Roman" w:cs="Times New Roman" w:eastAsia="Times New Roman" w:hint="default"/>
                <w:sz w:val="18"/>
                <w:szCs w:val="18"/>
              </w:rPr>
            </w:pPr>
            <w:r>
              <w:rPr>
                <w:rFonts w:ascii="Times New Roman"/>
                <w:spacing w:val="-1"/>
                <w:sz w:val="18"/>
              </w:rPr>
              <w:t>12,257,097.66</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18.35%</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51" w:right="0"/>
              <w:jc w:val="left"/>
              <w:rPr>
                <w:rFonts w:ascii="Times New Roman" w:hAnsi="Times New Roman" w:cs="Times New Roman" w:eastAsia="Times New Roman" w:hint="default"/>
                <w:sz w:val="18"/>
                <w:szCs w:val="18"/>
              </w:rPr>
            </w:pPr>
            <w:r>
              <w:rPr>
                <w:rFonts w:ascii="Times New Roman"/>
                <w:sz w:val="18"/>
              </w:rPr>
              <w:t>479,600.00</w:t>
            </w:r>
          </w:p>
        </w:tc>
      </w:tr>
    </w:tbl>
    <w:p>
      <w:pPr>
        <w:spacing w:before="51"/>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涉及政府补助的应收款项</w:t>
      </w:r>
    </w:p>
    <w:p>
      <w:pPr>
        <w:spacing w:before="103"/>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7)</w:t>
      </w:r>
      <w:r>
        <w:rPr>
          <w:rFonts w:ascii="宋体" w:hAnsi="宋体" w:cs="宋体" w:eastAsia="宋体" w:hint="default"/>
          <w:sz w:val="18"/>
          <w:szCs w:val="18"/>
        </w:rPr>
        <w:t>因金融资产转移而终止确认的其他应收款</w:t>
      </w:r>
    </w:p>
    <w:p>
      <w:pPr>
        <w:spacing w:line="340" w:lineRule="auto" w:before="102"/>
        <w:ind w:left="154" w:right="664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8)</w:t>
      </w:r>
      <w:r>
        <w:rPr>
          <w:rFonts w:ascii="宋体" w:hAnsi="宋体" w:cs="宋体" w:eastAsia="宋体" w:hint="default"/>
          <w:sz w:val="18"/>
          <w:szCs w:val="18"/>
        </w:rPr>
        <w:t>转移其他应收款且继续涉入形成的资产、负债金额</w:t>
      </w:r>
      <w:r>
        <w:rPr>
          <w:rFonts w:ascii="宋体" w:hAnsi="宋体" w:cs="宋体" w:eastAsia="宋体" w:hint="default"/>
          <w:w w:val="99"/>
          <w:sz w:val="18"/>
          <w:szCs w:val="18"/>
        </w:rPr>
        <w:t> </w:t>
      </w:r>
      <w:r>
        <w:rPr>
          <w:rFonts w:ascii="宋体" w:hAnsi="宋体" w:cs="宋体" w:eastAsia="宋体" w:hint="default"/>
          <w:sz w:val="18"/>
          <w:szCs w:val="18"/>
        </w:rPr>
        <w:t>其他说明：</w:t>
      </w:r>
    </w:p>
    <w:p>
      <w:pPr>
        <w:spacing w:line="240" w:lineRule="auto" w:before="12"/>
        <w:rPr>
          <w:rFonts w:ascii="宋体" w:hAnsi="宋体" w:cs="宋体" w:eastAsia="宋体" w:hint="default"/>
          <w:sz w:val="20"/>
          <w:szCs w:val="20"/>
        </w:rPr>
      </w:pPr>
    </w:p>
    <w:p>
      <w:pPr>
        <w:pStyle w:val="Heading4"/>
        <w:spacing w:line="240" w:lineRule="auto"/>
        <w:ind w:right="1117"/>
        <w:jc w:val="left"/>
        <w:rPr>
          <w:b w:val="0"/>
          <w:bCs w:val="0"/>
        </w:rPr>
      </w:pPr>
      <w:bookmarkStart w:name="6、存货" w:id="235"/>
      <w:bookmarkEnd w:id="235"/>
      <w:r>
        <w:rPr>
          <w:b w:val="0"/>
          <w:bCs w:val="0"/>
        </w:rPr>
      </w:r>
      <w:r>
        <w:rPr>
          <w:rFonts w:ascii="Times New Roman" w:hAnsi="Times New Roman" w:cs="Times New Roman" w:eastAsia="Times New Roman" w:hint="default"/>
        </w:rPr>
        <w:t>6</w:t>
      </w:r>
      <w:r>
        <w:rPr/>
        <w:t>、存货</w:t>
      </w:r>
      <w:r>
        <w:rPr>
          <w:b w:val="0"/>
          <w:bCs w:val="0"/>
        </w:rPr>
      </w:r>
    </w:p>
    <w:p>
      <w:pPr>
        <w:spacing w:line="240" w:lineRule="auto" w:before="9"/>
        <w:rPr>
          <w:rFonts w:ascii="宋体" w:hAnsi="宋体" w:cs="宋体" w:eastAsia="宋体" w:hint="default"/>
          <w:b/>
          <w:bCs/>
          <w:sz w:val="26"/>
          <w:szCs w:val="26"/>
        </w:rPr>
      </w:pPr>
    </w:p>
    <w:p>
      <w:pPr>
        <w:spacing w:line="357" w:lineRule="auto" w:before="0"/>
        <w:ind w:left="154" w:right="7512" w:firstLine="0"/>
        <w:jc w:val="left"/>
        <w:rPr>
          <w:rFonts w:ascii="宋体" w:hAnsi="宋体" w:cs="宋体" w:eastAsia="宋体" w:hint="default"/>
          <w:sz w:val="18"/>
          <w:szCs w:val="18"/>
        </w:rPr>
      </w:pPr>
      <w:r>
        <w:rPr>
          <w:rFonts w:ascii="宋体" w:hAnsi="宋体" w:cs="宋体" w:eastAsia="宋体" w:hint="default"/>
          <w:sz w:val="18"/>
          <w:szCs w:val="18"/>
        </w:rPr>
        <w:t>公司是否需要遵守房地产行业的披露要求 否</w:t>
      </w:r>
    </w:p>
    <w:p>
      <w:pPr>
        <w:spacing w:line="240" w:lineRule="auto" w:before="13"/>
        <w:rPr>
          <w:rFonts w:ascii="宋体" w:hAnsi="宋体" w:cs="宋体" w:eastAsia="宋体" w:hint="default"/>
          <w:sz w:val="19"/>
          <w:szCs w:val="19"/>
        </w:rPr>
      </w:pPr>
    </w:p>
    <w:p>
      <w:pPr>
        <w:pStyle w:val="Heading4"/>
        <w:spacing w:line="240" w:lineRule="auto"/>
        <w:ind w:right="1117"/>
        <w:jc w:val="left"/>
        <w:rPr>
          <w:b w:val="0"/>
          <w:bCs w:val="0"/>
        </w:rPr>
      </w:pPr>
      <w:bookmarkStart w:name="（1）存货分类" w:id="236"/>
      <w:bookmarkEnd w:id="236"/>
      <w:r>
        <w:rPr>
          <w:b w:val="0"/>
          <w:bCs w:val="0"/>
        </w:rPr>
      </w:r>
      <w:r>
        <w:rPr/>
        <w:t>（</w:t>
      </w:r>
      <w:r>
        <w:rPr>
          <w:rFonts w:ascii="Times New Roman" w:hAnsi="Times New Roman" w:cs="Times New Roman" w:eastAsia="Times New Roman" w:hint="default"/>
        </w:rPr>
        <w:t>1</w:t>
      </w:r>
      <w:r>
        <w:rPr/>
        <w:t>）存货分类</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1346"/>
        <w:gridCol w:w="1379"/>
        <w:gridCol w:w="1367"/>
        <w:gridCol w:w="1367"/>
        <w:gridCol w:w="1368"/>
        <w:gridCol w:w="1367"/>
        <w:gridCol w:w="1367"/>
      </w:tblGrid>
      <w:tr>
        <w:trPr>
          <w:trHeight w:val="206" w:hRule="exact"/>
        </w:trPr>
        <w:tc>
          <w:tcPr>
            <w:tcW w:w="1346" w:type="dxa"/>
            <w:tcBorders>
              <w:top w:val="single" w:sz="4" w:space="0" w:color="000000"/>
              <w:left w:val="single" w:sz="4" w:space="0" w:color="000000"/>
              <w:bottom w:val="nil" w:sz="6" w:space="0" w:color="auto"/>
              <w:right w:val="single" w:sz="4" w:space="0" w:color="000000"/>
            </w:tcBorders>
            <w:shd w:val="clear" w:color="auto" w:fill="D2D2D2"/>
          </w:tcPr>
          <w:p>
            <w:pPr/>
          </w:p>
        </w:tc>
        <w:tc>
          <w:tcPr>
            <w:tcW w:w="4113"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1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102"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96" w:hRule="exact"/>
        </w:trPr>
        <w:tc>
          <w:tcPr>
            <w:tcW w:w="1346"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113" w:type="dxa"/>
            <w:gridSpan w:val="3"/>
            <w:vMerge/>
            <w:tcBorders>
              <w:left w:val="single" w:sz="4" w:space="0" w:color="000000"/>
              <w:bottom w:val="single" w:sz="4" w:space="0" w:color="000000"/>
              <w:right w:val="single" w:sz="4" w:space="0" w:color="000000"/>
            </w:tcBorders>
            <w:shd w:val="clear" w:color="auto" w:fill="D2D2D2"/>
          </w:tcPr>
          <w:p>
            <w:pPr/>
          </w:p>
        </w:tc>
        <w:tc>
          <w:tcPr>
            <w:tcW w:w="4102" w:type="dxa"/>
            <w:gridSpan w:val="3"/>
            <w:vMerge/>
            <w:tcBorders>
              <w:left w:val="single" w:sz="4" w:space="0" w:color="000000"/>
              <w:bottom w:val="single" w:sz="4" w:space="0" w:color="000000"/>
              <w:right w:val="single" w:sz="4" w:space="0" w:color="000000"/>
            </w:tcBorders>
            <w:shd w:val="clear" w:color="auto" w:fill="D2D2D2"/>
          </w:tcPr>
          <w:p>
            <w:pPr/>
          </w:p>
        </w:tc>
      </w:tr>
      <w:tr>
        <w:trPr>
          <w:trHeight w:val="196" w:hRule="exact"/>
        </w:trPr>
        <w:tc>
          <w:tcPr>
            <w:tcW w:w="1346" w:type="dxa"/>
            <w:vMerge/>
            <w:tcBorders>
              <w:left w:val="single" w:sz="4" w:space="0" w:color="000000"/>
              <w:bottom w:val="nil" w:sz="6" w:space="0" w:color="auto"/>
              <w:right w:val="single" w:sz="4" w:space="0" w:color="000000"/>
            </w:tcBorders>
            <w:shd w:val="clear" w:color="auto" w:fill="D2D2D2"/>
          </w:tcPr>
          <w:p>
            <w:pPr/>
          </w:p>
        </w:tc>
        <w:tc>
          <w:tcPr>
            <w:tcW w:w="137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32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318" w:right="0"/>
              <w:jc w:val="left"/>
              <w:rPr>
                <w:rFonts w:ascii="宋体" w:hAnsi="宋体" w:cs="宋体" w:eastAsia="宋体" w:hint="default"/>
                <w:sz w:val="18"/>
                <w:szCs w:val="18"/>
              </w:rPr>
            </w:pPr>
            <w:r>
              <w:rPr>
                <w:rFonts w:ascii="宋体" w:hAnsi="宋体" w:cs="宋体" w:eastAsia="宋体" w:hint="default"/>
                <w:sz w:val="18"/>
                <w:szCs w:val="18"/>
              </w:rPr>
              <w:t>跌价准备</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317"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31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318" w:right="0"/>
              <w:jc w:val="left"/>
              <w:rPr>
                <w:rFonts w:ascii="宋体" w:hAnsi="宋体" w:cs="宋体" w:eastAsia="宋体" w:hint="default"/>
                <w:sz w:val="18"/>
                <w:szCs w:val="18"/>
              </w:rPr>
            </w:pPr>
            <w:r>
              <w:rPr>
                <w:rFonts w:ascii="宋体" w:hAnsi="宋体" w:cs="宋体" w:eastAsia="宋体" w:hint="default"/>
                <w:sz w:val="18"/>
                <w:szCs w:val="18"/>
              </w:rPr>
              <w:t>跌价准备</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317"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206" w:hRule="exact"/>
        </w:trPr>
        <w:tc>
          <w:tcPr>
            <w:tcW w:w="1346" w:type="dxa"/>
            <w:tcBorders>
              <w:top w:val="nil" w:sz="6" w:space="0" w:color="auto"/>
              <w:left w:val="single" w:sz="4" w:space="0" w:color="000000"/>
              <w:bottom w:val="single" w:sz="4" w:space="0" w:color="000000"/>
              <w:right w:val="single" w:sz="4" w:space="0" w:color="000000"/>
            </w:tcBorders>
            <w:shd w:val="clear" w:color="auto" w:fill="D2D2D2"/>
          </w:tcPr>
          <w:p>
            <w:pPr/>
          </w:p>
        </w:tc>
        <w:tc>
          <w:tcPr>
            <w:tcW w:w="1379"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8"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3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137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29,104,992.71</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29,104,992.71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26,446,695.47</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26,446,695.47</w:t>
            </w:r>
          </w:p>
        </w:tc>
      </w:tr>
      <w:tr>
        <w:trPr>
          <w:trHeight w:val="402" w:hRule="exact"/>
        </w:trPr>
        <w:tc>
          <w:tcPr>
            <w:tcW w:w="13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在产品</w:t>
            </w:r>
          </w:p>
        </w:tc>
        <w:tc>
          <w:tcPr>
            <w:tcW w:w="137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5,460,245.68</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5,460,245.68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3,895,924.46</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3,895,924.46</w:t>
            </w:r>
          </w:p>
        </w:tc>
      </w:tr>
      <w:tr>
        <w:trPr>
          <w:trHeight w:val="402" w:hRule="exact"/>
        </w:trPr>
        <w:tc>
          <w:tcPr>
            <w:tcW w:w="13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库存商品</w:t>
            </w:r>
          </w:p>
        </w:tc>
        <w:tc>
          <w:tcPr>
            <w:tcW w:w="137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33,260,253.67</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33,260,253.67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28,094,853.49</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28,094,853.49</w:t>
            </w:r>
          </w:p>
        </w:tc>
      </w:tr>
      <w:tr>
        <w:trPr>
          <w:trHeight w:val="402" w:hRule="exact"/>
        </w:trPr>
        <w:tc>
          <w:tcPr>
            <w:tcW w:w="13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半成品</w:t>
            </w:r>
          </w:p>
        </w:tc>
        <w:tc>
          <w:tcPr>
            <w:tcW w:w="13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21,062,585.58</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21,062,585.58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14,727,436.28</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14,727,436.28</w:t>
            </w:r>
          </w:p>
        </w:tc>
      </w:tr>
      <w:tr>
        <w:trPr>
          <w:trHeight w:val="402" w:hRule="exact"/>
        </w:trPr>
        <w:tc>
          <w:tcPr>
            <w:tcW w:w="13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发出商品</w:t>
            </w:r>
          </w:p>
        </w:tc>
        <w:tc>
          <w:tcPr>
            <w:tcW w:w="13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145,736,220.41</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145,736,220.41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126,633,184.47</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126,633,184.47</w:t>
            </w:r>
          </w:p>
        </w:tc>
      </w:tr>
      <w:tr>
        <w:trPr>
          <w:trHeight w:val="403" w:hRule="exact"/>
        </w:trPr>
        <w:tc>
          <w:tcPr>
            <w:tcW w:w="13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7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234,624,298.05</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234,624,298.05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199,798,094.17</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199,798,094.17</w:t>
            </w:r>
          </w:p>
        </w:tc>
      </w:tr>
    </w:tbl>
    <w:p>
      <w:pPr>
        <w:spacing w:line="338" w:lineRule="auto" w:before="51"/>
        <w:ind w:left="154" w:right="2473" w:firstLine="0"/>
        <w:jc w:val="left"/>
        <w:rPr>
          <w:rFonts w:ascii="宋体" w:hAnsi="宋体" w:cs="宋体" w:eastAsia="宋体" w:hint="default"/>
          <w:sz w:val="18"/>
          <w:szCs w:val="18"/>
        </w:rPr>
      </w:pPr>
      <w:r>
        <w:rPr>
          <w:rFonts w:ascii="宋体" w:hAnsi="宋体" w:cs="宋体" w:eastAsia="宋体" w:hint="default"/>
          <w:sz w:val="18"/>
          <w:szCs w:val="18"/>
        </w:rPr>
        <w:t>公司是否需遵守《深圳证券交易所行业信息披露指引第</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w:t>
      </w:r>
      <w:r>
        <w:rPr>
          <w:rFonts w:ascii="Times New Roman" w:hAnsi="Times New Roman" w:cs="Times New Roman" w:eastAsia="Times New Roman" w:hint="default"/>
          <w:sz w:val="18"/>
          <w:szCs w:val="18"/>
        </w:rPr>
        <w:t>—</w:t>
      </w:r>
      <w:r>
        <w:rPr>
          <w:rFonts w:ascii="宋体" w:hAnsi="宋体" w:cs="宋体" w:eastAsia="宋体" w:hint="default"/>
          <w:sz w:val="18"/>
          <w:szCs w:val="18"/>
        </w:rPr>
        <w:t>上市公司从事种业、种植业务》的披露要求 否</w:t>
      </w:r>
    </w:p>
    <w:p>
      <w:pPr>
        <w:spacing w:line="338" w:lineRule="auto" w:before="43"/>
        <w:ind w:left="154" w:right="1573" w:firstLine="0"/>
        <w:jc w:val="left"/>
        <w:rPr>
          <w:rFonts w:ascii="宋体" w:hAnsi="宋体" w:cs="宋体" w:eastAsia="宋体" w:hint="default"/>
          <w:sz w:val="18"/>
          <w:szCs w:val="18"/>
        </w:rPr>
      </w:pPr>
      <w:r>
        <w:rPr>
          <w:rFonts w:ascii="宋体" w:hAnsi="宋体" w:cs="宋体" w:eastAsia="宋体" w:hint="default"/>
          <w:sz w:val="18"/>
          <w:szCs w:val="18"/>
        </w:rPr>
        <w:t>公司是否需遵守《深圳证券交易所创业板行业信息披露指引第</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w:t>
      </w:r>
      <w:r>
        <w:rPr>
          <w:rFonts w:ascii="Times New Roman" w:hAnsi="Times New Roman" w:cs="Times New Roman" w:eastAsia="Times New Roman" w:hint="default"/>
          <w:sz w:val="18"/>
          <w:szCs w:val="18"/>
        </w:rPr>
        <w:t>——</w:t>
      </w:r>
      <w:r>
        <w:rPr>
          <w:rFonts w:ascii="宋体" w:hAnsi="宋体" w:cs="宋体" w:eastAsia="宋体" w:hint="default"/>
          <w:sz w:val="18"/>
          <w:szCs w:val="18"/>
        </w:rPr>
        <w:t>上市公司从事广播电影电视业务》的披露要求 否</w:t>
      </w:r>
    </w:p>
    <w:p>
      <w:pPr>
        <w:spacing w:line="340" w:lineRule="auto" w:before="42"/>
        <w:ind w:left="154" w:right="1753" w:firstLine="0"/>
        <w:jc w:val="left"/>
        <w:rPr>
          <w:rFonts w:ascii="宋体" w:hAnsi="宋体" w:cs="宋体" w:eastAsia="宋体" w:hint="default"/>
          <w:sz w:val="18"/>
          <w:szCs w:val="18"/>
        </w:rPr>
      </w:pPr>
      <w:r>
        <w:rPr>
          <w:rFonts w:ascii="宋体" w:hAnsi="宋体" w:cs="宋体" w:eastAsia="宋体" w:hint="default"/>
          <w:sz w:val="18"/>
          <w:szCs w:val="18"/>
        </w:rPr>
        <w:t>公司是否需遵守《深圳证券交易所创业板行业信息披露指引第</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w:t>
      </w:r>
      <w:r>
        <w:rPr>
          <w:rFonts w:ascii="Times New Roman" w:hAnsi="Times New Roman" w:cs="Times New Roman" w:eastAsia="Times New Roman" w:hint="default"/>
          <w:sz w:val="18"/>
          <w:szCs w:val="18"/>
        </w:rPr>
        <w:t>——</w:t>
      </w:r>
      <w:r>
        <w:rPr>
          <w:rFonts w:ascii="宋体" w:hAnsi="宋体" w:cs="宋体" w:eastAsia="宋体" w:hint="default"/>
          <w:sz w:val="18"/>
          <w:szCs w:val="18"/>
        </w:rPr>
        <w:t>上市公司从事互联网游戏业务》的披露要求 否</w:t>
      </w:r>
    </w:p>
    <w:p>
      <w:pPr>
        <w:spacing w:line="338" w:lineRule="auto" w:before="40"/>
        <w:ind w:left="154" w:right="2751" w:firstLine="0"/>
        <w:jc w:val="left"/>
        <w:rPr>
          <w:rFonts w:ascii="宋体" w:hAnsi="宋体" w:cs="宋体" w:eastAsia="宋体" w:hint="default"/>
          <w:sz w:val="18"/>
          <w:szCs w:val="18"/>
        </w:rPr>
      </w:pPr>
      <w:r>
        <w:rPr>
          <w:rFonts w:ascii="宋体" w:hAnsi="宋体" w:cs="宋体" w:eastAsia="宋体" w:hint="default"/>
          <w:sz w:val="18"/>
          <w:szCs w:val="18"/>
        </w:rPr>
        <w:t>公司需遵守《深圳证券交易所行业信息披露指引第</w:t>
      </w:r>
      <w:r>
        <w:rPr>
          <w:rFonts w:ascii="宋体" w:hAnsi="宋体" w:cs="宋体" w:eastAsia="宋体" w:hint="default"/>
          <w:spacing w:val="-45"/>
          <w:sz w:val="18"/>
          <w:szCs w:val="18"/>
        </w:rPr>
        <w:t> </w:t>
      </w:r>
      <w:r>
        <w:rPr>
          <w:rFonts w:ascii="Times New Roman" w:hAnsi="Times New Roman" w:cs="Times New Roman" w:eastAsia="Times New Roman" w:hint="default"/>
          <w:spacing w:val="-4"/>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w:t>
      </w:r>
      <w:r>
        <w:rPr>
          <w:rFonts w:ascii="Times New Roman" w:hAnsi="Times New Roman" w:cs="Times New Roman" w:eastAsia="Times New Roman" w:hint="default"/>
          <w:sz w:val="18"/>
          <w:szCs w:val="18"/>
        </w:rPr>
        <w:t>——</w:t>
      </w:r>
      <w:r>
        <w:rPr>
          <w:rFonts w:ascii="宋体" w:hAnsi="宋体" w:cs="宋体" w:eastAsia="宋体" w:hint="default"/>
          <w:sz w:val="18"/>
          <w:szCs w:val="18"/>
        </w:rPr>
        <w:t>上市公司从事珠宝相关业务》的披露要求 否</w:t>
      </w:r>
    </w:p>
    <w:p>
      <w:pPr>
        <w:spacing w:after="0" w:line="338" w:lineRule="auto"/>
        <w:jc w:val="left"/>
        <w:rPr>
          <w:rFonts w:ascii="宋体" w:hAnsi="宋体" w:cs="宋体" w:eastAsia="宋体" w:hint="default"/>
          <w:sz w:val="18"/>
          <w:szCs w:val="18"/>
        </w:rPr>
        <w:sectPr>
          <w:pgSz w:w="11910" w:h="16840"/>
          <w:pgMar w:header="877" w:footer="979" w:top="1060" w:bottom="1160" w:left="980" w:right="0"/>
        </w:sectPr>
      </w:pPr>
    </w:p>
    <w:p>
      <w:pPr>
        <w:spacing w:line="240" w:lineRule="auto" w:before="9"/>
        <w:rPr>
          <w:rFonts w:ascii="宋体" w:hAnsi="宋体" w:cs="宋体" w:eastAsia="宋体" w:hint="default"/>
          <w:sz w:val="24"/>
          <w:szCs w:val="24"/>
        </w:rPr>
      </w:pPr>
    </w:p>
    <w:p>
      <w:pPr>
        <w:pStyle w:val="Heading4"/>
        <w:spacing w:line="240" w:lineRule="auto" w:before="35"/>
        <w:ind w:right="1117"/>
        <w:jc w:val="left"/>
        <w:rPr>
          <w:b w:val="0"/>
          <w:bCs w:val="0"/>
        </w:rPr>
      </w:pPr>
      <w:bookmarkStart w:name="（2）存货跌价准备" w:id="237"/>
      <w:bookmarkEnd w:id="237"/>
      <w:r>
        <w:rPr>
          <w:b w:val="0"/>
          <w:bCs w:val="0"/>
        </w:rPr>
      </w:r>
      <w:r>
        <w:rPr/>
        <w:t>（</w:t>
      </w:r>
      <w:r>
        <w:rPr>
          <w:rFonts w:ascii="Times New Roman" w:hAnsi="Times New Roman" w:cs="Times New Roman" w:eastAsia="Times New Roman" w:hint="default"/>
        </w:rPr>
        <w:t>2</w:t>
      </w:r>
      <w:r>
        <w:rPr/>
        <w:t>）存货跌价准备</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1117"/>
        <w:jc w:val="left"/>
        <w:rPr>
          <w:b w:val="0"/>
          <w:bCs w:val="0"/>
        </w:rPr>
      </w:pPr>
      <w:bookmarkStart w:name="（3）存货期末余额含有借款费用资本化金额的说明" w:id="238"/>
      <w:bookmarkEnd w:id="238"/>
      <w:r>
        <w:rPr>
          <w:b w:val="0"/>
          <w:bCs w:val="0"/>
        </w:rPr>
      </w:r>
      <w:r>
        <w:rPr/>
        <w:t>（</w:t>
      </w:r>
      <w:r>
        <w:rPr>
          <w:rFonts w:ascii="Times New Roman" w:hAnsi="Times New Roman" w:cs="Times New Roman" w:eastAsia="Times New Roman" w:hint="default"/>
        </w:rPr>
        <w:t>3</w:t>
      </w:r>
      <w:r>
        <w:rPr/>
        <w:t>）存货期末余额含有借款费用资本化金额的说明</w:t>
      </w:r>
      <w:r>
        <w:rPr>
          <w:b w:val="0"/>
          <w:bCs w:val="0"/>
        </w:rPr>
      </w:r>
    </w:p>
    <w:p>
      <w:pPr>
        <w:spacing w:line="240" w:lineRule="auto" w:before="9"/>
        <w:rPr>
          <w:rFonts w:ascii="宋体" w:hAnsi="宋体" w:cs="宋体" w:eastAsia="宋体" w:hint="default"/>
          <w:b/>
          <w:bCs/>
          <w:sz w:val="24"/>
          <w:szCs w:val="24"/>
        </w:rPr>
      </w:pPr>
    </w:p>
    <w:p>
      <w:pPr>
        <w:pStyle w:val="Heading4"/>
        <w:spacing w:line="240" w:lineRule="auto"/>
        <w:ind w:right="1117"/>
        <w:jc w:val="left"/>
        <w:rPr>
          <w:b w:val="0"/>
          <w:bCs w:val="0"/>
        </w:rPr>
      </w:pPr>
      <w:bookmarkStart w:name="（4）期末建造合同形成的已完工未结算资产情况" w:id="239"/>
      <w:bookmarkEnd w:id="239"/>
      <w:r>
        <w:rPr>
          <w:b w:val="0"/>
          <w:bCs w:val="0"/>
        </w:rPr>
      </w:r>
      <w:r>
        <w:rPr/>
        <w:t>（</w:t>
      </w:r>
      <w:r>
        <w:rPr>
          <w:rFonts w:ascii="Times New Roman" w:hAnsi="Times New Roman" w:cs="Times New Roman" w:eastAsia="Times New Roman" w:hint="default"/>
        </w:rPr>
        <w:t>4</w:t>
      </w:r>
      <w:r>
        <w:rPr/>
        <w:t>）期末建造合同形成的已完工未结算资产情况</w:t>
      </w:r>
      <w:r>
        <w:rPr>
          <w:b w:val="0"/>
          <w:bCs w:val="0"/>
        </w:rPr>
      </w:r>
    </w:p>
    <w:p>
      <w:pPr>
        <w:spacing w:line="240" w:lineRule="auto" w:before="8"/>
        <w:rPr>
          <w:rFonts w:ascii="宋体" w:hAnsi="宋体" w:cs="宋体" w:eastAsia="宋体" w:hint="default"/>
          <w:b/>
          <w:bCs/>
          <w:sz w:val="26"/>
          <w:szCs w:val="26"/>
        </w:rPr>
      </w:pPr>
    </w:p>
    <w:p>
      <w:pPr>
        <w:spacing w:before="0"/>
        <w:ind w:left="154" w:right="1117"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pStyle w:val="Heading4"/>
        <w:spacing w:line="240" w:lineRule="auto"/>
        <w:ind w:right="1117"/>
        <w:jc w:val="left"/>
        <w:rPr>
          <w:b w:val="0"/>
          <w:bCs w:val="0"/>
        </w:rPr>
      </w:pPr>
      <w:bookmarkStart w:name="7、其他流动资产" w:id="240"/>
      <w:bookmarkEnd w:id="240"/>
      <w:r>
        <w:rPr>
          <w:b w:val="0"/>
          <w:bCs w:val="0"/>
        </w:rPr>
      </w:r>
      <w:r>
        <w:rPr>
          <w:rFonts w:ascii="Times New Roman" w:hAnsi="Times New Roman" w:cs="Times New Roman" w:eastAsia="Times New Roman" w:hint="default"/>
        </w:rPr>
        <w:t>7</w:t>
      </w:r>
      <w:r>
        <w:rPr/>
        <w:t>、其他流动资产</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1"/>
        <w:gridCol w:w="3191"/>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理财产品</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166,000,000.00</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60,000,000.00</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待抵扣增值税进项税</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70,266.19</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85,841.15</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166,070,266.19</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60,085,841.15</w:t>
            </w:r>
          </w:p>
        </w:tc>
      </w:tr>
    </w:tbl>
    <w:p>
      <w:pPr>
        <w:spacing w:before="51"/>
        <w:ind w:left="154" w:right="1117"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pStyle w:val="Heading4"/>
        <w:spacing w:line="240" w:lineRule="auto"/>
        <w:ind w:right="1117"/>
        <w:jc w:val="left"/>
        <w:rPr>
          <w:b w:val="0"/>
          <w:bCs w:val="0"/>
        </w:rPr>
      </w:pPr>
      <w:bookmarkStart w:name="8、可供出售金融资产" w:id="241"/>
      <w:bookmarkEnd w:id="241"/>
      <w:r>
        <w:rPr>
          <w:b w:val="0"/>
          <w:bCs w:val="0"/>
        </w:rPr>
      </w:r>
      <w:r>
        <w:rPr>
          <w:rFonts w:ascii="Times New Roman" w:hAnsi="Times New Roman" w:cs="Times New Roman" w:eastAsia="Times New Roman" w:hint="default"/>
        </w:rPr>
        <w:t>8</w:t>
      </w:r>
      <w:r>
        <w:rPr/>
        <w:t>、可供出售金融资产</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1117"/>
        <w:jc w:val="left"/>
        <w:rPr>
          <w:b w:val="0"/>
          <w:bCs w:val="0"/>
        </w:rPr>
      </w:pPr>
      <w:bookmarkStart w:name="（1）可供出售金融资产情况" w:id="242"/>
      <w:bookmarkEnd w:id="242"/>
      <w:r>
        <w:rPr>
          <w:b w:val="0"/>
          <w:bCs w:val="0"/>
        </w:rPr>
      </w:r>
      <w:r>
        <w:rPr/>
        <w:t>（</w:t>
      </w:r>
      <w:r>
        <w:rPr>
          <w:rFonts w:ascii="Times New Roman" w:hAnsi="Times New Roman" w:cs="Times New Roman" w:eastAsia="Times New Roman" w:hint="default"/>
        </w:rPr>
        <w:t>1</w:t>
      </w:r>
      <w:r>
        <w:rPr/>
        <w:t>）可供出售金融资产情况</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001"/>
        <w:gridCol w:w="1195"/>
        <w:gridCol w:w="1196"/>
        <w:gridCol w:w="1196"/>
        <w:gridCol w:w="1248"/>
        <w:gridCol w:w="1367"/>
        <w:gridCol w:w="1367"/>
      </w:tblGrid>
      <w:tr>
        <w:trPr>
          <w:trHeight w:val="206" w:hRule="exact"/>
        </w:trPr>
        <w:tc>
          <w:tcPr>
            <w:tcW w:w="2001" w:type="dxa"/>
            <w:tcBorders>
              <w:top w:val="single" w:sz="4" w:space="0" w:color="000000"/>
              <w:left w:val="single" w:sz="4" w:space="0" w:color="000000"/>
              <w:bottom w:val="nil" w:sz="6" w:space="0" w:color="auto"/>
              <w:right w:val="single" w:sz="4" w:space="0" w:color="000000"/>
            </w:tcBorders>
            <w:shd w:val="clear" w:color="auto" w:fill="D2D2D2"/>
          </w:tcPr>
          <w:p>
            <w:pPr/>
          </w:p>
        </w:tc>
        <w:tc>
          <w:tcPr>
            <w:tcW w:w="3587"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982"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91" w:hRule="exact"/>
        </w:trPr>
        <w:tc>
          <w:tcPr>
            <w:tcW w:w="200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587" w:type="dxa"/>
            <w:gridSpan w:val="3"/>
            <w:vMerge/>
            <w:tcBorders>
              <w:left w:val="single" w:sz="4" w:space="0" w:color="000000"/>
              <w:bottom w:val="single" w:sz="4" w:space="0" w:color="000000"/>
              <w:right w:val="single" w:sz="4" w:space="0" w:color="000000"/>
            </w:tcBorders>
            <w:shd w:val="clear" w:color="auto" w:fill="D2D2D2"/>
          </w:tcPr>
          <w:p>
            <w:pPr/>
          </w:p>
        </w:tc>
        <w:tc>
          <w:tcPr>
            <w:tcW w:w="3982" w:type="dxa"/>
            <w:gridSpan w:val="3"/>
            <w:vMerge/>
            <w:tcBorders>
              <w:left w:val="single" w:sz="4" w:space="0" w:color="000000"/>
              <w:bottom w:val="single" w:sz="4" w:space="0" w:color="000000"/>
              <w:right w:val="single" w:sz="4" w:space="0" w:color="000000"/>
            </w:tcBorders>
            <w:shd w:val="clear" w:color="auto" w:fill="D2D2D2"/>
          </w:tcPr>
          <w:p>
            <w:pPr/>
          </w:p>
        </w:tc>
      </w:tr>
      <w:tr>
        <w:trPr>
          <w:trHeight w:val="200" w:hRule="exact"/>
        </w:trPr>
        <w:tc>
          <w:tcPr>
            <w:tcW w:w="2001" w:type="dxa"/>
            <w:vMerge/>
            <w:tcBorders>
              <w:left w:val="single" w:sz="4" w:space="0" w:color="000000"/>
              <w:bottom w:val="nil" w:sz="6" w:space="0" w:color="auto"/>
              <w:right w:val="single" w:sz="4" w:space="0" w:color="000000"/>
            </w:tcBorders>
            <w:shd w:val="clear" w:color="auto" w:fill="D2D2D2"/>
          </w:tcPr>
          <w:p>
            <w:pPr/>
          </w:p>
        </w:tc>
        <w:tc>
          <w:tcPr>
            <w:tcW w:w="119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231"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19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232"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19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232"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24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25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18"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18"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206" w:hRule="exact"/>
        </w:trPr>
        <w:tc>
          <w:tcPr>
            <w:tcW w:w="2001" w:type="dxa"/>
            <w:tcBorders>
              <w:top w:val="nil" w:sz="6" w:space="0" w:color="auto"/>
              <w:left w:val="single" w:sz="4" w:space="0" w:color="000000"/>
              <w:bottom w:val="single" w:sz="4" w:space="0" w:color="000000"/>
              <w:right w:val="single" w:sz="4" w:space="0" w:color="000000"/>
            </w:tcBorders>
            <w:shd w:val="clear" w:color="auto" w:fill="D2D2D2"/>
          </w:tcPr>
          <w:p>
            <w:pPr/>
          </w:p>
        </w:tc>
        <w:tc>
          <w:tcPr>
            <w:tcW w:w="1195" w:type="dxa"/>
            <w:vMerge/>
            <w:tcBorders>
              <w:left w:val="single" w:sz="4" w:space="0" w:color="000000"/>
              <w:bottom w:val="single" w:sz="4" w:space="0" w:color="000000"/>
              <w:right w:val="single" w:sz="4" w:space="0" w:color="000000"/>
            </w:tcBorders>
            <w:shd w:val="clear" w:color="auto" w:fill="D2D2D2"/>
          </w:tcPr>
          <w:p>
            <w:pPr/>
          </w:p>
        </w:tc>
        <w:tc>
          <w:tcPr>
            <w:tcW w:w="1196" w:type="dxa"/>
            <w:vMerge/>
            <w:tcBorders>
              <w:left w:val="single" w:sz="4" w:space="0" w:color="000000"/>
              <w:bottom w:val="single" w:sz="4" w:space="0" w:color="000000"/>
              <w:right w:val="single" w:sz="4" w:space="0" w:color="000000"/>
            </w:tcBorders>
            <w:shd w:val="clear" w:color="auto" w:fill="D2D2D2"/>
          </w:tcPr>
          <w:p>
            <w:pPr/>
          </w:p>
        </w:tc>
        <w:tc>
          <w:tcPr>
            <w:tcW w:w="1196" w:type="dxa"/>
            <w:vMerge/>
            <w:tcBorders>
              <w:left w:val="single" w:sz="4" w:space="0" w:color="000000"/>
              <w:bottom w:val="single" w:sz="4" w:space="0" w:color="000000"/>
              <w:right w:val="single" w:sz="4" w:space="0" w:color="000000"/>
            </w:tcBorders>
            <w:shd w:val="clear" w:color="auto" w:fill="D2D2D2"/>
          </w:tcPr>
          <w:p>
            <w:pPr/>
          </w:p>
        </w:tc>
        <w:tc>
          <w:tcPr>
            <w:tcW w:w="1248"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20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可供出售权益工具：</w:t>
            </w:r>
          </w:p>
        </w:tc>
        <w:tc>
          <w:tcPr>
            <w:tcW w:w="119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22,273,936.41</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4,213,936.41</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18,060,000.00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22,273,936.41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4,213,936.41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18,060,000.00</w:t>
            </w:r>
          </w:p>
        </w:tc>
      </w:tr>
      <w:tr>
        <w:trPr>
          <w:trHeight w:val="402" w:hRule="exact"/>
        </w:trPr>
        <w:tc>
          <w:tcPr>
            <w:tcW w:w="20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按成本计量的</w:t>
            </w:r>
          </w:p>
        </w:tc>
        <w:tc>
          <w:tcPr>
            <w:tcW w:w="119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22,273,936.41</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4,213,936.41</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18,060,000.00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22,273,936.41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4,213,936.41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18,060,000.00</w:t>
            </w:r>
          </w:p>
        </w:tc>
      </w:tr>
      <w:tr>
        <w:trPr>
          <w:trHeight w:val="402" w:hRule="exact"/>
        </w:trPr>
        <w:tc>
          <w:tcPr>
            <w:tcW w:w="20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19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22,273,936.41</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4,213,936.41</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18,060,000.00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22,273,936.41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4,213,936.41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18,060,000.00</w:t>
            </w:r>
          </w:p>
        </w:tc>
      </w:tr>
    </w:tbl>
    <w:p>
      <w:pPr>
        <w:spacing w:line="240" w:lineRule="auto" w:before="2"/>
        <w:rPr>
          <w:rFonts w:ascii="宋体" w:hAnsi="宋体" w:cs="宋体" w:eastAsia="宋体" w:hint="default"/>
          <w:sz w:val="19"/>
          <w:szCs w:val="19"/>
        </w:rPr>
      </w:pPr>
    </w:p>
    <w:p>
      <w:pPr>
        <w:pStyle w:val="Heading4"/>
        <w:spacing w:line="240" w:lineRule="auto" w:before="35"/>
        <w:ind w:right="1117"/>
        <w:jc w:val="left"/>
        <w:rPr>
          <w:b w:val="0"/>
          <w:bCs w:val="0"/>
        </w:rPr>
      </w:pPr>
      <w:bookmarkStart w:name="（2）期末按公允价值计量的可供出售金融资产" w:id="243"/>
      <w:bookmarkEnd w:id="243"/>
      <w:r>
        <w:rPr>
          <w:b w:val="0"/>
          <w:bCs w:val="0"/>
        </w:rPr>
      </w:r>
      <w:r>
        <w:rPr/>
        <w:t>（</w:t>
      </w:r>
      <w:r>
        <w:rPr>
          <w:rFonts w:ascii="Times New Roman" w:hAnsi="Times New Roman" w:cs="Times New Roman" w:eastAsia="Times New Roman" w:hint="default"/>
        </w:rPr>
        <w:t>2</w:t>
      </w:r>
      <w:r>
        <w:rPr/>
        <w:t>）期末按公允价值计量的可供出售金融资产</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1117"/>
        <w:jc w:val="left"/>
        <w:rPr>
          <w:b w:val="0"/>
          <w:bCs w:val="0"/>
        </w:rPr>
      </w:pPr>
      <w:bookmarkStart w:name="（3）期末按成本计量的可供出售金融资产" w:id="244"/>
      <w:bookmarkEnd w:id="244"/>
      <w:r>
        <w:rPr>
          <w:b w:val="0"/>
          <w:bCs w:val="0"/>
        </w:rPr>
      </w:r>
      <w:r>
        <w:rPr/>
        <w:t>（</w:t>
      </w:r>
      <w:r>
        <w:rPr>
          <w:rFonts w:ascii="Times New Roman" w:hAnsi="Times New Roman" w:cs="Times New Roman" w:eastAsia="Times New Roman" w:hint="default"/>
        </w:rPr>
        <w:t>3</w:t>
      </w:r>
      <w:r>
        <w:rPr/>
        <w:t>）期末按成本计量的可供出售金融资产</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863"/>
        <w:gridCol w:w="870"/>
        <w:gridCol w:w="870"/>
        <w:gridCol w:w="870"/>
        <w:gridCol w:w="870"/>
        <w:gridCol w:w="870"/>
        <w:gridCol w:w="870"/>
        <w:gridCol w:w="870"/>
        <w:gridCol w:w="870"/>
        <w:gridCol w:w="870"/>
        <w:gridCol w:w="870"/>
      </w:tblGrid>
      <w:tr>
        <w:trPr>
          <w:trHeight w:val="402" w:hRule="exact"/>
        </w:trPr>
        <w:tc>
          <w:tcPr>
            <w:tcW w:w="86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335" w:right="65" w:hanging="270"/>
              <w:jc w:val="left"/>
              <w:rPr>
                <w:rFonts w:ascii="宋体" w:hAnsi="宋体" w:cs="宋体" w:eastAsia="宋体" w:hint="default"/>
                <w:sz w:val="18"/>
                <w:szCs w:val="18"/>
              </w:rPr>
            </w:pPr>
            <w:r>
              <w:rPr>
                <w:rFonts w:ascii="宋体" w:hAnsi="宋体" w:cs="宋体" w:eastAsia="宋体" w:hint="default"/>
                <w:sz w:val="18"/>
                <w:szCs w:val="18"/>
              </w:rPr>
              <w:t>被投资单 位</w:t>
            </w:r>
          </w:p>
        </w:tc>
        <w:tc>
          <w:tcPr>
            <w:tcW w:w="3480"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3480"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减值准备</w:t>
            </w:r>
          </w:p>
        </w:tc>
        <w:tc>
          <w:tcPr>
            <w:tcW w:w="870"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1"/>
              <w:ind w:left="69" w:right="68"/>
              <w:jc w:val="center"/>
              <w:rPr>
                <w:rFonts w:ascii="宋体" w:hAnsi="宋体" w:cs="宋体" w:eastAsia="宋体" w:hint="default"/>
                <w:sz w:val="18"/>
                <w:szCs w:val="18"/>
              </w:rPr>
            </w:pPr>
            <w:r>
              <w:rPr>
                <w:rFonts w:ascii="宋体" w:hAnsi="宋体" w:cs="宋体" w:eastAsia="宋体" w:hint="default"/>
                <w:sz w:val="18"/>
                <w:szCs w:val="18"/>
              </w:rPr>
              <w:t>在被投资 单位持股 比例</w:t>
            </w:r>
          </w:p>
        </w:tc>
        <w:tc>
          <w:tcPr>
            <w:tcW w:w="87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49" w:right="68" w:hanging="180"/>
              <w:jc w:val="left"/>
              <w:rPr>
                <w:rFonts w:ascii="宋体" w:hAnsi="宋体" w:cs="宋体" w:eastAsia="宋体" w:hint="default"/>
                <w:sz w:val="18"/>
                <w:szCs w:val="18"/>
              </w:rPr>
            </w:pPr>
            <w:r>
              <w:rPr>
                <w:rFonts w:ascii="宋体" w:hAnsi="宋体" w:cs="宋体" w:eastAsia="宋体" w:hint="default"/>
                <w:sz w:val="18"/>
                <w:szCs w:val="18"/>
              </w:rPr>
              <w:t>本期现金 红利</w:t>
            </w:r>
          </w:p>
        </w:tc>
      </w:tr>
      <w:tr>
        <w:trPr>
          <w:trHeight w:val="624" w:hRule="exact"/>
        </w:trPr>
        <w:tc>
          <w:tcPr>
            <w:tcW w:w="863" w:type="dxa"/>
            <w:vMerge/>
            <w:tcBorders>
              <w:left w:val="single" w:sz="4" w:space="0" w:color="000000"/>
              <w:bottom w:val="single" w:sz="4" w:space="0" w:color="000000"/>
              <w:right w:val="single" w:sz="4" w:space="0" w:color="000000"/>
            </w:tcBorders>
            <w:shd w:val="clear" w:color="auto" w:fill="D2D2D2"/>
          </w:tcPr>
          <w:p>
            <w:pP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61"/>
              <w:ind w:left="249" w:right="0"/>
              <w:jc w:val="left"/>
              <w:rPr>
                <w:rFonts w:ascii="宋体" w:hAnsi="宋体" w:cs="宋体" w:eastAsia="宋体" w:hint="default"/>
                <w:sz w:val="18"/>
                <w:szCs w:val="18"/>
              </w:rPr>
            </w:pPr>
            <w:r>
              <w:rPr>
                <w:rFonts w:ascii="宋体" w:hAnsi="宋体" w:cs="宋体" w:eastAsia="宋体" w:hint="default"/>
                <w:sz w:val="18"/>
                <w:szCs w:val="18"/>
              </w:rPr>
              <w:t>期初</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61"/>
              <w:ind w:left="69"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61"/>
              <w:ind w:left="69"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61"/>
              <w:ind w:left="249" w:right="0"/>
              <w:jc w:val="left"/>
              <w:rPr>
                <w:rFonts w:ascii="宋体" w:hAnsi="宋体" w:cs="宋体" w:eastAsia="宋体" w:hint="default"/>
                <w:sz w:val="18"/>
                <w:szCs w:val="18"/>
              </w:rPr>
            </w:pPr>
            <w:r>
              <w:rPr>
                <w:rFonts w:ascii="宋体" w:hAnsi="宋体" w:cs="宋体" w:eastAsia="宋体" w:hint="default"/>
                <w:sz w:val="18"/>
                <w:szCs w:val="18"/>
              </w:rPr>
              <w:t>期末</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61"/>
              <w:ind w:left="249" w:right="0"/>
              <w:jc w:val="left"/>
              <w:rPr>
                <w:rFonts w:ascii="宋体" w:hAnsi="宋体" w:cs="宋体" w:eastAsia="宋体" w:hint="default"/>
                <w:sz w:val="18"/>
                <w:szCs w:val="18"/>
              </w:rPr>
            </w:pPr>
            <w:r>
              <w:rPr>
                <w:rFonts w:ascii="宋体" w:hAnsi="宋体" w:cs="宋体" w:eastAsia="宋体" w:hint="default"/>
                <w:sz w:val="18"/>
                <w:szCs w:val="18"/>
              </w:rPr>
              <w:t>期初</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61"/>
              <w:ind w:left="69"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61"/>
              <w:ind w:left="69"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61"/>
              <w:ind w:left="249" w:right="0"/>
              <w:jc w:val="left"/>
              <w:rPr>
                <w:rFonts w:ascii="宋体" w:hAnsi="宋体" w:cs="宋体" w:eastAsia="宋体" w:hint="default"/>
                <w:sz w:val="18"/>
                <w:szCs w:val="18"/>
              </w:rPr>
            </w:pPr>
            <w:r>
              <w:rPr>
                <w:rFonts w:ascii="宋体" w:hAnsi="宋体" w:cs="宋体" w:eastAsia="宋体" w:hint="default"/>
                <w:sz w:val="18"/>
                <w:szCs w:val="18"/>
              </w:rPr>
              <w:t>期末</w:t>
            </w:r>
          </w:p>
        </w:tc>
        <w:tc>
          <w:tcPr>
            <w:tcW w:w="870" w:type="dxa"/>
            <w:vMerge/>
            <w:tcBorders>
              <w:left w:val="single" w:sz="4" w:space="0" w:color="000000"/>
              <w:bottom w:val="single" w:sz="4" w:space="0" w:color="000000"/>
              <w:right w:val="single" w:sz="4" w:space="0" w:color="000000"/>
            </w:tcBorders>
            <w:shd w:val="clear" w:color="auto" w:fill="D2D2D2"/>
          </w:tcPr>
          <w:p>
            <w:pPr/>
          </w:p>
        </w:tc>
        <w:tc>
          <w:tcPr>
            <w:tcW w:w="870" w:type="dxa"/>
            <w:vMerge/>
            <w:tcBorders>
              <w:left w:val="single" w:sz="4" w:space="0" w:color="000000"/>
              <w:bottom w:val="single" w:sz="4" w:space="0" w:color="000000"/>
              <w:right w:val="single" w:sz="4" w:space="0" w:color="000000"/>
            </w:tcBorders>
            <w:shd w:val="clear" w:color="auto" w:fill="D2D2D2"/>
          </w:tcPr>
          <w:p>
            <w:pPr/>
          </w:p>
        </w:tc>
      </w:tr>
      <w:tr>
        <w:trPr>
          <w:trHeight w:val="1026" w:hRule="exact"/>
        </w:trPr>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08"/>
              <w:jc w:val="both"/>
              <w:rPr>
                <w:rFonts w:ascii="宋体" w:hAnsi="宋体" w:cs="宋体" w:eastAsia="宋体" w:hint="default"/>
                <w:sz w:val="18"/>
                <w:szCs w:val="18"/>
              </w:rPr>
            </w:pPr>
            <w:r>
              <w:rPr>
                <w:rFonts w:ascii="宋体" w:hAnsi="宋体" w:cs="宋体" w:eastAsia="宋体" w:hint="default"/>
                <w:sz w:val="18"/>
                <w:szCs w:val="18"/>
              </w:rPr>
              <w:t>上海微令 信息科技 有限公司</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2,768,953.</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07</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2,768,953.</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07</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2,768,953.</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07</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2,768,953.</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07</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71"/>
              <w:ind w:left="22" w:right="108"/>
              <w:jc w:val="left"/>
              <w:rPr>
                <w:rFonts w:ascii="宋体" w:hAnsi="宋体" w:cs="宋体" w:eastAsia="宋体" w:hint="default"/>
                <w:sz w:val="18"/>
                <w:szCs w:val="18"/>
              </w:rPr>
            </w:pPr>
            <w:r>
              <w:rPr>
                <w:rFonts w:ascii="宋体" w:hAnsi="宋体" w:cs="宋体" w:eastAsia="宋体" w:hint="default"/>
                <w:sz w:val="18"/>
                <w:szCs w:val="18"/>
              </w:rPr>
              <w:t>河南华夏 海纳创业</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18,000,000</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18,000,000</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r>
    </w:tbl>
    <w:p>
      <w:pPr>
        <w:spacing w:after="0"/>
        <w:sectPr>
          <w:footerReference w:type="default" r:id="rId44"/>
          <w:pgSz w:w="11910" w:h="16840"/>
          <w:pgMar w:footer="979" w:header="877"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863"/>
        <w:gridCol w:w="870"/>
        <w:gridCol w:w="870"/>
        <w:gridCol w:w="870"/>
        <w:gridCol w:w="870"/>
        <w:gridCol w:w="870"/>
        <w:gridCol w:w="870"/>
        <w:gridCol w:w="870"/>
        <w:gridCol w:w="870"/>
        <w:gridCol w:w="870"/>
        <w:gridCol w:w="870"/>
      </w:tblGrid>
      <w:tr>
        <w:trPr>
          <w:trHeight w:val="674" w:hRule="exact"/>
        </w:trPr>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22" w:right="108"/>
              <w:jc w:val="left"/>
              <w:rPr>
                <w:rFonts w:ascii="宋体" w:hAnsi="宋体" w:cs="宋体" w:eastAsia="宋体" w:hint="default"/>
                <w:sz w:val="18"/>
                <w:szCs w:val="18"/>
              </w:rPr>
            </w:pPr>
            <w:r>
              <w:rPr>
                <w:rFonts w:ascii="宋体" w:hAnsi="宋体" w:cs="宋体" w:eastAsia="宋体" w:hint="default"/>
                <w:sz w:val="18"/>
                <w:szCs w:val="18"/>
              </w:rPr>
              <w:t>投资集团 有限公司</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08"/>
              <w:jc w:val="both"/>
              <w:rPr>
                <w:rFonts w:ascii="宋体" w:hAnsi="宋体" w:cs="宋体" w:eastAsia="宋体" w:hint="default"/>
                <w:sz w:val="18"/>
                <w:szCs w:val="18"/>
              </w:rPr>
            </w:pPr>
            <w:r>
              <w:rPr>
                <w:rFonts w:ascii="宋体" w:hAnsi="宋体" w:cs="宋体" w:eastAsia="宋体" w:hint="default"/>
                <w:sz w:val="18"/>
                <w:szCs w:val="18"/>
              </w:rPr>
              <w:t>北京新洞 察信息服 务有限责 任公司</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116" w:right="0"/>
              <w:jc w:val="left"/>
              <w:rPr>
                <w:rFonts w:ascii="Times New Roman" w:hAnsi="Times New Roman" w:cs="Times New Roman" w:eastAsia="Times New Roman" w:hint="default"/>
                <w:sz w:val="18"/>
                <w:szCs w:val="18"/>
              </w:rPr>
            </w:pPr>
            <w:r>
              <w:rPr>
                <w:rFonts w:ascii="Times New Roman"/>
                <w:sz w:val="18"/>
              </w:rPr>
              <w:t>60,000.00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116" w:right="0"/>
              <w:jc w:val="left"/>
              <w:rPr>
                <w:rFonts w:ascii="Times New Roman" w:hAnsi="Times New Roman" w:cs="Times New Roman" w:eastAsia="Times New Roman" w:hint="default"/>
                <w:sz w:val="18"/>
                <w:szCs w:val="18"/>
              </w:rPr>
            </w:pPr>
            <w:r>
              <w:rPr>
                <w:rFonts w:ascii="Times New Roman"/>
                <w:sz w:val="18"/>
              </w:rPr>
              <w:t>60,000.00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08"/>
              <w:jc w:val="both"/>
              <w:rPr>
                <w:rFonts w:ascii="宋体" w:hAnsi="宋体" w:cs="宋体" w:eastAsia="宋体" w:hint="default"/>
                <w:sz w:val="18"/>
                <w:szCs w:val="18"/>
              </w:rPr>
            </w:pPr>
            <w:r>
              <w:rPr>
                <w:rFonts w:ascii="宋体" w:hAnsi="宋体" w:cs="宋体" w:eastAsia="宋体" w:hint="default"/>
                <w:sz w:val="18"/>
                <w:szCs w:val="18"/>
              </w:rPr>
              <w:t>凯里智慧 城市通卡 管理有限 公司</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1,444,983.</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34</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1,444,983.</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34</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1,444,983.</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34</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1,444,983.</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34</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8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22,273,936</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.41</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22,273,936</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.41</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4,213,936.</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41</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4,213,936.</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41</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w:t>
            </w:r>
          </w:p>
        </w:tc>
        <w:tc>
          <w:tcPr>
            <w:tcW w:w="870"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sz w:val="19"/>
          <w:szCs w:val="19"/>
        </w:rPr>
      </w:pPr>
    </w:p>
    <w:p>
      <w:pPr>
        <w:pStyle w:val="Heading4"/>
        <w:spacing w:line="240" w:lineRule="auto" w:before="35"/>
        <w:ind w:right="1117"/>
        <w:jc w:val="left"/>
        <w:rPr>
          <w:b w:val="0"/>
          <w:bCs w:val="0"/>
        </w:rPr>
      </w:pPr>
      <w:bookmarkStart w:name="（4）报告期内可供出售金融资产减值的变动情况" w:id="245"/>
      <w:bookmarkEnd w:id="245"/>
      <w:r>
        <w:rPr>
          <w:b w:val="0"/>
          <w:bCs w:val="0"/>
        </w:rPr>
      </w:r>
      <w:r>
        <w:rPr/>
        <w:t>（</w:t>
      </w:r>
      <w:r>
        <w:rPr>
          <w:rFonts w:ascii="Times New Roman" w:hAnsi="Times New Roman" w:cs="Times New Roman" w:eastAsia="Times New Roman" w:hint="default"/>
        </w:rPr>
        <w:t>4</w:t>
      </w:r>
      <w:r>
        <w:rPr/>
        <w:t>）报告期内可供出售金融资产减值的变动情况</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1117"/>
        <w:jc w:val="left"/>
        <w:rPr>
          <w:b w:val="0"/>
          <w:bCs w:val="0"/>
        </w:rPr>
      </w:pPr>
      <w:bookmarkStart w:name="（5）可供出售权益工具期末公允价值严重下跌或非暂时性下跌但未计提减值准备的相关说" w:id="246"/>
      <w:bookmarkEnd w:id="246"/>
      <w:r>
        <w:rPr>
          <w:b w:val="0"/>
          <w:bCs w:val="0"/>
        </w:rPr>
      </w:r>
      <w:r>
        <w:rPr/>
        <w:t>（</w:t>
      </w:r>
      <w:r>
        <w:rPr>
          <w:rFonts w:ascii="Times New Roman" w:hAnsi="Times New Roman" w:cs="Times New Roman" w:eastAsia="Times New Roman" w:hint="default"/>
        </w:rPr>
        <w:t>5</w:t>
      </w:r>
      <w:r>
        <w:rPr/>
        <w:t>）可供出售权益工具期末公允价值严重下跌或非暂时性下跌但未计提减值准备的相关说明</w:t>
      </w:r>
      <w:r>
        <w:rPr>
          <w:b w:val="0"/>
          <w:bCs w:val="0"/>
        </w:rPr>
      </w:r>
    </w:p>
    <w:p>
      <w:pPr>
        <w:spacing w:line="240" w:lineRule="auto" w:before="8"/>
        <w:rPr>
          <w:rFonts w:ascii="宋体" w:hAnsi="宋体" w:cs="宋体" w:eastAsia="宋体" w:hint="default"/>
          <w:b/>
          <w:bCs/>
          <w:sz w:val="26"/>
          <w:szCs w:val="26"/>
        </w:rPr>
      </w:pPr>
    </w:p>
    <w:p>
      <w:pPr>
        <w:spacing w:before="0"/>
        <w:ind w:left="154" w:right="1117"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0"/>
        <w:rPr>
          <w:rFonts w:ascii="宋体" w:hAnsi="宋体" w:cs="宋体" w:eastAsia="宋体" w:hint="default"/>
          <w:sz w:val="26"/>
          <w:szCs w:val="26"/>
        </w:rPr>
      </w:pPr>
    </w:p>
    <w:p>
      <w:pPr>
        <w:pStyle w:val="Heading4"/>
        <w:spacing w:line="240" w:lineRule="auto"/>
        <w:ind w:right="1117"/>
        <w:jc w:val="left"/>
        <w:rPr>
          <w:b w:val="0"/>
          <w:bCs w:val="0"/>
        </w:rPr>
      </w:pPr>
      <w:bookmarkStart w:name="9、长期股权投资" w:id="247"/>
      <w:bookmarkEnd w:id="247"/>
      <w:r>
        <w:rPr>
          <w:b w:val="0"/>
          <w:bCs w:val="0"/>
        </w:rPr>
      </w:r>
      <w:r>
        <w:rPr>
          <w:rFonts w:ascii="Times New Roman" w:hAnsi="Times New Roman" w:cs="Times New Roman" w:eastAsia="Times New Roman" w:hint="default"/>
        </w:rPr>
        <w:t>9</w:t>
      </w:r>
      <w:r>
        <w:rPr/>
        <w:t>、长期股权投资</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796"/>
        <w:gridCol w:w="798"/>
        <w:gridCol w:w="797"/>
        <w:gridCol w:w="798"/>
        <w:gridCol w:w="798"/>
        <w:gridCol w:w="798"/>
        <w:gridCol w:w="798"/>
        <w:gridCol w:w="798"/>
        <w:gridCol w:w="798"/>
        <w:gridCol w:w="798"/>
        <w:gridCol w:w="798"/>
        <w:gridCol w:w="798"/>
      </w:tblGrid>
      <w:tr>
        <w:trPr>
          <w:trHeight w:val="402" w:hRule="exact"/>
        </w:trPr>
        <w:tc>
          <w:tcPr>
            <w:tcW w:w="79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319" w:lineRule="auto"/>
              <w:ind w:left="302" w:right="33" w:hanging="270"/>
              <w:jc w:val="left"/>
              <w:rPr>
                <w:rFonts w:ascii="宋体" w:hAnsi="宋体" w:cs="宋体" w:eastAsia="宋体" w:hint="default"/>
                <w:sz w:val="18"/>
                <w:szCs w:val="18"/>
              </w:rPr>
            </w:pPr>
            <w:r>
              <w:rPr>
                <w:rFonts w:ascii="宋体" w:hAnsi="宋体" w:cs="宋体" w:eastAsia="宋体" w:hint="default"/>
                <w:sz w:val="18"/>
                <w:szCs w:val="18"/>
              </w:rPr>
              <w:t>被投资单 位</w:t>
            </w:r>
          </w:p>
        </w:tc>
        <w:tc>
          <w:tcPr>
            <w:tcW w:w="7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5"/>
                <w:szCs w:val="25"/>
              </w:rPr>
            </w:pPr>
          </w:p>
          <w:p>
            <w:pPr>
              <w:pStyle w:val="TableParagraph"/>
              <w:spacing w:line="240" w:lineRule="auto"/>
              <w:ind w:left="34"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6384" w:type="dxa"/>
            <w:gridSpan w:val="8"/>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本期增减变动</w:t>
            </w:r>
          </w:p>
        </w:tc>
        <w:tc>
          <w:tcPr>
            <w:tcW w:w="7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5"/>
                <w:szCs w:val="25"/>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7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319" w:lineRule="auto"/>
              <w:ind w:left="33" w:right="32"/>
              <w:jc w:val="left"/>
              <w:rPr>
                <w:rFonts w:ascii="宋体" w:hAnsi="宋体" w:cs="宋体" w:eastAsia="宋体" w:hint="default"/>
                <w:sz w:val="18"/>
                <w:szCs w:val="18"/>
              </w:rPr>
            </w:pPr>
            <w:r>
              <w:rPr>
                <w:rFonts w:ascii="宋体" w:hAnsi="宋体" w:cs="宋体" w:eastAsia="宋体" w:hint="default"/>
                <w:sz w:val="18"/>
                <w:szCs w:val="18"/>
              </w:rPr>
              <w:t>减值准备 期末余额</w:t>
            </w:r>
          </w:p>
        </w:tc>
      </w:tr>
      <w:tr>
        <w:trPr>
          <w:trHeight w:val="1026" w:hRule="exact"/>
        </w:trPr>
        <w:tc>
          <w:tcPr>
            <w:tcW w:w="796" w:type="dxa"/>
            <w:vMerge/>
            <w:tcBorders>
              <w:left w:val="single" w:sz="4" w:space="0" w:color="000000"/>
              <w:bottom w:val="single" w:sz="4" w:space="0" w:color="000000"/>
              <w:right w:val="single" w:sz="4" w:space="0" w:color="000000"/>
            </w:tcBorders>
            <w:shd w:val="clear" w:color="auto" w:fill="D2D2D2"/>
          </w:tcPr>
          <w:p>
            <w:pPr/>
          </w:p>
        </w:tc>
        <w:tc>
          <w:tcPr>
            <w:tcW w:w="798" w:type="dxa"/>
            <w:vMerge/>
            <w:tcBorders>
              <w:left w:val="single" w:sz="4" w:space="0" w:color="000000"/>
              <w:bottom w:val="single" w:sz="4" w:space="0" w:color="000000"/>
              <w:right w:val="single" w:sz="4" w:space="0" w:color="000000"/>
            </w:tcBorders>
            <w:shd w:val="clear" w:color="auto" w:fill="D2D2D2"/>
          </w:tcPr>
          <w:p>
            <w:pP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33" w:right="0"/>
              <w:jc w:val="left"/>
              <w:rPr>
                <w:rFonts w:ascii="宋体" w:hAnsi="宋体" w:cs="宋体" w:eastAsia="宋体" w:hint="default"/>
                <w:sz w:val="18"/>
                <w:szCs w:val="18"/>
              </w:rPr>
            </w:pPr>
            <w:r>
              <w:rPr>
                <w:rFonts w:ascii="宋体" w:hAnsi="宋体" w:cs="宋体" w:eastAsia="宋体" w:hint="default"/>
                <w:sz w:val="18"/>
                <w:szCs w:val="18"/>
              </w:rPr>
              <w:t>追加投资</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33" w:right="0"/>
              <w:jc w:val="left"/>
              <w:rPr>
                <w:rFonts w:ascii="宋体" w:hAnsi="宋体" w:cs="宋体" w:eastAsia="宋体" w:hint="default"/>
                <w:sz w:val="18"/>
                <w:szCs w:val="18"/>
              </w:rPr>
            </w:pPr>
            <w:r>
              <w:rPr>
                <w:rFonts w:ascii="宋体" w:hAnsi="宋体" w:cs="宋体" w:eastAsia="宋体" w:hint="default"/>
                <w:sz w:val="18"/>
                <w:szCs w:val="18"/>
              </w:rPr>
              <w:t>减少投资</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33" w:right="33"/>
              <w:jc w:val="both"/>
              <w:rPr>
                <w:rFonts w:ascii="宋体" w:hAnsi="宋体" w:cs="宋体" w:eastAsia="宋体" w:hint="default"/>
                <w:sz w:val="18"/>
                <w:szCs w:val="18"/>
              </w:rPr>
            </w:pPr>
            <w:r>
              <w:rPr>
                <w:rFonts w:ascii="宋体" w:hAnsi="宋体" w:cs="宋体" w:eastAsia="宋体" w:hint="default"/>
                <w:sz w:val="18"/>
                <w:szCs w:val="18"/>
              </w:rPr>
              <w:t>权益法下 确认的投 资损益</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33" w:right="32"/>
              <w:jc w:val="left"/>
              <w:rPr>
                <w:rFonts w:ascii="宋体" w:hAnsi="宋体" w:cs="宋体" w:eastAsia="宋体" w:hint="default"/>
                <w:sz w:val="18"/>
                <w:szCs w:val="18"/>
              </w:rPr>
            </w:pPr>
            <w:r>
              <w:rPr>
                <w:rFonts w:ascii="宋体" w:hAnsi="宋体" w:cs="宋体" w:eastAsia="宋体" w:hint="default"/>
                <w:sz w:val="18"/>
                <w:szCs w:val="18"/>
              </w:rPr>
              <w:t>其他综合 收益调整</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13" w:right="32" w:hanging="180"/>
              <w:jc w:val="left"/>
              <w:rPr>
                <w:rFonts w:ascii="宋体" w:hAnsi="宋体" w:cs="宋体" w:eastAsia="宋体" w:hint="default"/>
                <w:sz w:val="18"/>
                <w:szCs w:val="18"/>
              </w:rPr>
            </w:pPr>
            <w:r>
              <w:rPr>
                <w:rFonts w:ascii="宋体" w:hAnsi="宋体" w:cs="宋体" w:eastAsia="宋体" w:hint="default"/>
                <w:sz w:val="18"/>
                <w:szCs w:val="18"/>
              </w:rPr>
              <w:t>其他权益 变动</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33" w:right="32"/>
              <w:jc w:val="both"/>
              <w:rPr>
                <w:rFonts w:ascii="宋体" w:hAnsi="宋体" w:cs="宋体" w:eastAsia="宋体" w:hint="default"/>
                <w:sz w:val="18"/>
                <w:szCs w:val="18"/>
              </w:rPr>
            </w:pPr>
            <w:r>
              <w:rPr>
                <w:rFonts w:ascii="宋体" w:hAnsi="宋体" w:cs="宋体" w:eastAsia="宋体" w:hint="default"/>
                <w:sz w:val="18"/>
                <w:szCs w:val="18"/>
              </w:rPr>
              <w:t>宣告发放 现金股利 或利润</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13" w:right="33" w:hanging="180"/>
              <w:jc w:val="left"/>
              <w:rPr>
                <w:rFonts w:ascii="宋体" w:hAnsi="宋体" w:cs="宋体" w:eastAsia="宋体" w:hint="default"/>
                <w:sz w:val="18"/>
                <w:szCs w:val="18"/>
              </w:rPr>
            </w:pPr>
            <w:r>
              <w:rPr>
                <w:rFonts w:ascii="宋体" w:hAnsi="宋体" w:cs="宋体" w:eastAsia="宋体" w:hint="default"/>
                <w:sz w:val="18"/>
                <w:szCs w:val="18"/>
              </w:rPr>
              <w:t>计提减值 准备</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1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98" w:type="dxa"/>
            <w:vMerge/>
            <w:tcBorders>
              <w:left w:val="single" w:sz="4" w:space="0" w:color="000000"/>
              <w:bottom w:val="single" w:sz="4" w:space="0" w:color="000000"/>
              <w:right w:val="single" w:sz="4" w:space="0" w:color="000000"/>
            </w:tcBorders>
            <w:shd w:val="clear" w:color="auto" w:fill="D2D2D2"/>
          </w:tcPr>
          <w:p>
            <w:pPr/>
          </w:p>
        </w:tc>
        <w:tc>
          <w:tcPr>
            <w:tcW w:w="798"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9574"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一、合营企业</w:t>
            </w:r>
          </w:p>
        </w:tc>
      </w:tr>
      <w:tr>
        <w:trPr>
          <w:trHeight w:val="402" w:hRule="exact"/>
        </w:trPr>
        <w:tc>
          <w:tcPr>
            <w:tcW w:w="9574"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二、联营企业</w:t>
            </w:r>
          </w:p>
        </w:tc>
      </w:tr>
      <w:tr>
        <w:trPr>
          <w:trHeight w:val="1026" w:hRule="exact"/>
        </w:trPr>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41"/>
              <w:jc w:val="both"/>
              <w:rPr>
                <w:rFonts w:ascii="宋体" w:hAnsi="宋体" w:cs="宋体" w:eastAsia="宋体" w:hint="default"/>
                <w:sz w:val="18"/>
                <w:szCs w:val="18"/>
              </w:rPr>
            </w:pPr>
            <w:r>
              <w:rPr>
                <w:rFonts w:ascii="宋体" w:hAnsi="宋体" w:cs="宋体" w:eastAsia="宋体" w:hint="default"/>
                <w:sz w:val="18"/>
                <w:szCs w:val="18"/>
              </w:rPr>
              <w:t>成都兰途 网络科技 有限公司</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7,986,518</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.92</w:t>
            </w: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w w:val="95"/>
                <w:sz w:val="18"/>
              </w:rPr>
              <w:t>-337,375.</w:t>
            </w:r>
            <w:r>
              <w:rPr>
                <w:rFonts w:ascii="Times New Roman"/>
                <w:sz w:val="18"/>
              </w:rPr>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34</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7,649,143</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.58</w:t>
            </w: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1650" w:hRule="exact"/>
        </w:trPr>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41"/>
              <w:jc w:val="both"/>
              <w:rPr>
                <w:rFonts w:ascii="宋体" w:hAnsi="宋体" w:cs="宋体" w:eastAsia="宋体" w:hint="default"/>
                <w:sz w:val="18"/>
                <w:szCs w:val="18"/>
              </w:rPr>
            </w:pPr>
            <w:r>
              <w:rPr>
                <w:rFonts w:ascii="宋体" w:hAnsi="宋体" w:cs="宋体" w:eastAsia="宋体" w:hint="default"/>
                <w:sz w:val="18"/>
                <w:szCs w:val="18"/>
              </w:rPr>
              <w:t>嘉兴丹诚 开普股权 投资合伙 企业（有 限合伙）</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23,539,24</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5.77</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44" w:right="0"/>
              <w:jc w:val="left"/>
              <w:rPr>
                <w:rFonts w:ascii="Times New Roman" w:hAnsi="Times New Roman" w:cs="Times New Roman" w:eastAsia="Times New Roman" w:hint="default"/>
                <w:sz w:val="18"/>
                <w:szCs w:val="18"/>
              </w:rPr>
            </w:pPr>
            <w:r>
              <w:rPr>
                <w:rFonts w:ascii="Times New Roman"/>
                <w:sz w:val="18"/>
              </w:rPr>
              <w:t>12,472,00</w:t>
            </w:r>
          </w:p>
          <w:p>
            <w:pPr>
              <w:pStyle w:val="TableParagraph"/>
              <w:spacing w:line="240" w:lineRule="auto" w:before="105"/>
              <w:ind w:left="450" w:right="0"/>
              <w:jc w:val="left"/>
              <w:rPr>
                <w:rFonts w:ascii="Times New Roman" w:hAnsi="Times New Roman" w:cs="Times New Roman" w:eastAsia="Times New Roman" w:hint="default"/>
                <w:sz w:val="18"/>
                <w:szCs w:val="18"/>
              </w:rPr>
            </w:pPr>
            <w:r>
              <w:rPr>
                <w:rFonts w:ascii="Times New Roman"/>
                <w:sz w:val="18"/>
              </w:rPr>
              <w:t>0.00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1,472,156</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.13</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44" w:right="0"/>
              <w:jc w:val="left"/>
              <w:rPr>
                <w:rFonts w:ascii="Times New Roman" w:hAnsi="Times New Roman" w:cs="Times New Roman" w:eastAsia="Times New Roman" w:hint="default"/>
                <w:sz w:val="18"/>
                <w:szCs w:val="18"/>
              </w:rPr>
            </w:pPr>
            <w:r>
              <w:rPr>
                <w:rFonts w:ascii="Times New Roman"/>
                <w:sz w:val="18"/>
              </w:rPr>
              <w:t>37,483,40</w:t>
            </w:r>
          </w:p>
          <w:p>
            <w:pPr>
              <w:pStyle w:val="TableParagraph"/>
              <w:spacing w:line="240" w:lineRule="auto" w:before="105"/>
              <w:ind w:left="450" w:right="0"/>
              <w:jc w:val="left"/>
              <w:rPr>
                <w:rFonts w:ascii="Times New Roman" w:hAnsi="Times New Roman" w:cs="Times New Roman" w:eastAsia="Times New Roman" w:hint="default"/>
                <w:sz w:val="18"/>
                <w:szCs w:val="18"/>
              </w:rPr>
            </w:pPr>
            <w:r>
              <w:rPr>
                <w:rFonts w:ascii="Times New Roman"/>
                <w:sz w:val="18"/>
              </w:rPr>
              <w:t>1.90</w:t>
            </w: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41"/>
              <w:jc w:val="both"/>
              <w:rPr>
                <w:rFonts w:ascii="宋体" w:hAnsi="宋体" w:cs="宋体" w:eastAsia="宋体" w:hint="default"/>
                <w:sz w:val="18"/>
                <w:szCs w:val="18"/>
              </w:rPr>
            </w:pPr>
            <w:r>
              <w:rPr>
                <w:rFonts w:ascii="宋体" w:hAnsi="宋体" w:cs="宋体" w:eastAsia="宋体" w:hint="default"/>
                <w:sz w:val="18"/>
                <w:szCs w:val="18"/>
              </w:rPr>
              <w:t>北京乐智 科技有限 公司</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3,725,512</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.37</w:t>
            </w: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w w:val="95"/>
                <w:sz w:val="18"/>
              </w:rPr>
              <w:t>-12,475.9</w:t>
            </w:r>
            <w:r>
              <w:rPr>
                <w:rFonts w:ascii="Times New Roman"/>
                <w:sz w:val="18"/>
              </w:rPr>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3</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3,713,036</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.44</w:t>
            </w: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71"/>
              <w:ind w:left="22" w:right="41"/>
              <w:jc w:val="left"/>
              <w:rPr>
                <w:rFonts w:ascii="宋体" w:hAnsi="宋体" w:cs="宋体" w:eastAsia="宋体" w:hint="default"/>
                <w:sz w:val="18"/>
                <w:szCs w:val="18"/>
              </w:rPr>
            </w:pPr>
            <w:r>
              <w:rPr>
                <w:rFonts w:ascii="宋体" w:hAnsi="宋体" w:cs="宋体" w:eastAsia="宋体" w:hint="default"/>
                <w:sz w:val="18"/>
                <w:szCs w:val="18"/>
              </w:rPr>
              <w:t>北京希嘉 创智教育</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5" w:right="0"/>
              <w:jc w:val="left"/>
              <w:rPr>
                <w:rFonts w:ascii="Times New Roman" w:hAnsi="Times New Roman" w:cs="Times New Roman" w:eastAsia="Times New Roman" w:hint="default"/>
                <w:sz w:val="18"/>
                <w:szCs w:val="18"/>
              </w:rPr>
            </w:pPr>
            <w:r>
              <w:rPr>
                <w:rFonts w:ascii="Times New Roman"/>
                <w:sz w:val="18"/>
              </w:rPr>
              <w:t>25,501,48</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9.34</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4" w:right="0"/>
              <w:jc w:val="left"/>
              <w:rPr>
                <w:rFonts w:ascii="Times New Roman" w:hAnsi="Times New Roman" w:cs="Times New Roman" w:eastAsia="Times New Roman" w:hint="default"/>
                <w:sz w:val="18"/>
                <w:szCs w:val="18"/>
              </w:rPr>
            </w:pPr>
            <w:r>
              <w:rPr>
                <w:rFonts w:ascii="Times New Roman"/>
                <w:sz w:val="18"/>
              </w:rPr>
              <w:t>12,000,00</w:t>
            </w:r>
          </w:p>
          <w:p>
            <w:pPr>
              <w:pStyle w:val="TableParagraph"/>
              <w:spacing w:line="240" w:lineRule="auto" w:before="105"/>
              <w:ind w:left="450" w:right="0"/>
              <w:jc w:val="left"/>
              <w:rPr>
                <w:rFonts w:ascii="Times New Roman" w:hAnsi="Times New Roman" w:cs="Times New Roman" w:eastAsia="Times New Roman" w:hint="default"/>
                <w:sz w:val="18"/>
                <w:szCs w:val="18"/>
              </w:rPr>
            </w:pPr>
            <w:r>
              <w:rPr>
                <w:rFonts w:ascii="Times New Roman"/>
                <w:sz w:val="18"/>
              </w:rPr>
              <w:t>0.00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1,626,678</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.43</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4" w:right="0"/>
              <w:jc w:val="left"/>
              <w:rPr>
                <w:rFonts w:ascii="Times New Roman" w:hAnsi="Times New Roman" w:cs="Times New Roman" w:eastAsia="Times New Roman" w:hint="default"/>
                <w:sz w:val="18"/>
                <w:szCs w:val="18"/>
              </w:rPr>
            </w:pPr>
            <w:r>
              <w:rPr>
                <w:rFonts w:ascii="Times New Roman"/>
                <w:sz w:val="18"/>
              </w:rPr>
              <w:t>39,128,16</w:t>
            </w:r>
          </w:p>
          <w:p>
            <w:pPr>
              <w:pStyle w:val="TableParagraph"/>
              <w:spacing w:line="240" w:lineRule="auto" w:before="105"/>
              <w:ind w:left="450" w:right="0"/>
              <w:jc w:val="left"/>
              <w:rPr>
                <w:rFonts w:ascii="Times New Roman" w:hAnsi="Times New Roman" w:cs="Times New Roman" w:eastAsia="Times New Roman" w:hint="default"/>
                <w:sz w:val="18"/>
                <w:szCs w:val="18"/>
              </w:rPr>
            </w:pPr>
            <w:r>
              <w:rPr>
                <w:rFonts w:ascii="Times New Roman"/>
                <w:sz w:val="18"/>
              </w:rPr>
              <w:t>7.77</w:t>
            </w:r>
          </w:p>
        </w:tc>
        <w:tc>
          <w:tcPr>
            <w:tcW w:w="798" w:type="dxa"/>
            <w:tcBorders>
              <w:top w:val="single" w:sz="4" w:space="0" w:color="000000"/>
              <w:left w:val="single" w:sz="4" w:space="0" w:color="000000"/>
              <w:bottom w:val="single" w:sz="4" w:space="0" w:color="000000"/>
              <w:right w:val="single" w:sz="4" w:space="0" w:color="000000"/>
            </w:tcBorders>
          </w:tcPr>
          <w:p>
            <w:pPr/>
          </w:p>
        </w:tc>
      </w:tr>
    </w:tbl>
    <w:p>
      <w:pPr>
        <w:spacing w:after="0"/>
        <w:sectPr>
          <w:footerReference w:type="default" r:id="rId45"/>
          <w:pgSz w:w="11910" w:h="16840"/>
          <w:pgMar w:footer="979" w:header="877" w:top="1060" w:bottom="1160" w:left="980" w:right="0"/>
          <w:pgNumType w:start="201"/>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796"/>
        <w:gridCol w:w="798"/>
        <w:gridCol w:w="797"/>
        <w:gridCol w:w="798"/>
        <w:gridCol w:w="798"/>
        <w:gridCol w:w="798"/>
        <w:gridCol w:w="798"/>
        <w:gridCol w:w="798"/>
        <w:gridCol w:w="798"/>
        <w:gridCol w:w="798"/>
        <w:gridCol w:w="798"/>
        <w:gridCol w:w="798"/>
      </w:tblGrid>
      <w:tr>
        <w:trPr>
          <w:trHeight w:val="674" w:hRule="exact"/>
        </w:trPr>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22" w:right="41"/>
              <w:jc w:val="left"/>
              <w:rPr>
                <w:rFonts w:ascii="宋体" w:hAnsi="宋体" w:cs="宋体" w:eastAsia="宋体" w:hint="default"/>
                <w:sz w:val="18"/>
                <w:szCs w:val="18"/>
              </w:rPr>
            </w:pPr>
            <w:r>
              <w:rPr>
                <w:rFonts w:ascii="宋体" w:hAnsi="宋体" w:cs="宋体" w:eastAsia="宋体" w:hint="default"/>
                <w:sz w:val="18"/>
                <w:szCs w:val="18"/>
              </w:rPr>
              <w:t>科技有限 公司</w:t>
            </w: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7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60,752,76</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6.40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24,472,00</w:t>
            </w:r>
          </w:p>
          <w:p>
            <w:pPr>
              <w:pStyle w:val="TableParagraph"/>
              <w:spacing w:line="240" w:lineRule="auto" w:before="105"/>
              <w:ind w:left="450" w:right="0"/>
              <w:jc w:val="left"/>
              <w:rPr>
                <w:rFonts w:ascii="Times New Roman" w:hAnsi="Times New Roman" w:cs="Times New Roman" w:eastAsia="Times New Roman" w:hint="default"/>
                <w:sz w:val="18"/>
                <w:szCs w:val="18"/>
              </w:rPr>
            </w:pPr>
            <w:r>
              <w:rPr>
                <w:rFonts w:ascii="Times New Roman"/>
                <w:sz w:val="18"/>
              </w:rPr>
              <w:t>0.00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2,748,983</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.29</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87,973,74</w:t>
            </w:r>
          </w:p>
          <w:p>
            <w:pPr>
              <w:pStyle w:val="TableParagraph"/>
              <w:spacing w:line="240" w:lineRule="auto" w:before="105"/>
              <w:ind w:left="450" w:right="0"/>
              <w:jc w:val="left"/>
              <w:rPr>
                <w:rFonts w:ascii="Times New Roman" w:hAnsi="Times New Roman" w:cs="Times New Roman" w:eastAsia="Times New Roman" w:hint="default"/>
                <w:sz w:val="18"/>
                <w:szCs w:val="18"/>
              </w:rPr>
            </w:pPr>
            <w:r>
              <w:rPr>
                <w:rFonts w:ascii="Times New Roman"/>
                <w:sz w:val="18"/>
              </w:rPr>
              <w:t>9.69</w:t>
            </w: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7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60,752,76</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6.40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24,472,00</w:t>
            </w:r>
          </w:p>
          <w:p>
            <w:pPr>
              <w:pStyle w:val="TableParagraph"/>
              <w:spacing w:line="240" w:lineRule="auto" w:before="105"/>
              <w:ind w:left="450" w:right="0"/>
              <w:jc w:val="left"/>
              <w:rPr>
                <w:rFonts w:ascii="Times New Roman" w:hAnsi="Times New Roman" w:cs="Times New Roman" w:eastAsia="Times New Roman" w:hint="default"/>
                <w:sz w:val="18"/>
                <w:szCs w:val="18"/>
              </w:rPr>
            </w:pPr>
            <w:r>
              <w:rPr>
                <w:rFonts w:ascii="Times New Roman"/>
                <w:sz w:val="18"/>
              </w:rPr>
              <w:t>0.00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2,748,983</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.29</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87,973,74</w:t>
            </w:r>
          </w:p>
          <w:p>
            <w:pPr>
              <w:pStyle w:val="TableParagraph"/>
              <w:spacing w:line="240" w:lineRule="auto" w:before="105"/>
              <w:ind w:left="450" w:right="0"/>
              <w:jc w:val="left"/>
              <w:rPr>
                <w:rFonts w:ascii="Times New Roman" w:hAnsi="Times New Roman" w:cs="Times New Roman" w:eastAsia="Times New Roman" w:hint="default"/>
                <w:sz w:val="18"/>
                <w:szCs w:val="18"/>
              </w:rPr>
            </w:pPr>
            <w:r>
              <w:rPr>
                <w:rFonts w:ascii="Times New Roman"/>
                <w:sz w:val="18"/>
              </w:rPr>
              <w:t>9.69</w:t>
            </w:r>
          </w:p>
        </w:tc>
        <w:tc>
          <w:tcPr>
            <w:tcW w:w="798" w:type="dxa"/>
            <w:tcBorders>
              <w:top w:val="single" w:sz="4" w:space="0" w:color="000000"/>
              <w:left w:val="single" w:sz="4" w:space="0" w:color="000000"/>
              <w:bottom w:val="single" w:sz="4" w:space="0" w:color="000000"/>
              <w:right w:val="single" w:sz="4" w:space="0" w:color="000000"/>
            </w:tcBorders>
          </w:tcPr>
          <w:p>
            <w:pPr/>
          </w:p>
        </w:tc>
      </w:tr>
    </w:tbl>
    <w:p>
      <w:pPr>
        <w:spacing w:before="51"/>
        <w:ind w:left="154" w:right="1117"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pStyle w:val="Heading4"/>
        <w:spacing w:line="240" w:lineRule="auto"/>
        <w:ind w:right="1117"/>
        <w:jc w:val="left"/>
        <w:rPr>
          <w:b w:val="0"/>
          <w:bCs w:val="0"/>
        </w:rPr>
      </w:pPr>
      <w:bookmarkStart w:name="10、投资性房地产" w:id="248"/>
      <w:bookmarkEnd w:id="248"/>
      <w:r>
        <w:rPr>
          <w:b w:val="0"/>
          <w:bCs w:val="0"/>
        </w:rPr>
      </w:r>
      <w:r>
        <w:rPr>
          <w:rFonts w:ascii="Times New Roman" w:hAnsi="Times New Roman" w:cs="Times New Roman" w:eastAsia="Times New Roman" w:hint="default"/>
        </w:rPr>
        <w:t>10</w:t>
      </w:r>
      <w:r>
        <w:rPr/>
        <w:t>、投资性房地产</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1117"/>
        <w:jc w:val="left"/>
        <w:rPr>
          <w:b w:val="0"/>
          <w:bCs w:val="0"/>
        </w:rPr>
      </w:pPr>
      <w:bookmarkStart w:name="（1）采用成本计量模式的投资性房地产" w:id="249"/>
      <w:bookmarkEnd w:id="249"/>
      <w:r>
        <w:rPr>
          <w:b w:val="0"/>
          <w:bCs w:val="0"/>
        </w:rPr>
      </w:r>
      <w:r>
        <w:rPr/>
        <w:t>（</w:t>
      </w:r>
      <w:r>
        <w:rPr>
          <w:rFonts w:ascii="Times New Roman" w:hAnsi="Times New Roman" w:cs="Times New Roman" w:eastAsia="Times New Roman" w:hint="default"/>
        </w:rPr>
        <w:t>1</w:t>
      </w:r>
      <w:r>
        <w:rPr/>
        <w:t>）采用成本计量模式的投资性房地产</w:t>
      </w:r>
      <w:r>
        <w:rPr>
          <w:b w:val="0"/>
          <w:bCs w:val="0"/>
        </w:rPr>
      </w:r>
    </w:p>
    <w:p>
      <w:pPr>
        <w:spacing w:line="240" w:lineRule="auto" w:before="3"/>
        <w:rPr>
          <w:rFonts w:ascii="宋体" w:hAnsi="宋体" w:cs="宋体" w:eastAsia="宋体" w:hint="default"/>
          <w:b/>
          <w:bCs/>
          <w:sz w:val="23"/>
          <w:szCs w:val="23"/>
        </w:rPr>
      </w:pPr>
    </w:p>
    <w:p>
      <w:pPr>
        <w:spacing w:before="44"/>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适用</w:t>
      </w:r>
      <w:r>
        <w:rPr>
          <w:rFonts w:ascii="Times New Roman" w:hAnsi="Times New Roman" w:cs="Times New Roman" w:eastAsia="Times New Roman" w:hint="default"/>
          <w:sz w:val="18"/>
          <w:szCs w:val="18"/>
        </w:rPr>
        <w:t>□</w:t>
      </w:r>
      <w:r>
        <w:rPr>
          <w:rFonts w:ascii="宋体" w:hAnsi="宋体" w:cs="宋体" w:eastAsia="宋体" w:hint="default"/>
          <w:sz w:val="18"/>
          <w:szCs w:val="18"/>
        </w:rPr>
        <w:t>不适用</w:t>
      </w:r>
    </w:p>
    <w:p>
      <w:pPr>
        <w:spacing w:before="103"/>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912"/>
        <w:gridCol w:w="1917"/>
        <w:gridCol w:w="1914"/>
        <w:gridCol w:w="1914"/>
        <w:gridCol w:w="1914"/>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13"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01"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一、账面原值</w:t>
            </w:r>
          </w:p>
        </w:tc>
        <w:tc>
          <w:tcPr>
            <w:tcW w:w="1917" w:type="dxa"/>
            <w:tcBorders>
              <w:top w:val="single" w:sz="4" w:space="0" w:color="000000"/>
              <w:left w:val="single" w:sz="13" w:space="0" w:color="D2D2D2"/>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91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25,500,252.78</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25,500,252.78</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本期增加金额</w:t>
            </w:r>
          </w:p>
        </w:tc>
        <w:tc>
          <w:tcPr>
            <w:tcW w:w="1917" w:type="dxa"/>
            <w:tcBorders>
              <w:top w:val="single" w:sz="4" w:space="0" w:color="000000"/>
              <w:left w:val="single" w:sz="13" w:space="0" w:color="D2D2D2"/>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）外购</w:t>
            </w:r>
          </w:p>
        </w:tc>
        <w:tc>
          <w:tcPr>
            <w:tcW w:w="1917" w:type="dxa"/>
            <w:tcBorders>
              <w:top w:val="single" w:sz="4" w:space="0" w:color="000000"/>
              <w:left w:val="single" w:sz="13" w:space="0" w:color="D2D2D2"/>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40" w:right="0"/>
              <w:jc w:val="left"/>
              <w:rPr>
                <w:rFonts w:ascii="宋体" w:hAnsi="宋体" w:cs="宋体" w:eastAsia="宋体" w:hint="default"/>
                <w:sz w:val="18"/>
                <w:szCs w:val="18"/>
              </w:rPr>
            </w:pPr>
            <w:r>
              <w:rPr>
                <w:rFonts w:ascii="宋体" w:hAnsi="宋体" w:cs="宋体" w:eastAsia="宋体" w:hint="default"/>
                <w:spacing w:val="-5"/>
                <w:sz w:val="18"/>
                <w:szCs w:val="18"/>
              </w:rPr>
              <w:t>（</w:t>
            </w:r>
            <w:r>
              <w:rPr>
                <w:rFonts w:ascii="Times New Roman" w:hAnsi="Times New Roman" w:cs="Times New Roman" w:eastAsia="Times New Roman" w:hint="default"/>
                <w:spacing w:val="-5"/>
                <w:sz w:val="18"/>
                <w:szCs w:val="18"/>
              </w:rPr>
              <w:t>2</w:t>
            </w:r>
            <w:r>
              <w:rPr>
                <w:rFonts w:ascii="宋体" w:hAnsi="宋体" w:cs="宋体" w:eastAsia="宋体" w:hint="default"/>
                <w:spacing w:val="-5"/>
                <w:sz w:val="18"/>
                <w:szCs w:val="18"/>
              </w:rPr>
              <w:t>）存货</w:t>
            </w:r>
            <w:r>
              <w:rPr>
                <w:rFonts w:ascii="Times New Roman" w:hAnsi="Times New Roman" w:cs="Times New Roman" w:eastAsia="Times New Roman" w:hint="default"/>
                <w:spacing w:val="-5"/>
                <w:sz w:val="18"/>
                <w:szCs w:val="18"/>
              </w:rPr>
              <w:t>\</w:t>
            </w:r>
            <w:r>
              <w:rPr>
                <w:rFonts w:ascii="宋体" w:hAnsi="宋体" w:cs="宋体" w:eastAsia="宋体" w:hint="default"/>
                <w:spacing w:val="-5"/>
                <w:sz w:val="18"/>
                <w:szCs w:val="18"/>
              </w:rPr>
              <w:t>固定资产</w:t>
            </w:r>
          </w:p>
          <w:p>
            <w:pPr>
              <w:pStyle w:val="TableParagraph"/>
              <w:spacing w:line="240" w:lineRule="auto" w:before="64"/>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在建工程转入</w:t>
            </w:r>
          </w:p>
        </w:tc>
        <w:tc>
          <w:tcPr>
            <w:tcW w:w="1917" w:type="dxa"/>
            <w:tcBorders>
              <w:top w:val="single" w:sz="4" w:space="0" w:color="000000"/>
              <w:left w:val="single" w:sz="13" w:space="0" w:color="D2D2D2"/>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65"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）企业合并增加</w:t>
            </w:r>
          </w:p>
        </w:tc>
        <w:tc>
          <w:tcPr>
            <w:tcW w:w="1917" w:type="dxa"/>
            <w:tcBorders>
              <w:top w:val="single" w:sz="4" w:space="0" w:color="000000"/>
              <w:left w:val="single" w:sz="13" w:space="0" w:color="D2D2D2"/>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tcPr>
          <w:p>
            <w:pP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本期减少金额</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）其他转出</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tcPr>
          <w:p>
            <w:pP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25,500,252.78</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25,500,252.78</w:t>
            </w:r>
          </w:p>
        </w:tc>
      </w:tr>
      <w:tr>
        <w:trPr>
          <w:trHeight w:val="714"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77"/>
              <w:jc w:val="left"/>
              <w:rPr>
                <w:rFonts w:ascii="宋体" w:hAnsi="宋体" w:cs="宋体" w:eastAsia="宋体" w:hint="default"/>
                <w:sz w:val="18"/>
                <w:szCs w:val="18"/>
              </w:rPr>
            </w:pPr>
            <w:r>
              <w:rPr>
                <w:rFonts w:ascii="宋体" w:hAnsi="宋体" w:cs="宋体" w:eastAsia="宋体" w:hint="default"/>
                <w:sz w:val="18"/>
                <w:szCs w:val="18"/>
              </w:rPr>
              <w:t>二、累计折旧和累计摊 销</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9,008,185.94</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9,008,185.94</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本期增加金额</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732,988.78</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732,988.78</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）计提或摊销</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732,988.78</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732,988.78</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tcPr>
          <w:p>
            <w:pP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本期减少金额</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）其他转出</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7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912"/>
        <w:gridCol w:w="1917"/>
        <w:gridCol w:w="1914"/>
        <w:gridCol w:w="1914"/>
        <w:gridCol w:w="1914"/>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tcPr>
          <w:p>
            <w:pP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9,741,174.72</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9,741,174.72</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三、减值准备</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本期增加金额</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）计提</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tcPr>
          <w:p>
            <w:pP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、本期减少金额</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）其他转出</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tcPr>
          <w:p>
            <w:pP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四、账面价值</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期末账面价值</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15,759,078.06</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15,759,078.06</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期初账面价值</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16,492,066.84</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16,492,066.84</w:t>
            </w:r>
          </w:p>
        </w:tc>
      </w:tr>
    </w:tbl>
    <w:p>
      <w:pPr>
        <w:spacing w:line="240" w:lineRule="auto" w:before="2"/>
        <w:rPr>
          <w:rFonts w:ascii="宋体" w:hAnsi="宋体" w:cs="宋体" w:eastAsia="宋体" w:hint="default"/>
          <w:sz w:val="19"/>
          <w:szCs w:val="19"/>
        </w:rPr>
      </w:pPr>
    </w:p>
    <w:p>
      <w:pPr>
        <w:pStyle w:val="Heading4"/>
        <w:spacing w:line="240" w:lineRule="auto" w:before="35"/>
        <w:ind w:right="1117"/>
        <w:jc w:val="left"/>
        <w:rPr>
          <w:b w:val="0"/>
          <w:bCs w:val="0"/>
        </w:rPr>
      </w:pPr>
      <w:bookmarkStart w:name="（2）采用公允价值计量模式的投资性房地产" w:id="250"/>
      <w:bookmarkEnd w:id="250"/>
      <w:r>
        <w:rPr>
          <w:b w:val="0"/>
          <w:bCs w:val="0"/>
        </w:rPr>
      </w:r>
      <w:r>
        <w:rPr/>
        <w:t>（</w:t>
      </w:r>
      <w:r>
        <w:rPr>
          <w:rFonts w:ascii="Times New Roman" w:hAnsi="Times New Roman" w:cs="Times New Roman" w:eastAsia="Times New Roman" w:hint="default"/>
        </w:rPr>
        <w:t>2</w:t>
      </w:r>
      <w:r>
        <w:rPr/>
        <w:t>）采用公允价值计量模式的投资性房地产</w:t>
      </w:r>
      <w:r>
        <w:rPr>
          <w:b w:val="0"/>
          <w:bCs w:val="0"/>
        </w:rPr>
      </w:r>
    </w:p>
    <w:p>
      <w:pPr>
        <w:spacing w:line="240" w:lineRule="auto" w:before="8"/>
        <w:rPr>
          <w:rFonts w:ascii="宋体" w:hAnsi="宋体" w:cs="宋体" w:eastAsia="宋体" w:hint="default"/>
          <w:b/>
          <w:bCs/>
          <w:sz w:val="26"/>
          <w:szCs w:val="26"/>
        </w:rPr>
      </w:pPr>
    </w:p>
    <w:p>
      <w:pPr>
        <w:spacing w:before="0"/>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适用</w:t>
      </w:r>
      <w:r>
        <w:rPr>
          <w:rFonts w:ascii="Times New Roman" w:hAnsi="Times New Roman" w:cs="Times New Roman" w:eastAsia="Times New Roman" w:hint="default"/>
          <w:sz w:val="18"/>
          <w:szCs w:val="18"/>
        </w:rPr>
        <w:t>√</w:t>
      </w:r>
      <w:r>
        <w:rPr>
          <w:rFonts w:ascii="宋体" w:hAnsi="宋体" w:cs="宋体" w:eastAsia="宋体" w:hint="default"/>
          <w:sz w:val="18"/>
          <w:szCs w:val="18"/>
        </w:rPr>
        <w:t>不适用</w:t>
      </w:r>
    </w:p>
    <w:p>
      <w:pPr>
        <w:spacing w:line="240" w:lineRule="auto" w:before="10"/>
        <w:rPr>
          <w:rFonts w:ascii="宋体" w:hAnsi="宋体" w:cs="宋体" w:eastAsia="宋体" w:hint="default"/>
          <w:sz w:val="25"/>
          <w:szCs w:val="25"/>
        </w:rPr>
      </w:pPr>
    </w:p>
    <w:p>
      <w:pPr>
        <w:pStyle w:val="Heading4"/>
        <w:spacing w:line="240" w:lineRule="auto"/>
        <w:ind w:right="1117"/>
        <w:jc w:val="left"/>
        <w:rPr>
          <w:b w:val="0"/>
          <w:bCs w:val="0"/>
        </w:rPr>
      </w:pPr>
      <w:bookmarkStart w:name="（3）未办妥产权证书的投资性房地产情况" w:id="251"/>
      <w:bookmarkEnd w:id="251"/>
      <w:r>
        <w:rPr>
          <w:b w:val="0"/>
          <w:bCs w:val="0"/>
        </w:rPr>
      </w:r>
      <w:r>
        <w:rPr/>
        <w:t>（</w:t>
      </w:r>
      <w:r>
        <w:rPr>
          <w:rFonts w:ascii="Times New Roman" w:hAnsi="Times New Roman" w:cs="Times New Roman" w:eastAsia="Times New Roman" w:hint="default"/>
        </w:rPr>
        <w:t>3</w:t>
      </w:r>
      <w:r>
        <w:rPr/>
        <w:t>）未办妥产权证书的投资性房地产情况</w:t>
      </w:r>
      <w:r>
        <w:rPr>
          <w:b w:val="0"/>
          <w:bCs w:val="0"/>
        </w:rPr>
      </w:r>
    </w:p>
    <w:p>
      <w:pPr>
        <w:spacing w:line="240" w:lineRule="auto" w:before="8"/>
        <w:rPr>
          <w:rFonts w:ascii="宋体" w:hAnsi="宋体" w:cs="宋体" w:eastAsia="宋体" w:hint="default"/>
          <w:b/>
          <w:bCs/>
          <w:sz w:val="26"/>
          <w:szCs w:val="26"/>
        </w:rPr>
      </w:pPr>
    </w:p>
    <w:p>
      <w:pPr>
        <w:spacing w:before="0"/>
        <w:ind w:left="154" w:right="1117"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pStyle w:val="Heading4"/>
        <w:spacing w:line="240" w:lineRule="auto"/>
        <w:ind w:right="1117"/>
        <w:jc w:val="left"/>
        <w:rPr>
          <w:b w:val="0"/>
          <w:bCs w:val="0"/>
        </w:rPr>
      </w:pPr>
      <w:bookmarkStart w:name="11、固定资产" w:id="252"/>
      <w:bookmarkEnd w:id="252"/>
      <w:r>
        <w:rPr>
          <w:b w:val="0"/>
          <w:bCs w:val="0"/>
        </w:rPr>
      </w:r>
      <w:r>
        <w:rPr>
          <w:rFonts w:ascii="Times New Roman" w:hAnsi="Times New Roman" w:cs="Times New Roman" w:eastAsia="Times New Roman" w:hint="default"/>
        </w:rPr>
        <w:t>11</w:t>
      </w:r>
      <w:r>
        <w:rPr/>
        <w:t>、固定资产</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171"/>
        <w:gridCol w:w="3200"/>
        <w:gridCol w:w="3188"/>
      </w:tblGrid>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320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139,766,959.56</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147,322,185.56</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139,766,959.56</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147,322,185.56</w:t>
            </w:r>
          </w:p>
        </w:tc>
      </w:tr>
    </w:tbl>
    <w:p>
      <w:pPr>
        <w:spacing w:line="240" w:lineRule="auto" w:before="2"/>
        <w:rPr>
          <w:rFonts w:ascii="宋体" w:hAnsi="宋体" w:cs="宋体" w:eastAsia="宋体" w:hint="default"/>
          <w:sz w:val="19"/>
          <w:szCs w:val="19"/>
        </w:rPr>
      </w:pPr>
    </w:p>
    <w:p>
      <w:pPr>
        <w:pStyle w:val="Heading4"/>
        <w:spacing w:line="240" w:lineRule="auto" w:before="35"/>
        <w:ind w:right="1117"/>
        <w:jc w:val="left"/>
        <w:rPr>
          <w:b w:val="0"/>
          <w:bCs w:val="0"/>
        </w:rPr>
      </w:pPr>
      <w:bookmarkStart w:name="（1）固定资产情况" w:id="253"/>
      <w:bookmarkEnd w:id="253"/>
      <w:r>
        <w:rPr>
          <w:b w:val="0"/>
          <w:bCs w:val="0"/>
        </w:rPr>
      </w:r>
      <w:r>
        <w:rPr/>
        <w:t>（</w:t>
      </w:r>
      <w:r>
        <w:rPr>
          <w:rFonts w:ascii="Times New Roman" w:hAnsi="Times New Roman" w:cs="Times New Roman" w:eastAsia="Times New Roman" w:hint="default"/>
        </w:rPr>
        <w:t>1</w:t>
      </w:r>
      <w:r>
        <w:rPr/>
        <w:t>）固定资产情况</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583"/>
        <w:gridCol w:w="1606"/>
        <w:gridCol w:w="1594"/>
        <w:gridCol w:w="1594"/>
        <w:gridCol w:w="1595"/>
        <w:gridCol w:w="1594"/>
      </w:tblGrid>
      <w:tr>
        <w:trPr>
          <w:trHeight w:val="402" w:hRule="exact"/>
        </w:trPr>
        <w:tc>
          <w:tcPr>
            <w:tcW w:w="1583" w:type="dxa"/>
            <w:tcBorders>
              <w:top w:val="single" w:sz="4" w:space="0" w:color="000000"/>
              <w:left w:val="single" w:sz="4" w:space="0" w:color="000000"/>
              <w:bottom w:val="single" w:sz="4" w:space="0" w:color="000000"/>
              <w:right w:val="single" w:sz="13" w:space="0" w:color="E0FFFF"/>
            </w:tcBorders>
            <w:shd w:val="clear" w:color="auto" w:fill="D2D2D2"/>
          </w:tcPr>
          <w:p>
            <w:pPr>
              <w:pStyle w:val="TableParagraph"/>
              <w:spacing w:line="240" w:lineRule="auto" w:before="51"/>
              <w:ind w:left="23"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606" w:type="dxa"/>
            <w:tcBorders>
              <w:top w:val="single" w:sz="4" w:space="0" w:color="000000"/>
              <w:left w:val="single" w:sz="9" w:space="0" w:color="D2D2D2"/>
              <w:bottom w:val="single" w:sz="4" w:space="0" w:color="000000"/>
              <w:right w:val="single" w:sz="4" w:space="0" w:color="000000"/>
            </w:tcBorders>
            <w:shd w:val="clear" w:color="auto" w:fill="E0FFFF"/>
          </w:tcPr>
          <w:p>
            <w:pPr>
              <w:pStyle w:val="TableParagraph"/>
              <w:spacing w:line="240" w:lineRule="auto" w:before="51"/>
              <w:ind w:left="258" w:right="0"/>
              <w:jc w:val="left"/>
              <w:rPr>
                <w:rFonts w:ascii="宋体" w:hAnsi="宋体" w:cs="宋体" w:eastAsia="宋体" w:hint="default"/>
                <w:sz w:val="18"/>
                <w:szCs w:val="18"/>
              </w:rPr>
            </w:pPr>
            <w:r>
              <w:rPr>
                <w:rFonts w:ascii="宋体" w:hAnsi="宋体" w:cs="宋体" w:eastAsia="宋体" w:hint="default"/>
                <w:sz w:val="18"/>
                <w:szCs w:val="18"/>
              </w:rPr>
              <w:t>房屋及建筑物</w:t>
            </w:r>
          </w:p>
        </w:tc>
        <w:tc>
          <w:tcPr>
            <w:tcW w:w="1594"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51"/>
              <w:ind w:left="431" w:right="0"/>
              <w:jc w:val="left"/>
              <w:rPr>
                <w:rFonts w:ascii="宋体" w:hAnsi="宋体" w:cs="宋体" w:eastAsia="宋体" w:hint="default"/>
                <w:sz w:val="18"/>
                <w:szCs w:val="18"/>
              </w:rPr>
            </w:pPr>
            <w:r>
              <w:rPr>
                <w:rFonts w:ascii="宋体" w:hAnsi="宋体" w:cs="宋体" w:eastAsia="宋体" w:hint="default"/>
                <w:sz w:val="18"/>
                <w:szCs w:val="18"/>
              </w:rPr>
              <w:t>机器设备</w:t>
            </w:r>
          </w:p>
        </w:tc>
        <w:tc>
          <w:tcPr>
            <w:tcW w:w="1594"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51"/>
              <w:ind w:left="432"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595" w:type="dxa"/>
            <w:tcBorders>
              <w:top w:val="single" w:sz="4" w:space="0" w:color="000000"/>
              <w:left w:val="single" w:sz="4" w:space="0" w:color="000000"/>
              <w:bottom w:val="single" w:sz="4" w:space="0" w:color="000000"/>
              <w:right w:val="single" w:sz="9" w:space="0" w:color="D2D2D2"/>
            </w:tcBorders>
            <w:shd w:val="clear" w:color="auto" w:fill="E0FFFF"/>
          </w:tcPr>
          <w:p>
            <w:pPr>
              <w:pStyle w:val="TableParagraph"/>
              <w:spacing w:line="240" w:lineRule="auto" w:before="51"/>
              <w:ind w:left="163" w:right="0"/>
              <w:jc w:val="left"/>
              <w:rPr>
                <w:rFonts w:ascii="宋体" w:hAnsi="宋体" w:cs="宋体" w:eastAsia="宋体" w:hint="default"/>
                <w:sz w:val="18"/>
                <w:szCs w:val="18"/>
              </w:rPr>
            </w:pPr>
            <w:r>
              <w:rPr>
                <w:rFonts w:ascii="宋体" w:hAnsi="宋体" w:cs="宋体" w:eastAsia="宋体" w:hint="default"/>
                <w:sz w:val="18"/>
                <w:szCs w:val="18"/>
              </w:rPr>
              <w:t>办公设备及其他</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402" w:hRule="exact"/>
        </w:trPr>
        <w:tc>
          <w:tcPr>
            <w:tcW w:w="15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一、账面原值：</w:t>
            </w:r>
          </w:p>
        </w:tc>
        <w:tc>
          <w:tcPr>
            <w:tcW w:w="1606" w:type="dxa"/>
            <w:tcBorders>
              <w:top w:val="single" w:sz="4" w:space="0" w:color="000000"/>
              <w:left w:val="single" w:sz="9" w:space="0" w:color="D2D2D2"/>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606"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left="442" w:right="0"/>
              <w:jc w:val="left"/>
              <w:rPr>
                <w:rFonts w:ascii="Times New Roman" w:hAnsi="Times New Roman" w:cs="Times New Roman" w:eastAsia="Times New Roman" w:hint="default"/>
                <w:sz w:val="18"/>
                <w:szCs w:val="18"/>
              </w:rPr>
            </w:pPr>
            <w:r>
              <w:rPr>
                <w:rFonts w:ascii="Times New Roman"/>
                <w:sz w:val="18"/>
              </w:rPr>
              <w:t>128,346,728.97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22,675,825.57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13,497,776.65</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29,704,400.54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194,224,731.73</w:t>
            </w:r>
          </w:p>
        </w:tc>
      </w:tr>
      <w:tr>
        <w:trPr>
          <w:trHeight w:val="402" w:hRule="exact"/>
        </w:trPr>
        <w:tc>
          <w:tcPr>
            <w:tcW w:w="15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本期增加金额</w:t>
            </w:r>
          </w:p>
        </w:tc>
        <w:tc>
          <w:tcPr>
            <w:tcW w:w="1606" w:type="dxa"/>
            <w:tcBorders>
              <w:top w:val="single" w:sz="4" w:space="0" w:color="000000"/>
              <w:left w:val="single" w:sz="9" w:space="0" w:color="D2D2D2"/>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1,213,151.38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823,741.06</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2,198,121.16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4,235,013.60</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583"/>
        <w:gridCol w:w="1606"/>
        <w:gridCol w:w="1594"/>
        <w:gridCol w:w="1594"/>
        <w:gridCol w:w="1595"/>
        <w:gridCol w:w="1594"/>
      </w:tblGrid>
      <w:tr>
        <w:trPr>
          <w:trHeight w:val="402" w:hRule="exact"/>
        </w:trPr>
        <w:tc>
          <w:tcPr>
            <w:tcW w:w="15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）购置</w:t>
            </w:r>
          </w:p>
        </w:tc>
        <w:tc>
          <w:tcPr>
            <w:tcW w:w="1606" w:type="dxa"/>
            <w:tcBorders>
              <w:top w:val="single" w:sz="4" w:space="0" w:color="000000"/>
              <w:left w:val="single" w:sz="9" w:space="0" w:color="D2D2D2"/>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500,555.19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823,741.06</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2,161,283.55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3,485,579.80</w:t>
            </w:r>
          </w:p>
        </w:tc>
      </w:tr>
      <w:tr>
        <w:trPr>
          <w:trHeight w:val="714" w:hRule="exact"/>
        </w:trPr>
        <w:tc>
          <w:tcPr>
            <w:tcW w:w="15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17" w:firstLine="36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）在建工程 转入</w:t>
            </w:r>
          </w:p>
        </w:tc>
        <w:tc>
          <w:tcPr>
            <w:tcW w:w="1606" w:type="dxa"/>
            <w:tcBorders>
              <w:top w:val="single" w:sz="4" w:space="0" w:color="000000"/>
              <w:left w:val="single" w:sz="9" w:space="0" w:color="D2D2D2"/>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712,596.19</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36,837.61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749,433.80</w:t>
            </w:r>
          </w:p>
        </w:tc>
      </w:tr>
      <w:tr>
        <w:trPr>
          <w:trHeight w:val="714" w:hRule="exact"/>
        </w:trPr>
        <w:tc>
          <w:tcPr>
            <w:tcW w:w="15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17" w:firstLine="36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）企业合并 增加</w:t>
            </w:r>
          </w:p>
        </w:tc>
        <w:tc>
          <w:tcPr>
            <w:tcW w:w="1606" w:type="dxa"/>
            <w:tcBorders>
              <w:top w:val="single" w:sz="4" w:space="0" w:color="000000"/>
              <w:left w:val="single" w:sz="9" w:space="0" w:color="D2D2D2"/>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83"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606" w:type="dxa"/>
            <w:tcBorders>
              <w:top w:val="single" w:sz="4" w:space="0" w:color="000000"/>
              <w:left w:val="single" w:sz="9" w:space="0" w:color="E0FFFF"/>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53"/>
              <w:jc w:val="right"/>
              <w:rPr>
                <w:rFonts w:ascii="宋体" w:hAnsi="宋体" w:cs="宋体" w:eastAsia="宋体" w:hint="default"/>
                <w:sz w:val="18"/>
                <w:szCs w:val="18"/>
              </w:rPr>
            </w:pPr>
            <w:r>
              <w:rPr>
                <w:rFonts w:ascii="Times New Roman" w:hAnsi="Times New Roman" w:cs="Times New Roman" w:eastAsia="Times New Roman" w:hint="default"/>
                <w:spacing w:val="-1"/>
                <w:sz w:val="18"/>
                <w:szCs w:val="18"/>
              </w:rPr>
              <w:t>3.</w:t>
            </w:r>
            <w:r>
              <w:rPr>
                <w:rFonts w:ascii="宋体" w:hAnsi="宋体" w:cs="宋体" w:eastAsia="宋体" w:hint="default"/>
                <w:spacing w:val="-1"/>
                <w:sz w:val="18"/>
                <w:szCs w:val="18"/>
              </w:rPr>
              <w:t>本期减少金额</w:t>
            </w:r>
          </w:p>
        </w:tc>
        <w:tc>
          <w:tcPr>
            <w:tcW w:w="1606" w:type="dxa"/>
            <w:tcBorders>
              <w:top w:val="single" w:sz="4" w:space="0" w:color="000000"/>
              <w:left w:val="single" w:sz="9" w:space="0" w:color="D2D2D2"/>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215,893.97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1,486,579.56</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1,615,036.05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3,317,509.58</w:t>
            </w:r>
          </w:p>
        </w:tc>
      </w:tr>
      <w:tr>
        <w:trPr>
          <w:trHeight w:val="714" w:hRule="exact"/>
        </w:trPr>
        <w:tc>
          <w:tcPr>
            <w:tcW w:w="15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）处置或报</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废</w:t>
            </w:r>
          </w:p>
        </w:tc>
        <w:tc>
          <w:tcPr>
            <w:tcW w:w="1606" w:type="dxa"/>
            <w:tcBorders>
              <w:top w:val="single" w:sz="4" w:space="0" w:color="000000"/>
              <w:left w:val="single" w:sz="9" w:space="0" w:color="D2D2D2"/>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215,893.97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1,486,579.56</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1,615,036.05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3,317,509.58</w:t>
            </w:r>
          </w:p>
        </w:tc>
      </w:tr>
      <w:tr>
        <w:trPr>
          <w:trHeight w:val="402" w:hRule="exact"/>
        </w:trPr>
        <w:tc>
          <w:tcPr>
            <w:tcW w:w="1583"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606" w:type="dxa"/>
            <w:tcBorders>
              <w:top w:val="single" w:sz="4" w:space="0" w:color="000000"/>
              <w:left w:val="single" w:sz="9" w:space="0" w:color="E0FFFF"/>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606"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128,346,728.97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23,673,082.98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12,834,938.15</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30,287,485.65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195,142,235.75</w:t>
            </w:r>
          </w:p>
        </w:tc>
      </w:tr>
      <w:tr>
        <w:trPr>
          <w:trHeight w:val="402" w:hRule="exact"/>
        </w:trPr>
        <w:tc>
          <w:tcPr>
            <w:tcW w:w="15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二、累计折旧</w:t>
            </w:r>
          </w:p>
        </w:tc>
        <w:tc>
          <w:tcPr>
            <w:tcW w:w="1606" w:type="dxa"/>
            <w:tcBorders>
              <w:top w:val="single" w:sz="4" w:space="0" w:color="000000"/>
              <w:left w:val="single" w:sz="9" w:space="0" w:color="D2D2D2"/>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606"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13,376,635.91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9,257,465.93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7,104,231.85</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17,164,212.48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46,902,546.17</w:t>
            </w:r>
          </w:p>
        </w:tc>
      </w:tr>
      <w:tr>
        <w:trPr>
          <w:trHeight w:val="402" w:hRule="exact"/>
        </w:trPr>
        <w:tc>
          <w:tcPr>
            <w:tcW w:w="15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53"/>
              <w:jc w:val="right"/>
              <w:rPr>
                <w:rFonts w:ascii="宋体" w:hAnsi="宋体" w:cs="宋体" w:eastAsia="宋体" w:hint="default"/>
                <w:sz w:val="18"/>
                <w:szCs w:val="18"/>
              </w:rPr>
            </w:pPr>
            <w:r>
              <w:rPr>
                <w:rFonts w:ascii="Times New Roman" w:hAnsi="Times New Roman" w:cs="Times New Roman" w:eastAsia="Times New Roman" w:hint="default"/>
                <w:spacing w:val="-1"/>
                <w:sz w:val="18"/>
                <w:szCs w:val="18"/>
              </w:rPr>
              <w:t>2.</w:t>
            </w:r>
            <w:r>
              <w:rPr>
                <w:rFonts w:ascii="宋体" w:hAnsi="宋体" w:cs="宋体" w:eastAsia="宋体" w:hint="default"/>
                <w:spacing w:val="-1"/>
                <w:sz w:val="18"/>
                <w:szCs w:val="18"/>
              </w:rPr>
              <w:t>本期增加金额</w:t>
            </w:r>
          </w:p>
        </w:tc>
        <w:tc>
          <w:tcPr>
            <w:tcW w:w="1606"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3,845,890.19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2,379,663.30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1,177,791.76</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3,792,245.62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11,195,590.87</w:t>
            </w:r>
          </w:p>
        </w:tc>
      </w:tr>
      <w:tr>
        <w:trPr>
          <w:trHeight w:val="402" w:hRule="exact"/>
        </w:trPr>
        <w:tc>
          <w:tcPr>
            <w:tcW w:w="15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）计提</w:t>
            </w:r>
          </w:p>
        </w:tc>
        <w:tc>
          <w:tcPr>
            <w:tcW w:w="1606"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3,845,890.19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2,379,663.30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1,177,791.76</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3,792,245.62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11,195,590.87</w:t>
            </w:r>
          </w:p>
        </w:tc>
      </w:tr>
      <w:tr>
        <w:trPr>
          <w:trHeight w:val="402" w:hRule="exact"/>
        </w:trPr>
        <w:tc>
          <w:tcPr>
            <w:tcW w:w="1583"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606" w:type="dxa"/>
            <w:tcBorders>
              <w:top w:val="single" w:sz="4" w:space="0" w:color="000000"/>
              <w:left w:val="single" w:sz="9" w:space="0" w:color="E0FFFF"/>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53"/>
              <w:jc w:val="right"/>
              <w:rPr>
                <w:rFonts w:ascii="宋体" w:hAnsi="宋体" w:cs="宋体" w:eastAsia="宋体" w:hint="default"/>
                <w:sz w:val="18"/>
                <w:szCs w:val="18"/>
              </w:rPr>
            </w:pPr>
            <w:r>
              <w:rPr>
                <w:rFonts w:ascii="Times New Roman" w:hAnsi="Times New Roman" w:cs="Times New Roman" w:eastAsia="Times New Roman" w:hint="default"/>
                <w:spacing w:val="-1"/>
                <w:sz w:val="18"/>
                <w:szCs w:val="18"/>
              </w:rPr>
              <w:t>3.</w:t>
            </w:r>
            <w:r>
              <w:rPr>
                <w:rFonts w:ascii="宋体" w:hAnsi="宋体" w:cs="宋体" w:eastAsia="宋体" w:hint="default"/>
                <w:spacing w:val="-1"/>
                <w:sz w:val="18"/>
                <w:szCs w:val="18"/>
              </w:rPr>
              <w:t>本期减少金额</w:t>
            </w:r>
          </w:p>
        </w:tc>
        <w:tc>
          <w:tcPr>
            <w:tcW w:w="1606" w:type="dxa"/>
            <w:tcBorders>
              <w:top w:val="single" w:sz="4" w:space="0" w:color="000000"/>
              <w:left w:val="single" w:sz="9" w:space="0" w:color="D2D2D2"/>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140,040.69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1,138,756.45</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1,444,063.71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2,722,860.85</w:t>
            </w:r>
          </w:p>
        </w:tc>
      </w:tr>
      <w:tr>
        <w:trPr>
          <w:trHeight w:val="714" w:hRule="exact"/>
        </w:trPr>
        <w:tc>
          <w:tcPr>
            <w:tcW w:w="15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）处置或报</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废</w:t>
            </w:r>
          </w:p>
        </w:tc>
        <w:tc>
          <w:tcPr>
            <w:tcW w:w="1606" w:type="dxa"/>
            <w:tcBorders>
              <w:top w:val="single" w:sz="4" w:space="0" w:color="000000"/>
              <w:left w:val="single" w:sz="9" w:space="0" w:color="D2D2D2"/>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140,040.69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1,138,756.45</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1,444,063.71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2,722,860.85</w:t>
            </w:r>
          </w:p>
        </w:tc>
      </w:tr>
      <w:tr>
        <w:trPr>
          <w:trHeight w:val="402" w:hRule="exact"/>
        </w:trPr>
        <w:tc>
          <w:tcPr>
            <w:tcW w:w="1583"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606" w:type="dxa"/>
            <w:tcBorders>
              <w:top w:val="single" w:sz="4" w:space="0" w:color="000000"/>
              <w:left w:val="single" w:sz="9" w:space="0" w:color="E0FFFF"/>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606"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17,222,526.10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11,497,088.54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7,143,267.16</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19,512,394.39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55,375,276.19</w:t>
            </w:r>
          </w:p>
        </w:tc>
      </w:tr>
      <w:tr>
        <w:trPr>
          <w:trHeight w:val="402" w:hRule="exact"/>
        </w:trPr>
        <w:tc>
          <w:tcPr>
            <w:tcW w:w="15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三、减值准备</w:t>
            </w:r>
          </w:p>
        </w:tc>
        <w:tc>
          <w:tcPr>
            <w:tcW w:w="1606" w:type="dxa"/>
            <w:tcBorders>
              <w:top w:val="single" w:sz="4" w:space="0" w:color="000000"/>
              <w:left w:val="single" w:sz="9" w:space="0" w:color="D2D2D2"/>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606" w:type="dxa"/>
            <w:tcBorders>
              <w:top w:val="single" w:sz="4" w:space="0" w:color="000000"/>
              <w:left w:val="single" w:sz="9" w:space="0" w:color="D2D2D2"/>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53"/>
              <w:jc w:val="right"/>
              <w:rPr>
                <w:rFonts w:ascii="宋体" w:hAnsi="宋体" w:cs="宋体" w:eastAsia="宋体" w:hint="default"/>
                <w:sz w:val="18"/>
                <w:szCs w:val="18"/>
              </w:rPr>
            </w:pPr>
            <w:r>
              <w:rPr>
                <w:rFonts w:ascii="Times New Roman" w:hAnsi="Times New Roman" w:cs="Times New Roman" w:eastAsia="Times New Roman" w:hint="default"/>
                <w:spacing w:val="-1"/>
                <w:sz w:val="18"/>
                <w:szCs w:val="18"/>
              </w:rPr>
              <w:t>2.</w:t>
            </w:r>
            <w:r>
              <w:rPr>
                <w:rFonts w:ascii="宋体" w:hAnsi="宋体" w:cs="宋体" w:eastAsia="宋体" w:hint="default"/>
                <w:spacing w:val="-1"/>
                <w:sz w:val="18"/>
                <w:szCs w:val="18"/>
              </w:rPr>
              <w:t>本期增加金额</w:t>
            </w:r>
          </w:p>
        </w:tc>
        <w:tc>
          <w:tcPr>
            <w:tcW w:w="1606" w:type="dxa"/>
            <w:tcBorders>
              <w:top w:val="single" w:sz="4" w:space="0" w:color="000000"/>
              <w:left w:val="single" w:sz="9" w:space="0" w:color="D2D2D2"/>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）计提</w:t>
            </w:r>
          </w:p>
        </w:tc>
        <w:tc>
          <w:tcPr>
            <w:tcW w:w="1606" w:type="dxa"/>
            <w:tcBorders>
              <w:top w:val="single" w:sz="4" w:space="0" w:color="000000"/>
              <w:left w:val="single" w:sz="9" w:space="0" w:color="D2D2D2"/>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83"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606" w:type="dxa"/>
            <w:tcBorders>
              <w:top w:val="single" w:sz="4" w:space="0" w:color="000000"/>
              <w:left w:val="single" w:sz="9" w:space="0" w:color="E0FFFF"/>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53"/>
              <w:jc w:val="right"/>
              <w:rPr>
                <w:rFonts w:ascii="宋体" w:hAnsi="宋体" w:cs="宋体" w:eastAsia="宋体" w:hint="default"/>
                <w:sz w:val="18"/>
                <w:szCs w:val="18"/>
              </w:rPr>
            </w:pPr>
            <w:r>
              <w:rPr>
                <w:rFonts w:ascii="Times New Roman" w:hAnsi="Times New Roman" w:cs="Times New Roman" w:eastAsia="Times New Roman" w:hint="default"/>
                <w:spacing w:val="-1"/>
                <w:sz w:val="18"/>
                <w:szCs w:val="18"/>
              </w:rPr>
              <w:t>3.</w:t>
            </w:r>
            <w:r>
              <w:rPr>
                <w:rFonts w:ascii="宋体" w:hAnsi="宋体" w:cs="宋体" w:eastAsia="宋体" w:hint="default"/>
                <w:spacing w:val="-1"/>
                <w:sz w:val="18"/>
                <w:szCs w:val="18"/>
              </w:rPr>
              <w:t>本期减少金额</w:t>
            </w:r>
          </w:p>
        </w:tc>
        <w:tc>
          <w:tcPr>
            <w:tcW w:w="1606" w:type="dxa"/>
            <w:tcBorders>
              <w:top w:val="single" w:sz="4" w:space="0" w:color="000000"/>
              <w:left w:val="single" w:sz="9" w:space="0" w:color="D2D2D2"/>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5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）处置或报</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废</w:t>
            </w:r>
          </w:p>
        </w:tc>
        <w:tc>
          <w:tcPr>
            <w:tcW w:w="1606" w:type="dxa"/>
            <w:tcBorders>
              <w:top w:val="single" w:sz="4" w:space="0" w:color="000000"/>
              <w:left w:val="single" w:sz="9" w:space="0" w:color="D2D2D2"/>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83"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606" w:type="dxa"/>
            <w:tcBorders>
              <w:top w:val="single" w:sz="4" w:space="0" w:color="000000"/>
              <w:left w:val="single" w:sz="9" w:space="0" w:color="E0FFFF"/>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606" w:type="dxa"/>
            <w:tcBorders>
              <w:top w:val="single" w:sz="4" w:space="0" w:color="000000"/>
              <w:left w:val="single" w:sz="9" w:space="0" w:color="D2D2D2"/>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四、账面价值</w:t>
            </w:r>
          </w:p>
        </w:tc>
        <w:tc>
          <w:tcPr>
            <w:tcW w:w="1606" w:type="dxa"/>
            <w:tcBorders>
              <w:top w:val="single" w:sz="4" w:space="0" w:color="000000"/>
              <w:left w:val="single" w:sz="9" w:space="0" w:color="D2D2D2"/>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53"/>
              <w:jc w:val="right"/>
              <w:rPr>
                <w:rFonts w:ascii="宋体" w:hAnsi="宋体" w:cs="宋体" w:eastAsia="宋体" w:hint="default"/>
                <w:sz w:val="18"/>
                <w:szCs w:val="18"/>
              </w:rPr>
            </w:pPr>
            <w:r>
              <w:rPr>
                <w:rFonts w:ascii="Times New Roman" w:hAnsi="Times New Roman" w:cs="Times New Roman" w:eastAsia="Times New Roman" w:hint="default"/>
                <w:spacing w:val="-1"/>
                <w:sz w:val="18"/>
                <w:szCs w:val="18"/>
              </w:rPr>
              <w:t>1.</w:t>
            </w:r>
            <w:r>
              <w:rPr>
                <w:rFonts w:ascii="宋体" w:hAnsi="宋体" w:cs="宋体" w:eastAsia="宋体" w:hint="default"/>
                <w:spacing w:val="-1"/>
                <w:sz w:val="18"/>
                <w:szCs w:val="18"/>
              </w:rPr>
              <w:t>期末账面价值</w:t>
            </w:r>
          </w:p>
        </w:tc>
        <w:tc>
          <w:tcPr>
            <w:tcW w:w="1606"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2"/>
                <w:sz w:val="18"/>
              </w:rPr>
              <w:t>111,124,202.87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12,175,994.44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5,691,670.99</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10,775,091.26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139,766,959.56</w:t>
            </w:r>
          </w:p>
        </w:tc>
      </w:tr>
      <w:tr>
        <w:trPr>
          <w:trHeight w:val="402" w:hRule="exact"/>
        </w:trPr>
        <w:tc>
          <w:tcPr>
            <w:tcW w:w="15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53"/>
              <w:jc w:val="right"/>
              <w:rPr>
                <w:rFonts w:ascii="宋体" w:hAnsi="宋体" w:cs="宋体" w:eastAsia="宋体" w:hint="default"/>
                <w:sz w:val="18"/>
                <w:szCs w:val="18"/>
              </w:rPr>
            </w:pPr>
            <w:r>
              <w:rPr>
                <w:rFonts w:ascii="Times New Roman" w:hAnsi="Times New Roman" w:cs="Times New Roman" w:eastAsia="Times New Roman" w:hint="default"/>
                <w:spacing w:val="-1"/>
                <w:sz w:val="18"/>
                <w:szCs w:val="18"/>
              </w:rPr>
              <w:t>2.</w:t>
            </w:r>
            <w:r>
              <w:rPr>
                <w:rFonts w:ascii="宋体" w:hAnsi="宋体" w:cs="宋体" w:eastAsia="宋体" w:hint="default"/>
                <w:spacing w:val="-1"/>
                <w:sz w:val="18"/>
                <w:szCs w:val="18"/>
              </w:rPr>
              <w:t>期初账面价值</w:t>
            </w:r>
          </w:p>
        </w:tc>
        <w:tc>
          <w:tcPr>
            <w:tcW w:w="1606"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114,970,093.06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13,418,359.64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6,393,544.80</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12,540,188.06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147,322,185.56</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79" w:top="1060" w:bottom="1160" w:left="980" w:right="0"/>
        </w:sectPr>
      </w:pPr>
    </w:p>
    <w:p>
      <w:pPr>
        <w:spacing w:line="240" w:lineRule="auto" w:before="2"/>
        <w:rPr>
          <w:rFonts w:ascii="Times New Roman" w:hAnsi="Times New Roman" w:cs="Times New Roman" w:eastAsia="Times New Roman" w:hint="default"/>
          <w:sz w:val="28"/>
          <w:szCs w:val="28"/>
        </w:rPr>
      </w:pPr>
    </w:p>
    <w:p>
      <w:pPr>
        <w:pStyle w:val="Heading4"/>
        <w:spacing w:line="240" w:lineRule="auto" w:before="35"/>
        <w:ind w:right="1117"/>
        <w:jc w:val="left"/>
        <w:rPr>
          <w:b w:val="0"/>
          <w:bCs w:val="0"/>
        </w:rPr>
      </w:pPr>
      <w:bookmarkStart w:name="（2）暂时闲置的固定资产情况" w:id="254"/>
      <w:bookmarkEnd w:id="254"/>
      <w:r>
        <w:rPr>
          <w:b w:val="0"/>
          <w:bCs w:val="0"/>
        </w:rPr>
      </w:r>
      <w:r>
        <w:rPr/>
        <w:t>（</w:t>
      </w:r>
      <w:r>
        <w:rPr>
          <w:rFonts w:ascii="Times New Roman" w:hAnsi="Times New Roman" w:cs="Times New Roman" w:eastAsia="Times New Roman" w:hint="default"/>
        </w:rPr>
        <w:t>2</w:t>
      </w:r>
      <w:r>
        <w:rPr/>
        <w:t>）暂时闲置的固定资产情况</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1117"/>
        <w:jc w:val="left"/>
        <w:rPr>
          <w:b w:val="0"/>
          <w:bCs w:val="0"/>
        </w:rPr>
      </w:pPr>
      <w:bookmarkStart w:name="（3）通过融资租赁租入的固定资产情况" w:id="255"/>
      <w:bookmarkEnd w:id="255"/>
      <w:r>
        <w:rPr>
          <w:b w:val="0"/>
          <w:bCs w:val="0"/>
        </w:rPr>
      </w:r>
      <w:r>
        <w:rPr/>
        <w:t>（</w:t>
      </w:r>
      <w:r>
        <w:rPr>
          <w:rFonts w:ascii="Times New Roman" w:hAnsi="Times New Roman" w:cs="Times New Roman" w:eastAsia="Times New Roman" w:hint="default"/>
        </w:rPr>
        <w:t>3</w:t>
      </w:r>
      <w:r>
        <w:rPr/>
        <w:t>）通过融资租赁租入的固定资产情况</w:t>
      </w:r>
      <w:r>
        <w:rPr>
          <w:b w:val="0"/>
          <w:bCs w:val="0"/>
        </w:rPr>
      </w:r>
    </w:p>
    <w:p>
      <w:pPr>
        <w:spacing w:line="240" w:lineRule="auto" w:before="9"/>
        <w:rPr>
          <w:rFonts w:ascii="宋体" w:hAnsi="宋体" w:cs="宋体" w:eastAsia="宋体" w:hint="default"/>
          <w:b/>
          <w:bCs/>
          <w:sz w:val="24"/>
          <w:szCs w:val="24"/>
        </w:rPr>
      </w:pPr>
    </w:p>
    <w:p>
      <w:pPr>
        <w:pStyle w:val="Heading4"/>
        <w:spacing w:line="240" w:lineRule="auto"/>
        <w:ind w:right="1117"/>
        <w:jc w:val="left"/>
        <w:rPr>
          <w:b w:val="0"/>
          <w:bCs w:val="0"/>
        </w:rPr>
      </w:pPr>
      <w:bookmarkStart w:name="（4）通过经营租赁租出的固定资产" w:id="256"/>
      <w:bookmarkEnd w:id="256"/>
      <w:r>
        <w:rPr>
          <w:b w:val="0"/>
          <w:bCs w:val="0"/>
        </w:rPr>
      </w:r>
      <w:r>
        <w:rPr/>
        <w:t>（</w:t>
      </w:r>
      <w:r>
        <w:rPr>
          <w:rFonts w:ascii="Times New Roman" w:hAnsi="Times New Roman" w:cs="Times New Roman" w:eastAsia="Times New Roman" w:hint="default"/>
        </w:rPr>
        <w:t>4</w:t>
      </w:r>
      <w:r>
        <w:rPr/>
        <w:t>）通过经营租赁租出的固定资产</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1117"/>
        <w:jc w:val="left"/>
        <w:rPr>
          <w:b w:val="0"/>
          <w:bCs w:val="0"/>
        </w:rPr>
      </w:pPr>
      <w:bookmarkStart w:name="（5）未办妥产权证书的固定资产情况" w:id="257"/>
      <w:bookmarkEnd w:id="257"/>
      <w:r>
        <w:rPr>
          <w:b w:val="0"/>
          <w:bCs w:val="0"/>
        </w:rPr>
      </w:r>
      <w:r>
        <w:rPr/>
        <w:t>（</w:t>
      </w:r>
      <w:r>
        <w:rPr>
          <w:rFonts w:ascii="Times New Roman" w:hAnsi="Times New Roman" w:cs="Times New Roman" w:eastAsia="Times New Roman" w:hint="default"/>
        </w:rPr>
        <w:t>5</w:t>
      </w:r>
      <w:r>
        <w:rPr/>
        <w:t>）未办妥产权证书的固定资产情况</w:t>
      </w:r>
      <w:r>
        <w:rPr>
          <w:b w:val="0"/>
          <w:bCs w:val="0"/>
        </w:rPr>
      </w:r>
    </w:p>
    <w:p>
      <w:pPr>
        <w:spacing w:line="240" w:lineRule="auto" w:before="8"/>
        <w:rPr>
          <w:rFonts w:ascii="宋体" w:hAnsi="宋体" w:cs="宋体" w:eastAsia="宋体" w:hint="default"/>
          <w:b/>
          <w:bCs/>
          <w:sz w:val="26"/>
          <w:szCs w:val="26"/>
        </w:rPr>
      </w:pPr>
    </w:p>
    <w:p>
      <w:pPr>
        <w:spacing w:before="0"/>
        <w:ind w:left="154" w:right="1117"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pStyle w:val="Heading4"/>
        <w:spacing w:line="240" w:lineRule="auto"/>
        <w:ind w:right="1117"/>
        <w:jc w:val="left"/>
        <w:rPr>
          <w:b w:val="0"/>
          <w:bCs w:val="0"/>
        </w:rPr>
      </w:pPr>
      <w:bookmarkStart w:name="（6）固定资产清理" w:id="258"/>
      <w:bookmarkEnd w:id="258"/>
      <w:r>
        <w:rPr>
          <w:b w:val="0"/>
          <w:bCs w:val="0"/>
        </w:rPr>
      </w:r>
      <w:r>
        <w:rPr/>
        <w:t>（</w:t>
      </w:r>
      <w:r>
        <w:rPr>
          <w:rFonts w:ascii="Times New Roman" w:hAnsi="Times New Roman" w:cs="Times New Roman" w:eastAsia="Times New Roman" w:hint="default"/>
        </w:rPr>
        <w:t>6</w:t>
      </w:r>
      <w:r>
        <w:rPr/>
        <w:t>）固定资产清理</w:t>
      </w:r>
      <w:r>
        <w:rPr>
          <w:b w:val="0"/>
          <w:bCs w:val="0"/>
        </w:rPr>
      </w:r>
    </w:p>
    <w:p>
      <w:pPr>
        <w:spacing w:line="240" w:lineRule="auto" w:before="8"/>
        <w:rPr>
          <w:rFonts w:ascii="宋体" w:hAnsi="宋体" w:cs="宋体" w:eastAsia="宋体" w:hint="default"/>
          <w:b/>
          <w:bCs/>
          <w:sz w:val="26"/>
          <w:szCs w:val="26"/>
        </w:rPr>
      </w:pPr>
    </w:p>
    <w:p>
      <w:pPr>
        <w:spacing w:before="0"/>
        <w:ind w:left="154" w:right="1117"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pStyle w:val="Heading4"/>
        <w:spacing w:line="240" w:lineRule="auto"/>
        <w:ind w:right="1117"/>
        <w:jc w:val="left"/>
        <w:rPr>
          <w:b w:val="0"/>
          <w:bCs w:val="0"/>
        </w:rPr>
      </w:pPr>
      <w:bookmarkStart w:name="12、在建工程" w:id="259"/>
      <w:bookmarkEnd w:id="259"/>
      <w:r>
        <w:rPr>
          <w:b w:val="0"/>
          <w:bCs w:val="0"/>
        </w:rPr>
      </w:r>
      <w:r>
        <w:rPr>
          <w:rFonts w:ascii="Times New Roman" w:hAnsi="Times New Roman" w:cs="Times New Roman" w:eastAsia="Times New Roman" w:hint="default"/>
        </w:rPr>
        <w:t>12</w:t>
      </w:r>
      <w:r>
        <w:rPr/>
        <w:t>、在建工程</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884"/>
        <w:gridCol w:w="3827"/>
        <w:gridCol w:w="3858"/>
      </w:tblGrid>
      <w:tr>
        <w:trPr>
          <w:trHeight w:val="402" w:hRule="exact"/>
        </w:trPr>
        <w:tc>
          <w:tcPr>
            <w:tcW w:w="18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8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8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18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382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2,236,716.70</w:t>
            </w:r>
          </w:p>
        </w:tc>
        <w:tc>
          <w:tcPr>
            <w:tcW w:w="3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1,783,603.93</w:t>
            </w:r>
          </w:p>
        </w:tc>
      </w:tr>
      <w:tr>
        <w:trPr>
          <w:trHeight w:val="402" w:hRule="exact"/>
        </w:trPr>
        <w:tc>
          <w:tcPr>
            <w:tcW w:w="18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82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2,236,716.70</w:t>
            </w:r>
          </w:p>
        </w:tc>
        <w:tc>
          <w:tcPr>
            <w:tcW w:w="3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1,783,603.93</w:t>
            </w:r>
          </w:p>
        </w:tc>
      </w:tr>
    </w:tbl>
    <w:p>
      <w:pPr>
        <w:spacing w:line="240" w:lineRule="auto" w:before="3"/>
        <w:rPr>
          <w:rFonts w:ascii="宋体" w:hAnsi="宋体" w:cs="宋体" w:eastAsia="宋体" w:hint="default"/>
          <w:sz w:val="19"/>
          <w:szCs w:val="19"/>
        </w:rPr>
      </w:pPr>
    </w:p>
    <w:p>
      <w:pPr>
        <w:pStyle w:val="Heading4"/>
        <w:spacing w:line="240" w:lineRule="auto" w:before="35"/>
        <w:ind w:right="1117"/>
        <w:jc w:val="left"/>
        <w:rPr>
          <w:b w:val="0"/>
          <w:bCs w:val="0"/>
        </w:rPr>
      </w:pPr>
      <w:bookmarkStart w:name="（1）在建工程情况" w:id="260"/>
      <w:bookmarkEnd w:id="260"/>
      <w:r>
        <w:rPr>
          <w:b w:val="0"/>
          <w:bCs w:val="0"/>
        </w:rPr>
      </w:r>
      <w:r>
        <w:rPr/>
        <w:t>（</w:t>
      </w:r>
      <w:r>
        <w:rPr>
          <w:rFonts w:ascii="Times New Roman" w:hAnsi="Times New Roman" w:cs="Times New Roman" w:eastAsia="Times New Roman" w:hint="default"/>
        </w:rPr>
        <w:t>1</w:t>
      </w:r>
      <w:r>
        <w:rPr/>
        <w:t>）在建工程情况</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368"/>
        <w:gridCol w:w="1368"/>
        <w:gridCol w:w="1367"/>
        <w:gridCol w:w="1367"/>
        <w:gridCol w:w="1368"/>
        <w:gridCol w:w="1367"/>
        <w:gridCol w:w="1367"/>
      </w:tblGrid>
      <w:tr>
        <w:trPr>
          <w:trHeight w:val="402" w:hRule="exact"/>
        </w:trPr>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102"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102"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1368" w:type="dxa"/>
            <w:vMerge/>
            <w:tcBorders>
              <w:left w:val="single" w:sz="4" w:space="0" w:color="000000"/>
              <w:bottom w:val="single" w:sz="4" w:space="0" w:color="000000"/>
              <w:right w:val="single" w:sz="4" w:space="0" w:color="000000"/>
            </w:tcBorders>
            <w:shd w:val="clear" w:color="auto" w:fill="D2D2D2"/>
          </w:tcPr>
          <w:p>
            <w:pP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8"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7"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8"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7"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设备工程</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237,662.19</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237,662.19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483,889.63</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483,889.63</w:t>
            </w: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模具</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1,999,054.51</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1,999,054.51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1,299,714.30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1,299,714.30</w:t>
            </w: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6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2,236,716.70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2,236,716.70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1,783,603.93</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1,783,603.93</w:t>
            </w:r>
          </w:p>
        </w:tc>
      </w:tr>
    </w:tbl>
    <w:p>
      <w:pPr>
        <w:spacing w:line="240" w:lineRule="auto" w:before="2"/>
        <w:rPr>
          <w:rFonts w:ascii="宋体" w:hAnsi="宋体" w:cs="宋体" w:eastAsia="宋体" w:hint="default"/>
          <w:sz w:val="19"/>
          <w:szCs w:val="19"/>
        </w:rPr>
      </w:pPr>
    </w:p>
    <w:p>
      <w:pPr>
        <w:pStyle w:val="Heading4"/>
        <w:spacing w:line="240" w:lineRule="auto" w:before="35"/>
        <w:ind w:right="1117"/>
        <w:jc w:val="left"/>
        <w:rPr>
          <w:b w:val="0"/>
          <w:bCs w:val="0"/>
        </w:rPr>
      </w:pPr>
      <w:bookmarkStart w:name="（2）重要在建工程项目本期变动情况" w:id="261"/>
      <w:bookmarkEnd w:id="261"/>
      <w:r>
        <w:rPr>
          <w:b w:val="0"/>
          <w:bCs w:val="0"/>
        </w:rPr>
      </w:r>
      <w:r>
        <w:rPr/>
        <w:t>（</w:t>
      </w:r>
      <w:r>
        <w:rPr>
          <w:rFonts w:ascii="Times New Roman" w:hAnsi="Times New Roman" w:cs="Times New Roman" w:eastAsia="Times New Roman" w:hint="default"/>
        </w:rPr>
        <w:t>2</w:t>
      </w:r>
      <w:r>
        <w:rPr/>
        <w:t>）重要在建工程项目本期变动情况</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732"/>
        <w:gridCol w:w="736"/>
        <w:gridCol w:w="737"/>
        <w:gridCol w:w="736"/>
        <w:gridCol w:w="736"/>
        <w:gridCol w:w="737"/>
        <w:gridCol w:w="736"/>
        <w:gridCol w:w="736"/>
        <w:gridCol w:w="737"/>
        <w:gridCol w:w="736"/>
        <w:gridCol w:w="736"/>
        <w:gridCol w:w="737"/>
        <w:gridCol w:w="736"/>
      </w:tblGrid>
      <w:tr>
        <w:trPr>
          <w:trHeight w:val="1337" w:hRule="exact"/>
        </w:trPr>
        <w:tc>
          <w:tcPr>
            <w:tcW w:w="7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270" w:right="90" w:hanging="180"/>
              <w:jc w:val="left"/>
              <w:rPr>
                <w:rFonts w:ascii="宋体" w:hAnsi="宋体" w:cs="宋体" w:eastAsia="宋体" w:hint="default"/>
                <w:sz w:val="18"/>
                <w:szCs w:val="18"/>
              </w:rPr>
            </w:pPr>
            <w:r>
              <w:rPr>
                <w:rFonts w:ascii="宋体" w:hAnsi="宋体" w:cs="宋体" w:eastAsia="宋体" w:hint="default"/>
                <w:sz w:val="18"/>
                <w:szCs w:val="18"/>
              </w:rPr>
              <w:t>项目名 称</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92" w:right="0"/>
              <w:jc w:val="left"/>
              <w:rPr>
                <w:rFonts w:ascii="宋体" w:hAnsi="宋体" w:cs="宋体" w:eastAsia="宋体" w:hint="default"/>
                <w:sz w:val="18"/>
                <w:szCs w:val="18"/>
              </w:rPr>
            </w:pPr>
            <w:r>
              <w:rPr>
                <w:rFonts w:ascii="宋体" w:hAnsi="宋体" w:cs="宋体" w:eastAsia="宋体" w:hint="default"/>
                <w:sz w:val="18"/>
                <w:szCs w:val="18"/>
              </w:rPr>
              <w:t>预算数</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273" w:right="91" w:hanging="180"/>
              <w:jc w:val="left"/>
              <w:rPr>
                <w:rFonts w:ascii="宋体" w:hAnsi="宋体" w:cs="宋体" w:eastAsia="宋体" w:hint="default"/>
                <w:sz w:val="18"/>
                <w:szCs w:val="18"/>
              </w:rPr>
            </w:pPr>
            <w:r>
              <w:rPr>
                <w:rFonts w:ascii="宋体" w:hAnsi="宋体" w:cs="宋体" w:eastAsia="宋体" w:hint="default"/>
                <w:sz w:val="18"/>
                <w:szCs w:val="18"/>
              </w:rPr>
              <w:t>期初余 额</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92" w:right="91"/>
              <w:jc w:val="left"/>
              <w:rPr>
                <w:rFonts w:ascii="宋体" w:hAnsi="宋体" w:cs="宋体" w:eastAsia="宋体" w:hint="default"/>
                <w:sz w:val="18"/>
                <w:szCs w:val="18"/>
              </w:rPr>
            </w:pPr>
            <w:r>
              <w:rPr>
                <w:rFonts w:ascii="宋体" w:hAnsi="宋体" w:cs="宋体" w:eastAsia="宋体" w:hint="default"/>
                <w:sz w:val="18"/>
                <w:szCs w:val="18"/>
              </w:rPr>
              <w:t>本期增 加金额</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92" w:right="91"/>
              <w:jc w:val="center"/>
              <w:rPr>
                <w:rFonts w:ascii="宋体" w:hAnsi="宋体" w:cs="宋体" w:eastAsia="宋体" w:hint="default"/>
                <w:sz w:val="18"/>
                <w:szCs w:val="18"/>
              </w:rPr>
            </w:pPr>
            <w:r>
              <w:rPr>
                <w:rFonts w:ascii="宋体" w:hAnsi="宋体" w:cs="宋体" w:eastAsia="宋体" w:hint="default"/>
                <w:sz w:val="18"/>
                <w:szCs w:val="18"/>
              </w:rPr>
              <w:t>本期转 入固定 资产金 额</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93" w:right="91"/>
              <w:jc w:val="both"/>
              <w:rPr>
                <w:rFonts w:ascii="宋体" w:hAnsi="宋体" w:cs="宋体" w:eastAsia="宋体" w:hint="default"/>
                <w:sz w:val="18"/>
                <w:szCs w:val="18"/>
              </w:rPr>
            </w:pPr>
            <w:r>
              <w:rPr>
                <w:rFonts w:ascii="宋体" w:hAnsi="宋体" w:cs="宋体" w:eastAsia="宋体" w:hint="default"/>
                <w:sz w:val="18"/>
                <w:szCs w:val="18"/>
              </w:rPr>
              <w:t>本期其 他减少 金额</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272" w:right="91" w:hanging="180"/>
              <w:jc w:val="left"/>
              <w:rPr>
                <w:rFonts w:ascii="宋体" w:hAnsi="宋体" w:cs="宋体" w:eastAsia="宋体" w:hint="default"/>
                <w:sz w:val="18"/>
                <w:szCs w:val="18"/>
              </w:rPr>
            </w:pPr>
            <w:r>
              <w:rPr>
                <w:rFonts w:ascii="宋体" w:hAnsi="宋体" w:cs="宋体" w:eastAsia="宋体" w:hint="default"/>
                <w:sz w:val="18"/>
                <w:szCs w:val="18"/>
              </w:rPr>
              <w:t>期末余 额</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92" w:right="91"/>
              <w:jc w:val="both"/>
              <w:rPr>
                <w:rFonts w:ascii="宋体" w:hAnsi="宋体" w:cs="宋体" w:eastAsia="宋体" w:hint="default"/>
                <w:sz w:val="18"/>
                <w:szCs w:val="18"/>
              </w:rPr>
            </w:pPr>
            <w:r>
              <w:rPr>
                <w:rFonts w:ascii="宋体" w:hAnsi="宋体" w:cs="宋体" w:eastAsia="宋体" w:hint="default"/>
                <w:sz w:val="18"/>
                <w:szCs w:val="18"/>
              </w:rPr>
              <w:t>工程累 计投入 占预算 比例</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273" w:right="91" w:hanging="180"/>
              <w:jc w:val="left"/>
              <w:rPr>
                <w:rFonts w:ascii="宋体" w:hAnsi="宋体" w:cs="宋体" w:eastAsia="宋体" w:hint="default"/>
                <w:sz w:val="18"/>
                <w:szCs w:val="18"/>
              </w:rPr>
            </w:pPr>
            <w:r>
              <w:rPr>
                <w:rFonts w:ascii="宋体" w:hAnsi="宋体" w:cs="宋体" w:eastAsia="宋体" w:hint="default"/>
                <w:sz w:val="18"/>
                <w:szCs w:val="18"/>
              </w:rPr>
              <w:t>工程进 度</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92" w:right="93"/>
              <w:jc w:val="both"/>
              <w:rPr>
                <w:rFonts w:ascii="宋体" w:hAnsi="宋体" w:cs="宋体" w:eastAsia="宋体" w:hint="default"/>
                <w:sz w:val="18"/>
                <w:szCs w:val="18"/>
              </w:rPr>
            </w:pPr>
            <w:r>
              <w:rPr>
                <w:rFonts w:ascii="宋体" w:hAnsi="宋体" w:cs="宋体" w:eastAsia="宋体" w:hint="default"/>
                <w:sz w:val="18"/>
                <w:szCs w:val="18"/>
              </w:rPr>
              <w:t>利息资 本化累 计金额</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22" w:right="20"/>
              <w:jc w:val="center"/>
              <w:rPr>
                <w:rFonts w:ascii="宋体" w:hAnsi="宋体" w:cs="宋体" w:eastAsia="宋体" w:hint="default"/>
                <w:sz w:val="18"/>
                <w:szCs w:val="18"/>
              </w:rPr>
            </w:pPr>
            <w:r>
              <w:rPr>
                <w:rFonts w:ascii="宋体" w:hAnsi="宋体" w:cs="宋体" w:eastAsia="宋体" w:hint="default"/>
                <w:spacing w:val="-10"/>
                <w:sz w:val="18"/>
                <w:szCs w:val="18"/>
              </w:rPr>
              <w:t>其中：本</w:t>
            </w:r>
            <w:r>
              <w:rPr>
                <w:rFonts w:ascii="宋体" w:hAnsi="宋体" w:cs="宋体" w:eastAsia="宋体" w:hint="default"/>
                <w:sz w:val="18"/>
                <w:szCs w:val="18"/>
              </w:rPr>
              <w:t> 期利息 资本化 金额</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93" w:right="91"/>
              <w:jc w:val="both"/>
              <w:rPr>
                <w:rFonts w:ascii="宋体" w:hAnsi="宋体" w:cs="宋体" w:eastAsia="宋体" w:hint="default"/>
                <w:sz w:val="18"/>
                <w:szCs w:val="18"/>
              </w:rPr>
            </w:pPr>
            <w:r>
              <w:rPr>
                <w:rFonts w:ascii="宋体" w:hAnsi="宋体" w:cs="宋体" w:eastAsia="宋体" w:hint="default"/>
                <w:sz w:val="18"/>
                <w:szCs w:val="18"/>
              </w:rPr>
              <w:t>本期利 息资本 化率</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272" w:right="91" w:hanging="180"/>
              <w:jc w:val="left"/>
              <w:rPr>
                <w:rFonts w:ascii="宋体" w:hAnsi="宋体" w:cs="宋体" w:eastAsia="宋体" w:hint="default"/>
                <w:sz w:val="18"/>
                <w:szCs w:val="18"/>
              </w:rPr>
            </w:pPr>
            <w:r>
              <w:rPr>
                <w:rFonts w:ascii="宋体" w:hAnsi="宋体" w:cs="宋体" w:eastAsia="宋体" w:hint="default"/>
                <w:sz w:val="18"/>
                <w:szCs w:val="18"/>
              </w:rPr>
              <w:t>资金来 源</w:t>
            </w:r>
          </w:p>
        </w:tc>
      </w:tr>
      <w:tr>
        <w:trPr>
          <w:trHeight w:val="1299" w:hRule="exact"/>
        </w:trPr>
        <w:tc>
          <w:tcPr>
            <w:tcW w:w="732" w:type="dxa"/>
            <w:tcBorders>
              <w:top w:val="single" w:sz="4" w:space="0" w:color="000000"/>
              <w:left w:val="single" w:sz="4" w:space="0" w:color="000000"/>
              <w:bottom w:val="single" w:sz="4" w:space="0" w:color="000000"/>
              <w:right w:val="single" w:sz="4" w:space="0" w:color="000000"/>
            </w:tcBorders>
          </w:tcPr>
          <w:p>
            <w:pPr>
              <w:pStyle w:val="TableParagraph"/>
              <w:spacing w:line="360" w:lineRule="auto" w:before="92"/>
              <w:ind w:left="22" w:right="28"/>
              <w:jc w:val="left"/>
              <w:rPr>
                <w:rFonts w:ascii="Times New Roman" w:hAnsi="Times New Roman" w:cs="Times New Roman" w:eastAsia="Times New Roman" w:hint="default"/>
                <w:sz w:val="18"/>
                <w:szCs w:val="18"/>
              </w:rPr>
            </w:pPr>
            <w:r>
              <w:rPr>
                <w:rFonts w:ascii="Times New Roman"/>
                <w:sz w:val="18"/>
              </w:rPr>
              <w:t>NCP910/ NCP920</w:t>
            </w:r>
          </w:p>
          <w:p>
            <w:pPr>
              <w:pStyle w:val="TableParagraph"/>
              <w:spacing w:line="201" w:lineRule="exact"/>
              <w:ind w:left="22" w:right="0"/>
              <w:jc w:val="left"/>
              <w:rPr>
                <w:rFonts w:ascii="宋体" w:hAnsi="宋体" w:cs="宋体" w:eastAsia="宋体" w:hint="default"/>
                <w:sz w:val="18"/>
                <w:szCs w:val="18"/>
              </w:rPr>
            </w:pPr>
            <w:r>
              <w:rPr>
                <w:rFonts w:ascii="宋体" w:hAnsi="宋体" w:cs="宋体" w:eastAsia="宋体" w:hint="default"/>
                <w:sz w:val="18"/>
                <w:szCs w:val="18"/>
              </w:rPr>
              <w:t>宽带载</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波通信</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9"/>
              <w:ind w:left="73" w:right="0"/>
              <w:jc w:val="left"/>
              <w:rPr>
                <w:rFonts w:ascii="Times New Roman" w:hAnsi="Times New Roman" w:cs="Times New Roman" w:eastAsia="Times New Roman" w:hint="default"/>
                <w:sz w:val="18"/>
                <w:szCs w:val="18"/>
              </w:rPr>
            </w:pPr>
            <w:r>
              <w:rPr>
                <w:rFonts w:ascii="Times New Roman"/>
                <w:sz w:val="18"/>
              </w:rPr>
              <w:t>2,000,00</w:t>
            </w:r>
          </w:p>
          <w:p>
            <w:pPr>
              <w:pStyle w:val="TableParagraph"/>
              <w:spacing w:line="240" w:lineRule="auto" w:before="105"/>
              <w:ind w:left="388" w:right="0"/>
              <w:jc w:val="left"/>
              <w:rPr>
                <w:rFonts w:ascii="Times New Roman" w:hAnsi="Times New Roman" w:cs="Times New Roman" w:eastAsia="Times New Roman" w:hint="default"/>
                <w:sz w:val="18"/>
                <w:szCs w:val="18"/>
              </w:rPr>
            </w:pPr>
            <w:r>
              <w:rPr>
                <w:rFonts w:ascii="Times New Roman"/>
                <w:sz w:val="18"/>
              </w:rPr>
              <w:t>0.00</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9"/>
              <w:ind w:right="20"/>
              <w:jc w:val="right"/>
              <w:rPr>
                <w:rFonts w:ascii="Times New Roman" w:hAnsi="Times New Roman" w:cs="Times New Roman" w:eastAsia="Times New Roman" w:hint="default"/>
                <w:sz w:val="18"/>
                <w:szCs w:val="18"/>
              </w:rPr>
            </w:pPr>
            <w:r>
              <w:rPr>
                <w:rFonts w:ascii="Times New Roman"/>
                <w:sz w:val="18"/>
              </w:rPr>
              <w:t>754,716.</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98</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9"/>
              <w:ind w:right="20"/>
              <w:jc w:val="right"/>
              <w:rPr>
                <w:rFonts w:ascii="Times New Roman" w:hAnsi="Times New Roman" w:cs="Times New Roman" w:eastAsia="Times New Roman" w:hint="default"/>
                <w:sz w:val="18"/>
                <w:szCs w:val="18"/>
              </w:rPr>
            </w:pPr>
            <w:r>
              <w:rPr>
                <w:rFonts w:ascii="Times New Roman"/>
                <w:sz w:val="18"/>
              </w:rPr>
              <w:t>660,194.</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18</w:t>
            </w:r>
          </w:p>
        </w:tc>
        <w:tc>
          <w:tcPr>
            <w:tcW w:w="736"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9"/>
              <w:ind w:left="80" w:right="0"/>
              <w:jc w:val="left"/>
              <w:rPr>
                <w:rFonts w:ascii="Times New Roman" w:hAnsi="Times New Roman" w:cs="Times New Roman" w:eastAsia="Times New Roman" w:hint="default"/>
                <w:sz w:val="18"/>
                <w:szCs w:val="18"/>
              </w:rPr>
            </w:pPr>
            <w:r>
              <w:rPr>
                <w:rFonts w:ascii="Times New Roman"/>
                <w:sz w:val="18"/>
              </w:rPr>
              <w:t>1,414,91</w:t>
            </w:r>
          </w:p>
          <w:p>
            <w:pPr>
              <w:pStyle w:val="TableParagraph"/>
              <w:spacing w:line="240" w:lineRule="auto" w:before="105"/>
              <w:ind w:left="388" w:right="0"/>
              <w:jc w:val="left"/>
              <w:rPr>
                <w:rFonts w:ascii="Times New Roman" w:hAnsi="Times New Roman" w:cs="Times New Roman" w:eastAsia="Times New Roman" w:hint="default"/>
                <w:sz w:val="18"/>
                <w:szCs w:val="18"/>
              </w:rPr>
            </w:pPr>
            <w:r>
              <w:rPr>
                <w:rFonts w:ascii="Times New Roman"/>
                <w:sz w:val="18"/>
              </w:rPr>
              <w:t>1.16</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3"/>
                <w:szCs w:val="23"/>
              </w:rPr>
            </w:pPr>
          </w:p>
          <w:p>
            <w:pPr>
              <w:pStyle w:val="TableParagraph"/>
              <w:spacing w:line="240" w:lineRule="auto"/>
              <w:ind w:left="148" w:right="0"/>
              <w:jc w:val="left"/>
              <w:rPr>
                <w:rFonts w:ascii="Times New Roman" w:hAnsi="Times New Roman" w:cs="Times New Roman" w:eastAsia="Times New Roman" w:hint="default"/>
                <w:sz w:val="18"/>
                <w:szCs w:val="18"/>
              </w:rPr>
            </w:pPr>
            <w:r>
              <w:rPr>
                <w:rFonts w:ascii="Times New Roman"/>
                <w:sz w:val="18"/>
              </w:rPr>
              <w:t>74.00%</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3"/>
                <w:szCs w:val="23"/>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sz w:val="18"/>
              </w:rPr>
              <w:t>74.00%</w:t>
            </w:r>
          </w:p>
        </w:tc>
        <w:tc>
          <w:tcPr>
            <w:tcW w:w="736"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r>
    </w:tbl>
    <w:p>
      <w:pPr>
        <w:spacing w:after="0" w:line="240" w:lineRule="auto"/>
        <w:jc w:val="left"/>
        <w:rPr>
          <w:rFonts w:ascii="宋体" w:hAnsi="宋体" w:cs="宋体" w:eastAsia="宋体" w:hint="default"/>
          <w:sz w:val="18"/>
          <w:szCs w:val="18"/>
        </w:rPr>
        <w:sectPr>
          <w:pgSz w:w="11910" w:h="16840"/>
          <w:pgMar w:header="87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732"/>
        <w:gridCol w:w="736"/>
        <w:gridCol w:w="737"/>
        <w:gridCol w:w="736"/>
        <w:gridCol w:w="736"/>
        <w:gridCol w:w="737"/>
        <w:gridCol w:w="736"/>
        <w:gridCol w:w="736"/>
        <w:gridCol w:w="737"/>
        <w:gridCol w:w="736"/>
        <w:gridCol w:w="736"/>
        <w:gridCol w:w="737"/>
        <w:gridCol w:w="736"/>
      </w:tblGrid>
      <w:tr>
        <w:trPr>
          <w:trHeight w:val="674" w:hRule="exact"/>
        </w:trPr>
        <w:tc>
          <w:tcPr>
            <w:tcW w:w="73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22" w:right="159"/>
              <w:jc w:val="left"/>
              <w:rPr>
                <w:rFonts w:ascii="宋体" w:hAnsi="宋体" w:cs="宋体" w:eastAsia="宋体" w:hint="default"/>
                <w:sz w:val="18"/>
                <w:szCs w:val="18"/>
              </w:rPr>
            </w:pPr>
            <w:r>
              <w:rPr>
                <w:rFonts w:ascii="宋体" w:hAnsi="宋体" w:cs="宋体" w:eastAsia="宋体" w:hint="default"/>
                <w:sz w:val="18"/>
                <w:szCs w:val="18"/>
              </w:rPr>
              <w:t>芯片模 具开发</w:t>
            </w:r>
          </w:p>
        </w:tc>
        <w:tc>
          <w:tcPr>
            <w:tcW w:w="736"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73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59"/>
              <w:jc w:val="both"/>
              <w:rPr>
                <w:rFonts w:ascii="宋体" w:hAnsi="宋体" w:cs="宋体" w:eastAsia="宋体" w:hint="default"/>
                <w:sz w:val="18"/>
                <w:szCs w:val="18"/>
              </w:rPr>
            </w:pPr>
            <w:r>
              <w:rPr>
                <w:rFonts w:ascii="宋体" w:hAnsi="宋体" w:cs="宋体" w:eastAsia="宋体" w:hint="default"/>
                <w:sz w:val="18"/>
                <w:szCs w:val="18"/>
              </w:rPr>
              <w:t>终端设 备二维 码识别 终端</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300,000.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00</w:t>
            </w:r>
          </w:p>
        </w:tc>
        <w:tc>
          <w:tcPr>
            <w:tcW w:w="737"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300,000.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00</w:t>
            </w:r>
          </w:p>
        </w:tc>
        <w:tc>
          <w:tcPr>
            <w:tcW w:w="736"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300,000.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00</w:t>
            </w:r>
          </w:p>
        </w:tc>
        <w:tc>
          <w:tcPr>
            <w:tcW w:w="736"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36" w:right="0"/>
              <w:jc w:val="center"/>
              <w:rPr>
                <w:rFonts w:ascii="Times New Roman" w:hAnsi="Times New Roman" w:cs="Times New Roman" w:eastAsia="Times New Roman" w:hint="default"/>
                <w:sz w:val="18"/>
                <w:szCs w:val="18"/>
              </w:rPr>
            </w:pPr>
            <w:r>
              <w:rPr>
                <w:rFonts w:ascii="Times New Roman"/>
                <w:sz w:val="18"/>
              </w:rPr>
              <w:t>100.00%</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31"/>
              <w:jc w:val="center"/>
              <w:rPr>
                <w:rFonts w:ascii="Times New Roman" w:hAnsi="Times New Roman" w:cs="Times New Roman" w:eastAsia="Times New Roman" w:hint="default"/>
                <w:sz w:val="18"/>
                <w:szCs w:val="18"/>
              </w:rPr>
            </w:pPr>
            <w:r>
              <w:rPr>
                <w:rFonts w:ascii="Times New Roman"/>
                <w:sz w:val="18"/>
              </w:rPr>
              <w:t>100.00%</w:t>
            </w:r>
          </w:p>
        </w:tc>
        <w:tc>
          <w:tcPr>
            <w:tcW w:w="736"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right="341"/>
              <w:jc w:val="right"/>
              <w:rPr>
                <w:rFonts w:ascii="宋体" w:hAnsi="宋体" w:cs="宋体" w:eastAsia="宋体" w:hint="default"/>
                <w:sz w:val="18"/>
                <w:szCs w:val="18"/>
              </w:rPr>
            </w:pPr>
            <w:r>
              <w:rPr>
                <w:rFonts w:ascii="宋体" w:hAnsi="宋体" w:cs="宋体" w:eastAsia="宋体" w:hint="default"/>
                <w:sz w:val="18"/>
                <w:szCs w:val="18"/>
              </w:rPr>
              <w:t>其他</w:t>
            </w:r>
          </w:p>
        </w:tc>
      </w:tr>
      <w:tr>
        <w:trPr>
          <w:trHeight w:val="714" w:hRule="exact"/>
        </w:trPr>
        <w:tc>
          <w:tcPr>
            <w:tcW w:w="7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3" w:right="0"/>
              <w:jc w:val="left"/>
              <w:rPr>
                <w:rFonts w:ascii="Times New Roman" w:hAnsi="Times New Roman" w:cs="Times New Roman" w:eastAsia="Times New Roman" w:hint="default"/>
                <w:sz w:val="18"/>
                <w:szCs w:val="18"/>
              </w:rPr>
            </w:pPr>
            <w:r>
              <w:rPr>
                <w:rFonts w:ascii="Times New Roman"/>
                <w:sz w:val="18"/>
              </w:rPr>
              <w:t>2,300,00</w:t>
            </w:r>
          </w:p>
          <w:p>
            <w:pPr>
              <w:pStyle w:val="TableParagraph"/>
              <w:spacing w:line="240" w:lineRule="auto" w:before="105"/>
              <w:ind w:left="388" w:right="0"/>
              <w:jc w:val="left"/>
              <w:rPr>
                <w:rFonts w:ascii="Times New Roman" w:hAnsi="Times New Roman" w:cs="Times New Roman" w:eastAsia="Times New Roman" w:hint="default"/>
                <w:sz w:val="18"/>
                <w:szCs w:val="18"/>
              </w:rPr>
            </w:pPr>
            <w:r>
              <w:rPr>
                <w:rFonts w:ascii="Times New Roman"/>
                <w:sz w:val="18"/>
              </w:rPr>
              <w:t>0.00</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754,716.</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98</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960,194.</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18</w:t>
            </w:r>
          </w:p>
        </w:tc>
        <w:tc>
          <w:tcPr>
            <w:tcW w:w="736"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300,000.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00</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0" w:right="0"/>
              <w:jc w:val="left"/>
              <w:rPr>
                <w:rFonts w:ascii="Times New Roman" w:hAnsi="Times New Roman" w:cs="Times New Roman" w:eastAsia="Times New Roman" w:hint="default"/>
                <w:sz w:val="18"/>
                <w:szCs w:val="18"/>
              </w:rPr>
            </w:pPr>
            <w:r>
              <w:rPr>
                <w:rFonts w:ascii="Times New Roman"/>
                <w:sz w:val="18"/>
              </w:rPr>
              <w:t>1,414,91</w:t>
            </w:r>
          </w:p>
          <w:p>
            <w:pPr>
              <w:pStyle w:val="TableParagraph"/>
              <w:spacing w:line="240" w:lineRule="auto" w:before="105"/>
              <w:ind w:left="388" w:right="0"/>
              <w:jc w:val="left"/>
              <w:rPr>
                <w:rFonts w:ascii="Times New Roman" w:hAnsi="Times New Roman" w:cs="Times New Roman" w:eastAsia="Times New Roman" w:hint="default"/>
                <w:sz w:val="18"/>
                <w:szCs w:val="18"/>
              </w:rPr>
            </w:pPr>
            <w:r>
              <w:rPr>
                <w:rFonts w:ascii="Times New Roman"/>
                <w:sz w:val="18"/>
              </w:rPr>
              <w:t>1.16</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736"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301"/>
              <w:jc w:val="right"/>
              <w:rPr>
                <w:rFonts w:ascii="Times New Roman" w:hAnsi="Times New Roman" w:cs="Times New Roman" w:eastAsia="Times New Roman" w:hint="default"/>
                <w:sz w:val="18"/>
                <w:szCs w:val="18"/>
              </w:rPr>
            </w:pPr>
            <w:r>
              <w:rPr>
                <w:rFonts w:ascii="Times New Roman"/>
                <w:sz w:val="18"/>
              </w:rPr>
              <w:t>--</w:t>
            </w:r>
          </w:p>
        </w:tc>
      </w:tr>
    </w:tbl>
    <w:p>
      <w:pPr>
        <w:spacing w:line="240" w:lineRule="auto" w:before="2"/>
        <w:rPr>
          <w:rFonts w:ascii="宋体" w:hAnsi="宋体" w:cs="宋体" w:eastAsia="宋体" w:hint="default"/>
          <w:sz w:val="19"/>
          <w:szCs w:val="19"/>
        </w:rPr>
      </w:pPr>
    </w:p>
    <w:p>
      <w:pPr>
        <w:pStyle w:val="Heading4"/>
        <w:spacing w:line="240" w:lineRule="auto" w:before="35"/>
        <w:ind w:right="1117"/>
        <w:jc w:val="left"/>
        <w:rPr>
          <w:b w:val="0"/>
          <w:bCs w:val="0"/>
        </w:rPr>
      </w:pPr>
      <w:bookmarkStart w:name="（3）本期计提在建工程减值准备情况" w:id="262"/>
      <w:bookmarkEnd w:id="262"/>
      <w:r>
        <w:rPr>
          <w:b w:val="0"/>
          <w:bCs w:val="0"/>
        </w:rPr>
      </w:r>
      <w:r>
        <w:rPr/>
        <w:t>（</w:t>
      </w:r>
      <w:r>
        <w:rPr>
          <w:rFonts w:ascii="Times New Roman" w:hAnsi="Times New Roman" w:cs="Times New Roman" w:eastAsia="Times New Roman" w:hint="default"/>
        </w:rPr>
        <w:t>3</w:t>
      </w:r>
      <w:r>
        <w:rPr/>
        <w:t>）本期计提在建工程减值准备情况</w:t>
      </w:r>
      <w:r>
        <w:rPr>
          <w:b w:val="0"/>
          <w:bCs w:val="0"/>
        </w:rPr>
      </w:r>
    </w:p>
    <w:p>
      <w:pPr>
        <w:spacing w:line="240" w:lineRule="auto" w:before="8"/>
        <w:rPr>
          <w:rFonts w:ascii="宋体" w:hAnsi="宋体" w:cs="宋体" w:eastAsia="宋体" w:hint="default"/>
          <w:b/>
          <w:bCs/>
          <w:sz w:val="26"/>
          <w:szCs w:val="26"/>
        </w:rPr>
      </w:pPr>
    </w:p>
    <w:p>
      <w:pPr>
        <w:spacing w:before="0"/>
        <w:ind w:left="154" w:right="1117"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0"/>
        <w:rPr>
          <w:rFonts w:ascii="宋体" w:hAnsi="宋体" w:cs="宋体" w:eastAsia="宋体" w:hint="default"/>
          <w:sz w:val="12"/>
          <w:szCs w:val="12"/>
        </w:rPr>
      </w:pPr>
    </w:p>
    <w:p>
      <w:pPr>
        <w:pStyle w:val="BodyText"/>
        <w:spacing w:line="386" w:lineRule="auto" w:before="0"/>
        <w:ind w:right="0" w:firstLine="423"/>
        <w:jc w:val="left"/>
      </w:pPr>
      <w:r>
        <w:rPr>
          <w:rFonts w:ascii="Times New Roman" w:hAnsi="Times New Roman" w:cs="Times New Roman" w:eastAsia="Times New Roman" w:hint="default"/>
        </w:rPr>
        <w:t>1</w:t>
      </w:r>
      <w:r>
        <w:rPr/>
        <w:t>、</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9</w:t>
      </w:r>
      <w:r>
        <w:rPr/>
        <w:t>月公司与创达特（苏州）科技有限责任公司签署“宽带载波通信芯片”技术开发（委托）</w:t>
      </w:r>
      <w:r>
        <w:rPr>
          <w:spacing w:val="2"/>
        </w:rPr>
        <w:t> </w:t>
      </w:r>
      <w:r>
        <w:rPr/>
        <w:t>协议，用于委外研发的芯片生产的磨具，合同金额为</w:t>
      </w:r>
      <w:r>
        <w:rPr>
          <w:rFonts w:ascii="Times New Roman" w:hAnsi="Times New Roman" w:cs="Times New Roman" w:eastAsia="Times New Roman" w:hint="default"/>
        </w:rPr>
        <w:t>200.00</w:t>
      </w:r>
      <w:r>
        <w:rPr/>
        <w:t>万，截至</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日，已支付合同金额的 </w:t>
      </w:r>
      <w:r>
        <w:rPr>
          <w:rFonts w:ascii="Times New Roman" w:hAnsi="Times New Roman" w:cs="Times New Roman" w:eastAsia="Times New Roman" w:hint="default"/>
        </w:rPr>
        <w:t>74.00%</w:t>
      </w:r>
      <w:r>
        <w:rPr/>
        <w:t>，含税金额</w:t>
      </w:r>
      <w:r>
        <w:rPr>
          <w:rFonts w:ascii="Times New Roman" w:hAnsi="Times New Roman" w:cs="Times New Roman" w:eastAsia="Times New Roman" w:hint="default"/>
        </w:rPr>
        <w:t>148.00</w:t>
      </w:r>
      <w:r>
        <w:rPr/>
        <w:t>万元。</w:t>
      </w:r>
    </w:p>
    <w:p>
      <w:pPr>
        <w:pStyle w:val="BodyText"/>
        <w:spacing w:line="240" w:lineRule="auto" w:before="35"/>
        <w:ind w:left="577" w:right="1117"/>
        <w:jc w:val="left"/>
      </w:pPr>
      <w:r>
        <w:rPr>
          <w:rFonts w:ascii="Times New Roman" w:hAnsi="Times New Roman" w:cs="Times New Roman" w:eastAsia="Times New Roman" w:hint="default"/>
        </w:rPr>
        <w:t>2</w:t>
      </w:r>
      <w:r>
        <w:rPr/>
        <w:t>、在建工程其他减少</w:t>
      </w:r>
      <w:r>
        <w:rPr>
          <w:rFonts w:ascii="Times New Roman" w:hAnsi="Times New Roman" w:cs="Times New Roman" w:eastAsia="Times New Roman" w:hint="default"/>
        </w:rPr>
        <w:t>300,000.00</w:t>
      </w:r>
      <w:r>
        <w:rPr/>
        <w:t>元转入至无形资产。</w:t>
      </w:r>
    </w:p>
    <w:p>
      <w:pPr>
        <w:spacing w:line="240" w:lineRule="auto" w:before="8"/>
        <w:rPr>
          <w:rFonts w:ascii="宋体" w:hAnsi="宋体" w:cs="宋体" w:eastAsia="宋体" w:hint="default"/>
          <w:sz w:val="30"/>
          <w:szCs w:val="30"/>
        </w:rPr>
      </w:pPr>
    </w:p>
    <w:p>
      <w:pPr>
        <w:pStyle w:val="Heading4"/>
        <w:spacing w:line="240" w:lineRule="auto"/>
        <w:ind w:right="1117"/>
        <w:jc w:val="left"/>
        <w:rPr>
          <w:b w:val="0"/>
          <w:bCs w:val="0"/>
        </w:rPr>
      </w:pPr>
      <w:bookmarkStart w:name="（4）工程物资" w:id="263"/>
      <w:bookmarkEnd w:id="263"/>
      <w:r>
        <w:rPr>
          <w:b w:val="0"/>
          <w:bCs w:val="0"/>
        </w:rPr>
      </w:r>
      <w:r>
        <w:rPr/>
        <w:t>（</w:t>
      </w:r>
      <w:r>
        <w:rPr>
          <w:rFonts w:ascii="Times New Roman" w:hAnsi="Times New Roman" w:cs="Times New Roman" w:eastAsia="Times New Roman" w:hint="default"/>
        </w:rPr>
        <w:t>4</w:t>
      </w:r>
      <w:r>
        <w:rPr/>
        <w:t>）工程物资</w:t>
      </w:r>
      <w:r>
        <w:rPr>
          <w:b w:val="0"/>
          <w:bCs w:val="0"/>
        </w:rPr>
      </w:r>
    </w:p>
    <w:p>
      <w:pPr>
        <w:spacing w:line="240" w:lineRule="auto" w:before="8"/>
        <w:rPr>
          <w:rFonts w:ascii="宋体" w:hAnsi="宋体" w:cs="宋体" w:eastAsia="宋体" w:hint="default"/>
          <w:b/>
          <w:bCs/>
          <w:sz w:val="26"/>
          <w:szCs w:val="26"/>
        </w:rPr>
      </w:pPr>
    </w:p>
    <w:p>
      <w:pPr>
        <w:spacing w:before="0"/>
        <w:ind w:left="154" w:right="1117"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pStyle w:val="Heading4"/>
        <w:spacing w:line="240" w:lineRule="auto"/>
        <w:ind w:right="1117"/>
        <w:jc w:val="left"/>
        <w:rPr>
          <w:b w:val="0"/>
          <w:bCs w:val="0"/>
        </w:rPr>
      </w:pPr>
      <w:bookmarkStart w:name="13、无形资产" w:id="264"/>
      <w:bookmarkEnd w:id="264"/>
      <w:r>
        <w:rPr>
          <w:b w:val="0"/>
          <w:bCs w:val="0"/>
        </w:rPr>
      </w:r>
      <w:r>
        <w:rPr>
          <w:rFonts w:ascii="Times New Roman" w:hAnsi="Times New Roman" w:cs="Times New Roman" w:eastAsia="Times New Roman" w:hint="default"/>
        </w:rPr>
        <w:t>13</w:t>
      </w:r>
      <w:r>
        <w:rPr/>
        <w:t>、无形资产</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1117"/>
        <w:jc w:val="left"/>
        <w:rPr>
          <w:b w:val="0"/>
          <w:bCs w:val="0"/>
        </w:rPr>
      </w:pPr>
      <w:bookmarkStart w:name="（1）无形资产情况" w:id="265"/>
      <w:bookmarkEnd w:id="265"/>
      <w:r>
        <w:rPr>
          <w:b w:val="0"/>
          <w:bCs w:val="0"/>
        </w:rPr>
      </w:r>
      <w:r>
        <w:rPr/>
        <w:t>（</w:t>
      </w:r>
      <w:r>
        <w:rPr>
          <w:rFonts w:ascii="Times New Roman" w:hAnsi="Times New Roman" w:cs="Times New Roman" w:eastAsia="Times New Roman" w:hint="default"/>
        </w:rPr>
        <w:t>1</w:t>
      </w:r>
      <w:r>
        <w:rPr/>
        <w:t>）无形资产情况</w:t>
      </w:r>
      <w:r>
        <w:rPr>
          <w:b w:val="0"/>
          <w:bCs w:val="0"/>
        </w:rPr>
      </w:r>
    </w:p>
    <w:p>
      <w:pPr>
        <w:spacing w:line="240" w:lineRule="auto" w:before="8"/>
        <w:rPr>
          <w:rFonts w:ascii="宋体" w:hAnsi="宋体" w:cs="宋体" w:eastAsia="宋体" w:hint="default"/>
          <w:b/>
          <w:bCs/>
          <w:sz w:val="26"/>
          <w:szCs w:val="26"/>
        </w:rPr>
      </w:pPr>
    </w:p>
    <w:p>
      <w:pPr>
        <w:spacing w:line="338" w:lineRule="auto" w:before="0"/>
        <w:ind w:left="154" w:right="1753" w:firstLine="0"/>
        <w:jc w:val="left"/>
        <w:rPr>
          <w:rFonts w:ascii="宋体" w:hAnsi="宋体" w:cs="宋体" w:eastAsia="宋体" w:hint="default"/>
          <w:sz w:val="18"/>
          <w:szCs w:val="18"/>
        </w:rPr>
      </w:pPr>
      <w:r>
        <w:rPr>
          <w:rFonts w:ascii="宋体" w:hAnsi="宋体" w:cs="宋体" w:eastAsia="宋体" w:hint="default"/>
          <w:sz w:val="18"/>
          <w:szCs w:val="18"/>
        </w:rPr>
        <w:t>公司是否需遵守《深圳证券交易所创业板行业信息披露指引第</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w:t>
      </w:r>
      <w:r>
        <w:rPr>
          <w:rFonts w:ascii="Times New Roman" w:hAnsi="Times New Roman" w:cs="Times New Roman" w:eastAsia="Times New Roman" w:hint="default"/>
          <w:sz w:val="18"/>
          <w:szCs w:val="18"/>
        </w:rPr>
        <w:t>——</w:t>
      </w:r>
      <w:r>
        <w:rPr>
          <w:rFonts w:ascii="宋体" w:hAnsi="宋体" w:cs="宋体" w:eastAsia="宋体" w:hint="default"/>
          <w:sz w:val="18"/>
          <w:szCs w:val="18"/>
        </w:rPr>
        <w:t>上市公司从事互联网游戏业务》的披露要求 否</w:t>
      </w:r>
    </w:p>
    <w:p>
      <w:pPr>
        <w:spacing w:before="42"/>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344"/>
        <w:gridCol w:w="1378"/>
        <w:gridCol w:w="1368"/>
        <w:gridCol w:w="1367"/>
        <w:gridCol w:w="1367"/>
        <w:gridCol w:w="1367"/>
        <w:gridCol w:w="1367"/>
      </w:tblGrid>
      <w:tr>
        <w:trPr>
          <w:trHeight w:val="402" w:hRule="exact"/>
        </w:trPr>
        <w:tc>
          <w:tcPr>
            <w:tcW w:w="13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3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39"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09" w:right="0"/>
              <w:jc w:val="left"/>
              <w:rPr>
                <w:rFonts w:ascii="宋体" w:hAnsi="宋体" w:cs="宋体" w:eastAsia="宋体" w:hint="default"/>
                <w:sz w:val="18"/>
                <w:szCs w:val="18"/>
              </w:rPr>
            </w:pPr>
            <w:r>
              <w:rPr>
                <w:rFonts w:ascii="宋体" w:hAnsi="宋体" w:cs="宋体" w:eastAsia="宋体" w:hint="default"/>
                <w:sz w:val="18"/>
                <w:szCs w:val="18"/>
              </w:rPr>
              <w:t>专利权</w:t>
            </w:r>
          </w:p>
        </w:tc>
        <w:tc>
          <w:tcPr>
            <w:tcW w:w="1367" w:type="dxa"/>
            <w:tcBorders>
              <w:top w:val="single" w:sz="4" w:space="0" w:color="000000"/>
              <w:left w:val="single" w:sz="4" w:space="0" w:color="000000"/>
              <w:bottom w:val="single" w:sz="4" w:space="0" w:color="000000"/>
              <w:right w:val="single" w:sz="9" w:space="0" w:color="E0FFFF"/>
            </w:tcBorders>
            <w:shd w:val="clear" w:color="auto" w:fill="D2D2D2"/>
          </w:tcPr>
          <w:p>
            <w:pPr>
              <w:pStyle w:val="TableParagraph"/>
              <w:spacing w:line="240" w:lineRule="auto" w:before="51"/>
              <w:ind w:left="227" w:right="0"/>
              <w:jc w:val="left"/>
              <w:rPr>
                <w:rFonts w:ascii="宋体" w:hAnsi="宋体" w:cs="宋体" w:eastAsia="宋体" w:hint="default"/>
                <w:sz w:val="18"/>
                <w:szCs w:val="18"/>
              </w:rPr>
            </w:pPr>
            <w:r>
              <w:rPr>
                <w:rFonts w:ascii="宋体" w:hAnsi="宋体" w:cs="宋体" w:eastAsia="宋体" w:hint="default"/>
                <w:sz w:val="18"/>
                <w:szCs w:val="18"/>
              </w:rPr>
              <w:t>非专利技术</w:t>
            </w:r>
          </w:p>
        </w:tc>
        <w:tc>
          <w:tcPr>
            <w:tcW w:w="1367" w:type="dxa"/>
            <w:tcBorders>
              <w:top w:val="single" w:sz="4" w:space="0" w:color="000000"/>
              <w:left w:val="single" w:sz="10" w:space="0" w:color="D2D2D2"/>
              <w:bottom w:val="single" w:sz="4" w:space="0" w:color="000000"/>
              <w:right w:val="single" w:sz="4" w:space="0" w:color="000000"/>
            </w:tcBorders>
            <w:shd w:val="clear" w:color="auto" w:fill="E0FFFF"/>
          </w:tcPr>
          <w:p>
            <w:pPr>
              <w:pStyle w:val="TableParagraph"/>
              <w:spacing w:line="240" w:lineRule="auto" w:before="51"/>
              <w:ind w:right="6"/>
              <w:jc w:val="center"/>
              <w:rPr>
                <w:rFonts w:ascii="宋体" w:hAnsi="宋体" w:cs="宋体" w:eastAsia="宋体" w:hint="default"/>
                <w:sz w:val="18"/>
                <w:szCs w:val="18"/>
              </w:rPr>
            </w:pPr>
            <w:r>
              <w:rPr>
                <w:rFonts w:ascii="宋体" w:hAnsi="宋体" w:cs="宋体" w:eastAsia="宋体" w:hint="default"/>
                <w:sz w:val="18"/>
                <w:szCs w:val="18"/>
              </w:rPr>
              <w:t>商标</w:t>
            </w:r>
          </w:p>
        </w:tc>
        <w:tc>
          <w:tcPr>
            <w:tcW w:w="1367"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软件</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402" w:hRule="exact"/>
        </w:trPr>
        <w:tc>
          <w:tcPr>
            <w:tcW w:w="13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一、账面原值</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05"/>
              <w:jc w:val="righ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37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left="390" w:right="0"/>
              <w:jc w:val="left"/>
              <w:rPr>
                <w:rFonts w:ascii="Times New Roman" w:hAnsi="Times New Roman" w:cs="Times New Roman" w:eastAsia="Times New Roman" w:hint="default"/>
                <w:sz w:val="18"/>
                <w:szCs w:val="18"/>
              </w:rPr>
            </w:pPr>
            <w:r>
              <w:rPr>
                <w:rFonts w:ascii="Times New Roman"/>
                <w:sz w:val="18"/>
              </w:rPr>
              <w:t>5,591,081.60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01" w:right="0"/>
              <w:jc w:val="left"/>
              <w:rPr>
                <w:rFonts w:ascii="Times New Roman" w:hAnsi="Times New Roman" w:cs="Times New Roman" w:eastAsia="Times New Roman" w:hint="default"/>
                <w:sz w:val="18"/>
                <w:szCs w:val="18"/>
              </w:rPr>
            </w:pPr>
            <w:r>
              <w:rPr>
                <w:rFonts w:ascii="Times New Roman"/>
                <w:sz w:val="18"/>
              </w:rPr>
              <w:t>19,910,000.00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89" w:right="0"/>
              <w:jc w:val="left"/>
              <w:rPr>
                <w:rFonts w:ascii="Times New Roman" w:hAnsi="Times New Roman" w:cs="Times New Roman" w:eastAsia="Times New Roman" w:hint="default"/>
                <w:sz w:val="18"/>
                <w:szCs w:val="18"/>
              </w:rPr>
            </w:pPr>
            <w:r>
              <w:rPr>
                <w:rFonts w:ascii="Times New Roman"/>
                <w:sz w:val="18"/>
              </w:rPr>
              <w:t>3,693,200.00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62,847,158.48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92,041,440.08</w:t>
            </w:r>
          </w:p>
        </w:tc>
      </w:tr>
      <w:tr>
        <w:trPr>
          <w:trHeight w:val="714" w:hRule="exact"/>
        </w:trPr>
        <w:tc>
          <w:tcPr>
            <w:tcW w:w="13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11" w:right="105"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 金额</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7,204,483.31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7,204,483.31</w:t>
            </w:r>
          </w:p>
        </w:tc>
      </w:tr>
      <w:tr>
        <w:trPr>
          <w:trHeight w:val="402" w:hRule="exact"/>
        </w:trPr>
        <w:tc>
          <w:tcPr>
            <w:tcW w:w="13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0"/>
              <w:jc w:val="right"/>
              <w:rPr>
                <w:rFonts w:ascii="宋体" w:hAnsi="宋体" w:cs="宋体" w:eastAsia="宋体" w:hint="default"/>
                <w:sz w:val="18"/>
                <w:szCs w:val="18"/>
              </w:rPr>
            </w:pPr>
            <w:r>
              <w:rPr>
                <w:rFonts w:ascii="宋体" w:hAnsi="宋体" w:cs="宋体" w:eastAsia="宋体" w:hint="default"/>
                <w:spacing w:val="-5"/>
                <w:sz w:val="18"/>
                <w:szCs w:val="18"/>
              </w:rPr>
              <w:t>（</w:t>
            </w:r>
            <w:r>
              <w:rPr>
                <w:rFonts w:ascii="Times New Roman" w:hAnsi="Times New Roman" w:cs="Times New Roman" w:eastAsia="Times New Roman" w:hint="default"/>
                <w:spacing w:val="-5"/>
                <w:sz w:val="18"/>
                <w:szCs w:val="18"/>
              </w:rPr>
              <w:t>1</w:t>
            </w:r>
            <w:r>
              <w:rPr>
                <w:rFonts w:ascii="宋体" w:hAnsi="宋体" w:cs="宋体" w:eastAsia="宋体" w:hint="default"/>
                <w:spacing w:val="-5"/>
                <w:sz w:val="18"/>
                <w:szCs w:val="18"/>
              </w:rPr>
              <w:t>）购置</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413,080.64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413,080.64</w:t>
            </w:r>
          </w:p>
        </w:tc>
      </w:tr>
      <w:tr>
        <w:trPr>
          <w:trHeight w:val="714" w:hRule="exact"/>
        </w:trPr>
        <w:tc>
          <w:tcPr>
            <w:tcW w:w="13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32" w:right="0"/>
              <w:jc w:val="left"/>
              <w:rPr>
                <w:rFonts w:ascii="宋体" w:hAnsi="宋体" w:cs="宋体" w:eastAsia="宋体" w:hint="default"/>
                <w:sz w:val="18"/>
                <w:szCs w:val="18"/>
              </w:rPr>
            </w:pPr>
            <w:r>
              <w:rPr>
                <w:rFonts w:ascii="宋体" w:hAnsi="宋体" w:cs="宋体" w:eastAsia="宋体" w:hint="default"/>
                <w:spacing w:val="-5"/>
                <w:sz w:val="18"/>
                <w:szCs w:val="18"/>
              </w:rPr>
              <w:t>（</w:t>
            </w:r>
            <w:r>
              <w:rPr>
                <w:rFonts w:ascii="Times New Roman" w:hAnsi="Times New Roman" w:cs="Times New Roman" w:eastAsia="Times New Roman" w:hint="default"/>
                <w:spacing w:val="-5"/>
                <w:sz w:val="18"/>
                <w:szCs w:val="18"/>
              </w:rPr>
              <w:t>2</w:t>
            </w:r>
            <w:r>
              <w:rPr>
                <w:rFonts w:ascii="宋体" w:hAnsi="宋体" w:cs="宋体" w:eastAsia="宋体" w:hint="default"/>
                <w:spacing w:val="-5"/>
                <w:sz w:val="18"/>
                <w:szCs w:val="18"/>
              </w:rPr>
              <w:t>）内部</w:t>
            </w:r>
          </w:p>
          <w:p>
            <w:pPr>
              <w:pStyle w:val="TableParagraph"/>
              <w:spacing w:line="240" w:lineRule="auto" w:before="63"/>
              <w:ind w:left="11" w:right="0"/>
              <w:jc w:val="left"/>
              <w:rPr>
                <w:rFonts w:ascii="宋体" w:hAnsi="宋体" w:cs="宋体" w:eastAsia="宋体" w:hint="default"/>
                <w:sz w:val="18"/>
                <w:szCs w:val="18"/>
              </w:rPr>
            </w:pPr>
            <w:r>
              <w:rPr>
                <w:rFonts w:ascii="宋体" w:hAnsi="宋体" w:cs="宋体" w:eastAsia="宋体" w:hint="default"/>
                <w:sz w:val="18"/>
                <w:szCs w:val="18"/>
              </w:rPr>
              <w:t>研发</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6,491,402.67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6,491,402.67</w:t>
            </w:r>
          </w:p>
        </w:tc>
      </w:tr>
      <w:tr>
        <w:trPr>
          <w:trHeight w:val="714" w:hRule="exact"/>
        </w:trPr>
        <w:tc>
          <w:tcPr>
            <w:tcW w:w="13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11" w:right="10" w:firstLine="521"/>
              <w:jc w:val="left"/>
              <w:rPr>
                <w:rFonts w:ascii="宋体" w:hAnsi="宋体" w:cs="宋体" w:eastAsia="宋体" w:hint="default"/>
                <w:sz w:val="18"/>
                <w:szCs w:val="18"/>
              </w:rPr>
            </w:pPr>
            <w:r>
              <w:rPr>
                <w:rFonts w:ascii="宋体" w:hAnsi="宋体" w:cs="宋体" w:eastAsia="宋体" w:hint="default"/>
                <w:spacing w:val="-5"/>
                <w:sz w:val="18"/>
                <w:szCs w:val="18"/>
              </w:rPr>
              <w:t>（</w:t>
            </w:r>
            <w:r>
              <w:rPr>
                <w:rFonts w:ascii="Times New Roman" w:hAnsi="Times New Roman" w:cs="Times New Roman" w:eastAsia="Times New Roman" w:hint="default"/>
                <w:spacing w:val="-5"/>
                <w:sz w:val="18"/>
                <w:szCs w:val="18"/>
              </w:rPr>
              <w:t>3</w:t>
            </w:r>
            <w:r>
              <w:rPr>
                <w:rFonts w:ascii="宋体" w:hAnsi="宋体" w:cs="宋体" w:eastAsia="宋体" w:hint="default"/>
                <w:spacing w:val="-5"/>
                <w:sz w:val="18"/>
                <w:szCs w:val="18"/>
              </w:rPr>
              <w:t>）企业</w:t>
            </w:r>
            <w:r>
              <w:rPr>
                <w:rFonts w:ascii="宋体" w:hAnsi="宋体" w:cs="宋体" w:eastAsia="宋体" w:hint="default"/>
                <w:sz w:val="18"/>
                <w:szCs w:val="18"/>
              </w:rPr>
              <w:t> 合并增加</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44"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在建工程转入</w:t>
            </w:r>
          </w:p>
        </w:tc>
        <w:tc>
          <w:tcPr>
            <w:tcW w:w="1378" w:type="dxa"/>
            <w:tcBorders>
              <w:top w:val="single" w:sz="4" w:space="0" w:color="000000"/>
              <w:left w:val="single" w:sz="13" w:space="0" w:color="E0FFFF"/>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300,000.00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300,000.00</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356"/>
        <w:gridCol w:w="1378"/>
        <w:gridCol w:w="1368"/>
        <w:gridCol w:w="1367"/>
        <w:gridCol w:w="1367"/>
        <w:gridCol w:w="1367"/>
        <w:gridCol w:w="1367"/>
      </w:tblGrid>
      <w:tr>
        <w:trPr>
          <w:trHeight w:val="714"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105" w:firstLine="18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 额</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0"/>
              <w:jc w:val="right"/>
              <w:rPr>
                <w:rFonts w:ascii="宋体" w:hAnsi="宋体" w:cs="宋体" w:eastAsia="宋体" w:hint="default"/>
                <w:sz w:val="18"/>
                <w:szCs w:val="18"/>
              </w:rPr>
            </w:pPr>
            <w:r>
              <w:rPr>
                <w:rFonts w:ascii="宋体" w:hAnsi="宋体" w:cs="宋体" w:eastAsia="宋体" w:hint="default"/>
                <w:spacing w:val="-5"/>
                <w:sz w:val="18"/>
                <w:szCs w:val="18"/>
              </w:rPr>
              <w:t>（</w:t>
            </w:r>
            <w:r>
              <w:rPr>
                <w:rFonts w:ascii="Times New Roman" w:hAnsi="Times New Roman" w:cs="Times New Roman" w:eastAsia="Times New Roman" w:hint="default"/>
                <w:spacing w:val="-5"/>
                <w:sz w:val="18"/>
                <w:szCs w:val="18"/>
              </w:rPr>
              <w:t>1</w:t>
            </w:r>
            <w:r>
              <w:rPr>
                <w:rFonts w:ascii="宋体" w:hAnsi="宋体" w:cs="宋体" w:eastAsia="宋体" w:hint="default"/>
                <w:spacing w:val="-5"/>
                <w:sz w:val="18"/>
                <w:szCs w:val="18"/>
              </w:rPr>
              <w:t>）处置</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378" w:type="dxa"/>
            <w:tcBorders>
              <w:top w:val="single" w:sz="4" w:space="0" w:color="000000"/>
              <w:left w:val="single" w:sz="13" w:space="0" w:color="E0FFFF"/>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37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5,591,081.60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19,910,000.00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3,693,200.00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70,051,641.79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99,245,923.39</w:t>
            </w: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二、累计摊销</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37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754,795.52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1,659,166.67</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34,413,016.65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36,826,978.84</w:t>
            </w:r>
          </w:p>
        </w:tc>
      </w:tr>
      <w:tr>
        <w:trPr>
          <w:trHeight w:val="714"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105"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 金额</w:t>
            </w:r>
          </w:p>
        </w:tc>
        <w:tc>
          <w:tcPr>
            <w:tcW w:w="137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2"/>
                <w:sz w:val="18"/>
              </w:rPr>
              <w:t>111,821.64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3,982,000.13</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11,137,036.20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15,230,857.97</w:t>
            </w: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0"/>
              <w:jc w:val="right"/>
              <w:rPr>
                <w:rFonts w:ascii="宋体" w:hAnsi="宋体" w:cs="宋体" w:eastAsia="宋体" w:hint="default"/>
                <w:sz w:val="18"/>
                <w:szCs w:val="18"/>
              </w:rPr>
            </w:pPr>
            <w:r>
              <w:rPr>
                <w:rFonts w:ascii="宋体" w:hAnsi="宋体" w:cs="宋体" w:eastAsia="宋体" w:hint="default"/>
                <w:spacing w:val="-5"/>
                <w:sz w:val="18"/>
                <w:szCs w:val="18"/>
              </w:rPr>
              <w:t>（</w:t>
            </w:r>
            <w:r>
              <w:rPr>
                <w:rFonts w:ascii="Times New Roman" w:hAnsi="Times New Roman" w:cs="Times New Roman" w:eastAsia="Times New Roman" w:hint="default"/>
                <w:spacing w:val="-5"/>
                <w:sz w:val="18"/>
                <w:szCs w:val="18"/>
              </w:rPr>
              <w:t>1</w:t>
            </w:r>
            <w:r>
              <w:rPr>
                <w:rFonts w:ascii="宋体" w:hAnsi="宋体" w:cs="宋体" w:eastAsia="宋体" w:hint="default"/>
                <w:spacing w:val="-5"/>
                <w:sz w:val="18"/>
                <w:szCs w:val="18"/>
              </w:rPr>
              <w:t>）计提</w:t>
            </w:r>
          </w:p>
        </w:tc>
        <w:tc>
          <w:tcPr>
            <w:tcW w:w="137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2"/>
                <w:sz w:val="18"/>
              </w:rPr>
              <w:t>111,821.64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3,982,000.13</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11,137,036.20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15,230,857.97</w:t>
            </w: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378" w:type="dxa"/>
            <w:tcBorders>
              <w:top w:val="single" w:sz="4" w:space="0" w:color="000000"/>
              <w:left w:val="single" w:sz="13" w:space="0" w:color="E0FFFF"/>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105"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 金额</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0"/>
              <w:jc w:val="right"/>
              <w:rPr>
                <w:rFonts w:ascii="宋体" w:hAnsi="宋体" w:cs="宋体" w:eastAsia="宋体" w:hint="default"/>
                <w:sz w:val="18"/>
                <w:szCs w:val="18"/>
              </w:rPr>
            </w:pPr>
            <w:r>
              <w:rPr>
                <w:rFonts w:ascii="宋体" w:hAnsi="宋体" w:cs="宋体" w:eastAsia="宋体" w:hint="default"/>
                <w:spacing w:val="-5"/>
                <w:sz w:val="18"/>
                <w:szCs w:val="18"/>
              </w:rPr>
              <w:t>（</w:t>
            </w:r>
            <w:r>
              <w:rPr>
                <w:rFonts w:ascii="Times New Roman" w:hAnsi="Times New Roman" w:cs="Times New Roman" w:eastAsia="Times New Roman" w:hint="default"/>
                <w:spacing w:val="-5"/>
                <w:sz w:val="18"/>
                <w:szCs w:val="18"/>
              </w:rPr>
              <w:t>1</w:t>
            </w:r>
            <w:r>
              <w:rPr>
                <w:rFonts w:ascii="宋体" w:hAnsi="宋体" w:cs="宋体" w:eastAsia="宋体" w:hint="default"/>
                <w:spacing w:val="-5"/>
                <w:sz w:val="18"/>
                <w:szCs w:val="18"/>
              </w:rPr>
              <w:t>）处置</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378" w:type="dxa"/>
            <w:tcBorders>
              <w:top w:val="single" w:sz="4" w:space="0" w:color="000000"/>
              <w:left w:val="single" w:sz="13" w:space="0" w:color="E0FFFF"/>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37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866,617.16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5,641,166.80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45,550,052.85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52,057,836.81</w:t>
            </w: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三、减值准备</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105"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 金额</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0"/>
              <w:jc w:val="right"/>
              <w:rPr>
                <w:rFonts w:ascii="宋体" w:hAnsi="宋体" w:cs="宋体" w:eastAsia="宋体" w:hint="default"/>
                <w:sz w:val="18"/>
                <w:szCs w:val="18"/>
              </w:rPr>
            </w:pPr>
            <w:r>
              <w:rPr>
                <w:rFonts w:ascii="宋体" w:hAnsi="宋体" w:cs="宋体" w:eastAsia="宋体" w:hint="default"/>
                <w:spacing w:val="-5"/>
                <w:sz w:val="18"/>
                <w:szCs w:val="18"/>
              </w:rPr>
              <w:t>（</w:t>
            </w:r>
            <w:r>
              <w:rPr>
                <w:rFonts w:ascii="Times New Roman" w:hAnsi="Times New Roman" w:cs="Times New Roman" w:eastAsia="Times New Roman" w:hint="default"/>
                <w:spacing w:val="-5"/>
                <w:sz w:val="18"/>
                <w:szCs w:val="18"/>
              </w:rPr>
              <w:t>1</w:t>
            </w:r>
            <w:r>
              <w:rPr>
                <w:rFonts w:ascii="宋体" w:hAnsi="宋体" w:cs="宋体" w:eastAsia="宋体" w:hint="default"/>
                <w:spacing w:val="-5"/>
                <w:sz w:val="18"/>
                <w:szCs w:val="18"/>
              </w:rPr>
              <w:t>）计提</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378" w:type="dxa"/>
            <w:tcBorders>
              <w:top w:val="single" w:sz="4" w:space="0" w:color="000000"/>
              <w:left w:val="single" w:sz="13" w:space="0" w:color="E0FFFF"/>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105"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 金额</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378" w:type="dxa"/>
            <w:tcBorders>
              <w:top w:val="single" w:sz="4" w:space="0" w:color="000000"/>
              <w:left w:val="single" w:sz="13" w:space="0" w:color="E0FFFF"/>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四、账面价值</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105"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期末账面 价值</w:t>
            </w:r>
          </w:p>
        </w:tc>
        <w:tc>
          <w:tcPr>
            <w:tcW w:w="137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4,724,464.44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14,268,833.20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3,693,200.00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24,501,588.94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47,188,086.58</w:t>
            </w:r>
          </w:p>
        </w:tc>
      </w:tr>
      <w:tr>
        <w:trPr>
          <w:trHeight w:val="714"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105"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期初账面 价值</w:t>
            </w:r>
          </w:p>
        </w:tc>
        <w:tc>
          <w:tcPr>
            <w:tcW w:w="137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4,836,286.08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18,250,833.33</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3,693,200.00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28,434,141.83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55,214,461.24</w:t>
            </w:r>
          </w:p>
        </w:tc>
      </w:tr>
    </w:tbl>
    <w:p>
      <w:pPr>
        <w:spacing w:before="51"/>
        <w:ind w:left="154" w:right="1117" w:firstLine="0"/>
        <w:jc w:val="left"/>
        <w:rPr>
          <w:rFonts w:ascii="宋体" w:hAnsi="宋体" w:cs="宋体" w:eastAsia="宋体" w:hint="default"/>
          <w:sz w:val="18"/>
          <w:szCs w:val="18"/>
        </w:rPr>
      </w:pPr>
      <w:r>
        <w:rPr>
          <w:rFonts w:ascii="宋体" w:hAnsi="宋体" w:cs="宋体" w:eastAsia="宋体" w:hint="default"/>
          <w:sz w:val="18"/>
          <w:szCs w:val="18"/>
        </w:rPr>
        <w:t>本期末通过公司内部研发形成的无形资产占无形资产余额的比例</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27.28%</w:t>
      </w:r>
      <w:r>
        <w:rPr>
          <w:rFonts w:ascii="宋体" w:hAnsi="宋体" w:cs="宋体" w:eastAsia="宋体" w:hint="default"/>
          <w:sz w:val="18"/>
          <w:szCs w:val="18"/>
        </w:rPr>
        <w:t>。</w:t>
      </w:r>
    </w:p>
    <w:p>
      <w:pPr>
        <w:spacing w:line="240" w:lineRule="auto" w:before="11"/>
        <w:rPr>
          <w:rFonts w:ascii="宋体" w:hAnsi="宋体" w:cs="宋体" w:eastAsia="宋体" w:hint="default"/>
          <w:sz w:val="25"/>
          <w:szCs w:val="25"/>
        </w:rPr>
      </w:pPr>
    </w:p>
    <w:p>
      <w:pPr>
        <w:pStyle w:val="Heading4"/>
        <w:spacing w:line="240" w:lineRule="auto"/>
        <w:ind w:right="1117"/>
        <w:jc w:val="left"/>
        <w:rPr>
          <w:b w:val="0"/>
          <w:bCs w:val="0"/>
        </w:rPr>
      </w:pPr>
      <w:bookmarkStart w:name="（2）未办妥产权证书的土地使用权情况" w:id="266"/>
      <w:bookmarkEnd w:id="266"/>
      <w:r>
        <w:rPr>
          <w:b w:val="0"/>
          <w:bCs w:val="0"/>
        </w:rPr>
      </w:r>
      <w:r>
        <w:rPr/>
        <w:t>（</w:t>
      </w:r>
      <w:r>
        <w:rPr>
          <w:rFonts w:ascii="Times New Roman" w:hAnsi="Times New Roman" w:cs="Times New Roman" w:eastAsia="Times New Roman" w:hint="default"/>
        </w:rPr>
        <w:t>2</w:t>
      </w:r>
      <w:r>
        <w:rPr/>
        <w:t>）未办妥产权证书的土地使用权情况</w:t>
      </w:r>
      <w:r>
        <w:rPr>
          <w:b w:val="0"/>
          <w:bCs w:val="0"/>
        </w:rPr>
      </w:r>
    </w:p>
    <w:p>
      <w:pPr>
        <w:spacing w:line="240" w:lineRule="auto" w:before="9"/>
        <w:rPr>
          <w:rFonts w:ascii="宋体" w:hAnsi="宋体" w:cs="宋体" w:eastAsia="宋体" w:hint="default"/>
          <w:b/>
          <w:bCs/>
          <w:sz w:val="26"/>
          <w:szCs w:val="26"/>
        </w:rPr>
      </w:pPr>
    </w:p>
    <w:p>
      <w:pPr>
        <w:spacing w:before="0"/>
        <w:ind w:left="154" w:right="1117"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after="0"/>
        <w:jc w:val="left"/>
        <w:rPr>
          <w:rFonts w:ascii="宋体" w:hAnsi="宋体" w:cs="宋体" w:eastAsia="宋体" w:hint="default"/>
          <w:sz w:val="18"/>
          <w:szCs w:val="18"/>
        </w:rPr>
        <w:sectPr>
          <w:pgSz w:w="11910" w:h="16840"/>
          <w:pgMar w:header="877" w:footer="979" w:top="1060" w:bottom="1160" w:left="980" w:right="0"/>
        </w:sectPr>
      </w:pPr>
    </w:p>
    <w:p>
      <w:pPr>
        <w:spacing w:line="240" w:lineRule="auto" w:before="9"/>
        <w:rPr>
          <w:rFonts w:ascii="宋体" w:hAnsi="宋体" w:cs="宋体" w:eastAsia="宋体" w:hint="default"/>
          <w:sz w:val="24"/>
          <w:szCs w:val="24"/>
        </w:rPr>
      </w:pPr>
    </w:p>
    <w:p>
      <w:pPr>
        <w:pStyle w:val="Heading4"/>
        <w:spacing w:line="240" w:lineRule="auto" w:before="35"/>
        <w:ind w:right="1117"/>
        <w:jc w:val="left"/>
        <w:rPr>
          <w:b w:val="0"/>
          <w:bCs w:val="0"/>
        </w:rPr>
      </w:pPr>
      <w:bookmarkStart w:name="14、开发支出" w:id="267"/>
      <w:bookmarkEnd w:id="267"/>
      <w:r>
        <w:rPr>
          <w:b w:val="0"/>
          <w:bCs w:val="0"/>
        </w:rPr>
      </w:r>
      <w:r>
        <w:rPr>
          <w:rFonts w:ascii="Times New Roman" w:hAnsi="Times New Roman" w:cs="Times New Roman" w:eastAsia="Times New Roman" w:hint="default"/>
        </w:rPr>
        <w:t>14</w:t>
      </w:r>
      <w:r>
        <w:rPr/>
        <w:t>、开发支出</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064"/>
        <w:gridCol w:w="1063"/>
        <w:gridCol w:w="1063"/>
        <w:gridCol w:w="1062"/>
        <w:gridCol w:w="1063"/>
        <w:gridCol w:w="1063"/>
        <w:gridCol w:w="1064"/>
        <w:gridCol w:w="1063"/>
        <w:gridCol w:w="1063"/>
      </w:tblGrid>
      <w:tr>
        <w:trPr>
          <w:trHeight w:val="402" w:hRule="exact"/>
        </w:trPr>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346"/>
              <w:jc w:val="right"/>
              <w:rPr>
                <w:rFonts w:ascii="宋体" w:hAnsi="宋体" w:cs="宋体" w:eastAsia="宋体" w:hint="default"/>
                <w:sz w:val="18"/>
                <w:szCs w:val="18"/>
              </w:rPr>
            </w:pPr>
            <w:r>
              <w:rPr>
                <w:rFonts w:ascii="宋体" w:hAnsi="宋体" w:cs="宋体" w:eastAsia="宋体" w:hint="default"/>
                <w:sz w:val="18"/>
                <w:szCs w:val="18"/>
              </w:rPr>
              <w:t>项目</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65"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3189"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48" w:right="0"/>
              <w:jc w:val="left"/>
              <w:rPr>
                <w:rFonts w:ascii="宋体" w:hAnsi="宋体" w:cs="宋体" w:eastAsia="宋体" w:hint="default"/>
                <w:sz w:val="18"/>
                <w:szCs w:val="18"/>
              </w:rPr>
            </w:pPr>
            <w:r>
              <w:rPr>
                <w:rFonts w:ascii="宋体" w:hAnsi="宋体" w:cs="宋体" w:eastAsia="宋体" w:hint="default"/>
                <w:sz w:val="18"/>
                <w:szCs w:val="18"/>
              </w:rPr>
              <w:t>本期增加金额</w:t>
            </w:r>
          </w:p>
        </w:tc>
        <w:tc>
          <w:tcPr>
            <w:tcW w:w="3190"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48" w:right="0"/>
              <w:jc w:val="left"/>
              <w:rPr>
                <w:rFonts w:ascii="宋体" w:hAnsi="宋体" w:cs="宋体" w:eastAsia="宋体" w:hint="default"/>
                <w:sz w:val="18"/>
                <w:szCs w:val="18"/>
              </w:rPr>
            </w:pPr>
            <w:r>
              <w:rPr>
                <w:rFonts w:ascii="宋体" w:hAnsi="宋体" w:cs="宋体" w:eastAsia="宋体" w:hint="default"/>
                <w:sz w:val="18"/>
                <w:szCs w:val="18"/>
              </w:rPr>
              <w:t>本期减少金额</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1026" w:hRule="exact"/>
        </w:trPr>
        <w:tc>
          <w:tcPr>
            <w:tcW w:w="1064"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316" w:lineRule="auto" w:before="52"/>
              <w:ind w:left="22" w:right="129"/>
              <w:jc w:val="both"/>
              <w:rPr>
                <w:rFonts w:ascii="宋体" w:hAnsi="宋体" w:cs="宋体" w:eastAsia="宋体" w:hint="default"/>
                <w:sz w:val="18"/>
                <w:szCs w:val="18"/>
              </w:rPr>
            </w:pPr>
            <w:r>
              <w:rPr>
                <w:rFonts w:ascii="宋体" w:hAnsi="宋体" w:cs="宋体" w:eastAsia="宋体" w:hint="default"/>
                <w:sz w:val="18"/>
                <w:szCs w:val="18"/>
              </w:rPr>
              <w:t>高校学生行 为轨迹研究 与开发</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3,005,801.69</w:t>
            </w: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61" w:right="0"/>
              <w:jc w:val="center"/>
              <w:rPr>
                <w:rFonts w:ascii="Times New Roman" w:hAnsi="Times New Roman" w:cs="Times New Roman" w:eastAsia="Times New Roman" w:hint="default"/>
                <w:sz w:val="18"/>
                <w:szCs w:val="18"/>
              </w:rPr>
            </w:pPr>
            <w:r>
              <w:rPr>
                <w:rFonts w:ascii="Times New Roman"/>
                <w:sz w:val="18"/>
              </w:rPr>
              <w:t>3,005,801.69</w:t>
            </w:r>
          </w:p>
        </w:tc>
      </w:tr>
      <w:tr>
        <w:trPr>
          <w:trHeight w:val="714" w:hRule="exact"/>
        </w:trPr>
        <w:tc>
          <w:tcPr>
            <w:tcW w:w="1064"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316" w:lineRule="auto" w:before="52"/>
              <w:ind w:left="22" w:right="129"/>
              <w:jc w:val="left"/>
              <w:rPr>
                <w:rFonts w:ascii="宋体" w:hAnsi="宋体" w:cs="宋体" w:eastAsia="宋体" w:hint="default"/>
                <w:sz w:val="18"/>
                <w:szCs w:val="18"/>
              </w:rPr>
            </w:pPr>
            <w:r>
              <w:rPr>
                <w:rFonts w:ascii="宋体" w:hAnsi="宋体" w:cs="宋体" w:eastAsia="宋体" w:hint="default"/>
                <w:sz w:val="18"/>
                <w:szCs w:val="18"/>
              </w:rPr>
              <w:t>中职智慧校 园平台</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1,367,952.35</w:t>
            </w: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61" w:right="0"/>
              <w:jc w:val="center"/>
              <w:rPr>
                <w:rFonts w:ascii="Times New Roman" w:hAnsi="Times New Roman" w:cs="Times New Roman" w:eastAsia="Times New Roman" w:hint="default"/>
                <w:sz w:val="18"/>
                <w:szCs w:val="18"/>
              </w:rPr>
            </w:pPr>
            <w:r>
              <w:rPr>
                <w:rFonts w:ascii="Times New Roman"/>
                <w:sz w:val="18"/>
              </w:rPr>
              <w:t>1,367,952.35</w:t>
            </w:r>
          </w:p>
        </w:tc>
      </w:tr>
      <w:tr>
        <w:trPr>
          <w:trHeight w:val="714" w:hRule="exact"/>
        </w:trPr>
        <w:tc>
          <w:tcPr>
            <w:tcW w:w="1064"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316" w:lineRule="auto" w:before="52"/>
              <w:ind w:left="22" w:right="129"/>
              <w:jc w:val="left"/>
              <w:rPr>
                <w:rFonts w:ascii="Times New Roman" w:hAnsi="Times New Roman" w:cs="Times New Roman" w:eastAsia="Times New Roman" w:hint="default"/>
                <w:sz w:val="18"/>
                <w:szCs w:val="18"/>
              </w:rPr>
            </w:pPr>
            <w:r>
              <w:rPr>
                <w:rFonts w:ascii="宋体" w:hAnsi="宋体" w:cs="宋体" w:eastAsia="宋体" w:hint="default"/>
                <w:sz w:val="18"/>
                <w:szCs w:val="18"/>
              </w:rPr>
              <w:t>智慧校园一 校通</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V8</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3,042,256.91</w:t>
            </w: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61" w:right="0"/>
              <w:jc w:val="center"/>
              <w:rPr>
                <w:rFonts w:ascii="Times New Roman" w:hAnsi="Times New Roman" w:cs="Times New Roman" w:eastAsia="Times New Roman" w:hint="default"/>
                <w:sz w:val="18"/>
                <w:szCs w:val="18"/>
              </w:rPr>
            </w:pPr>
            <w:r>
              <w:rPr>
                <w:rFonts w:ascii="Times New Roman"/>
                <w:sz w:val="18"/>
              </w:rPr>
              <w:t>3,042,256.91</w:t>
            </w:r>
          </w:p>
        </w:tc>
      </w:tr>
      <w:tr>
        <w:trPr>
          <w:trHeight w:val="1026" w:hRule="exact"/>
        </w:trPr>
        <w:tc>
          <w:tcPr>
            <w:tcW w:w="1064"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310" w:lineRule="exact" w:before="15"/>
              <w:ind w:left="22" w:right="75"/>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DI</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数据集成 平台软件 </w:t>
            </w:r>
            <w:r>
              <w:rPr>
                <w:rFonts w:ascii="Times New Roman" w:hAnsi="Times New Roman" w:cs="Times New Roman" w:eastAsia="Times New Roman" w:hint="default"/>
                <w:sz w:val="18"/>
                <w:szCs w:val="18"/>
              </w:rPr>
              <w:t>V1.0</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1,673,045.67</w:t>
            </w: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1,673,045.67</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064"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338" w:lineRule="auto" w:before="52"/>
              <w:ind w:left="22" w:right="129"/>
              <w:jc w:val="both"/>
              <w:rPr>
                <w:rFonts w:ascii="Times New Roman" w:hAnsi="Times New Roman" w:cs="Times New Roman" w:eastAsia="Times New Roman" w:hint="default"/>
                <w:sz w:val="18"/>
                <w:szCs w:val="18"/>
              </w:rPr>
            </w:pPr>
            <w:r>
              <w:rPr>
                <w:rFonts w:ascii="宋体" w:hAnsi="宋体" w:cs="宋体" w:eastAsia="宋体" w:hint="default"/>
                <w:sz w:val="18"/>
                <w:szCs w:val="18"/>
              </w:rPr>
              <w:t>树维移动教 务管理软件 </w:t>
            </w:r>
            <w:r>
              <w:rPr>
                <w:rFonts w:ascii="Times New Roman" w:hAnsi="Times New Roman" w:cs="Times New Roman" w:eastAsia="Times New Roman" w:hint="default"/>
                <w:sz w:val="18"/>
                <w:szCs w:val="18"/>
              </w:rPr>
              <w:t>v1.0</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2,085,834.67</w:t>
            </w: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2,085,834.67</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064"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316" w:lineRule="auto" w:before="52"/>
              <w:ind w:left="22" w:right="89"/>
              <w:jc w:val="left"/>
              <w:rPr>
                <w:rFonts w:ascii="Times New Roman" w:hAnsi="Times New Roman" w:cs="Times New Roman" w:eastAsia="Times New Roman" w:hint="default"/>
                <w:sz w:val="18"/>
                <w:szCs w:val="18"/>
              </w:rPr>
            </w:pPr>
            <w:r>
              <w:rPr>
                <w:rFonts w:ascii="宋体" w:hAnsi="宋体" w:cs="宋体" w:eastAsia="宋体" w:hint="default"/>
                <w:sz w:val="18"/>
                <w:szCs w:val="18"/>
              </w:rPr>
              <w:t>树维智慧点 餐系统</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V1.0</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1,579,016.55</w:t>
            </w: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1,579,016.55</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064"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319" w:lineRule="auto" w:before="52"/>
              <w:ind w:left="22" w:right="129"/>
              <w:jc w:val="both"/>
              <w:rPr>
                <w:rFonts w:ascii="宋体" w:hAnsi="宋体" w:cs="宋体" w:eastAsia="宋体" w:hint="default"/>
                <w:sz w:val="18"/>
                <w:szCs w:val="18"/>
              </w:rPr>
            </w:pPr>
            <w:r>
              <w:rPr>
                <w:rFonts w:ascii="宋体" w:hAnsi="宋体" w:cs="宋体" w:eastAsia="宋体" w:hint="default"/>
                <w:sz w:val="18"/>
                <w:szCs w:val="18"/>
              </w:rPr>
              <w:t>基于微服务 架构的离校 系统</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1,153,505.78</w:t>
            </w: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1,153,505.78</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346"/>
              <w:jc w:val="right"/>
              <w:rPr>
                <w:rFonts w:ascii="宋体" w:hAnsi="宋体" w:cs="宋体" w:eastAsia="宋体" w:hint="default"/>
                <w:sz w:val="18"/>
                <w:szCs w:val="18"/>
              </w:rPr>
            </w:pPr>
            <w:r>
              <w:rPr>
                <w:rFonts w:ascii="宋体" w:hAnsi="宋体" w:cs="宋体" w:eastAsia="宋体" w:hint="default"/>
                <w:sz w:val="18"/>
                <w:szCs w:val="18"/>
              </w:rPr>
              <w:t>合计</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13,907,413.6</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2</w:t>
            </w: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6,491,402.67</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61" w:right="0"/>
              <w:jc w:val="center"/>
              <w:rPr>
                <w:rFonts w:ascii="Times New Roman" w:hAnsi="Times New Roman" w:cs="Times New Roman" w:eastAsia="Times New Roman" w:hint="default"/>
                <w:sz w:val="18"/>
                <w:szCs w:val="18"/>
              </w:rPr>
            </w:pPr>
            <w:r>
              <w:rPr>
                <w:rFonts w:ascii="Times New Roman"/>
                <w:sz w:val="18"/>
              </w:rPr>
              <w:t>7,416,010.95</w:t>
            </w:r>
          </w:p>
        </w:tc>
      </w:tr>
    </w:tbl>
    <w:p>
      <w:pPr>
        <w:spacing w:before="51"/>
        <w:ind w:left="154" w:right="1117"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2"/>
        <w:rPr>
          <w:rFonts w:ascii="宋体" w:hAnsi="宋体" w:cs="宋体" w:eastAsia="宋体" w:hint="default"/>
          <w:sz w:val="12"/>
          <w:szCs w:val="12"/>
        </w:rPr>
      </w:pPr>
    </w:p>
    <w:p>
      <w:pPr>
        <w:pStyle w:val="BodyText"/>
        <w:spacing w:line="240" w:lineRule="auto" w:before="0"/>
        <w:ind w:right="1117"/>
        <w:jc w:val="left"/>
      </w:pPr>
      <w:r>
        <w:rPr/>
        <w:t>本期末通过公司内部研发形成的无形资产占无形资产余额的比例</w:t>
      </w:r>
      <w:r>
        <w:rPr>
          <w:rFonts w:ascii="Times New Roman" w:hAnsi="Times New Roman" w:cs="Times New Roman" w:eastAsia="Times New Roman" w:hint="default"/>
        </w:rPr>
        <w:t>27.28%</w:t>
      </w:r>
      <w:r>
        <w:rPr/>
        <w:t>。</w:t>
      </w:r>
    </w:p>
    <w:p>
      <w:pPr>
        <w:spacing w:line="240" w:lineRule="auto" w:before="7"/>
        <w:rPr>
          <w:rFonts w:ascii="宋体" w:hAnsi="宋体" w:cs="宋体" w:eastAsia="宋体" w:hint="default"/>
          <w:sz w:val="30"/>
          <w:szCs w:val="30"/>
        </w:rPr>
      </w:pPr>
    </w:p>
    <w:p>
      <w:pPr>
        <w:pStyle w:val="Heading4"/>
        <w:spacing w:line="240" w:lineRule="auto"/>
        <w:ind w:right="1117"/>
        <w:jc w:val="left"/>
        <w:rPr>
          <w:b w:val="0"/>
          <w:bCs w:val="0"/>
        </w:rPr>
      </w:pPr>
      <w:bookmarkStart w:name="15、商誉" w:id="268"/>
      <w:bookmarkEnd w:id="268"/>
      <w:r>
        <w:rPr>
          <w:b w:val="0"/>
          <w:bCs w:val="0"/>
        </w:rPr>
      </w:r>
      <w:r>
        <w:rPr>
          <w:rFonts w:ascii="Times New Roman" w:hAnsi="Times New Roman" w:cs="Times New Roman" w:eastAsia="Times New Roman" w:hint="default"/>
        </w:rPr>
        <w:t>15</w:t>
      </w:r>
      <w:r>
        <w:rPr/>
        <w:t>、商誉</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1117"/>
        <w:jc w:val="left"/>
        <w:rPr>
          <w:b w:val="0"/>
          <w:bCs w:val="0"/>
        </w:rPr>
      </w:pPr>
      <w:bookmarkStart w:name="（1）商誉账面原值" w:id="269"/>
      <w:bookmarkEnd w:id="269"/>
      <w:r>
        <w:rPr>
          <w:b w:val="0"/>
          <w:bCs w:val="0"/>
        </w:rPr>
      </w:r>
      <w:r>
        <w:rPr/>
        <w:t>（</w:t>
      </w:r>
      <w:r>
        <w:rPr>
          <w:rFonts w:ascii="Times New Roman" w:hAnsi="Times New Roman" w:cs="Times New Roman" w:eastAsia="Times New Roman" w:hint="default"/>
        </w:rPr>
        <w:t>1</w:t>
      </w:r>
      <w:r>
        <w:rPr/>
        <w:t>）商誉账面原值</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356"/>
        <w:gridCol w:w="1378"/>
        <w:gridCol w:w="1368"/>
        <w:gridCol w:w="1367"/>
        <w:gridCol w:w="1367"/>
        <w:gridCol w:w="1367"/>
        <w:gridCol w:w="1367"/>
      </w:tblGrid>
      <w:tr>
        <w:trPr>
          <w:trHeight w:val="1026"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48" w:right="36"/>
              <w:jc w:val="center"/>
              <w:rPr>
                <w:rFonts w:ascii="宋体" w:hAnsi="宋体" w:cs="宋体" w:eastAsia="宋体" w:hint="default"/>
                <w:sz w:val="18"/>
                <w:szCs w:val="18"/>
              </w:rPr>
            </w:pPr>
            <w:r>
              <w:rPr>
                <w:rFonts w:ascii="宋体" w:hAnsi="宋体" w:cs="宋体" w:eastAsia="宋体" w:hint="default"/>
                <w:sz w:val="18"/>
                <w:szCs w:val="18"/>
              </w:rPr>
              <w:t>被投资单位名称 或形成商誉的事 项</w:t>
            </w:r>
          </w:p>
        </w:tc>
        <w:tc>
          <w:tcPr>
            <w:tcW w:w="13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329"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273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 w:right="0"/>
              <w:jc w:val="center"/>
              <w:rPr>
                <w:rFonts w:ascii="宋体" w:hAnsi="宋体" w:cs="宋体" w:eastAsia="宋体" w:hint="default"/>
                <w:sz w:val="18"/>
                <w:szCs w:val="18"/>
              </w:rPr>
            </w:pPr>
            <w:r>
              <w:rPr>
                <w:rFonts w:ascii="宋体" w:hAnsi="宋体" w:cs="宋体" w:eastAsia="宋体" w:hint="default"/>
                <w:sz w:val="18"/>
                <w:szCs w:val="18"/>
              </w:rPr>
              <w:t>本期增加</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本期减少</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318"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714" w:hRule="exact"/>
        </w:trPr>
        <w:tc>
          <w:tcPr>
            <w:tcW w:w="1356"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319" w:lineRule="auto" w:before="51"/>
              <w:ind w:left="22" w:right="61"/>
              <w:jc w:val="left"/>
              <w:rPr>
                <w:rFonts w:ascii="宋体" w:hAnsi="宋体" w:cs="宋体" w:eastAsia="宋体" w:hint="default"/>
                <w:sz w:val="18"/>
                <w:szCs w:val="18"/>
              </w:rPr>
            </w:pPr>
            <w:r>
              <w:rPr>
                <w:rFonts w:ascii="宋体" w:hAnsi="宋体" w:cs="宋体" w:eastAsia="宋体" w:hint="default"/>
                <w:sz w:val="18"/>
                <w:szCs w:val="18"/>
              </w:rPr>
              <w:t>北京迪科远望科 技有限公司</w:t>
            </w:r>
          </w:p>
        </w:tc>
        <w:tc>
          <w:tcPr>
            <w:tcW w:w="1378" w:type="dxa"/>
            <w:tcBorders>
              <w:top w:val="single" w:sz="4" w:space="0" w:color="000000"/>
              <w:left w:val="single" w:sz="13" w:space="0" w:color="E0FFFF"/>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280,076,227.00</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280,076,227.00</w:t>
            </w:r>
          </w:p>
        </w:tc>
      </w:tr>
      <w:tr>
        <w:trPr>
          <w:trHeight w:val="714" w:hRule="exact"/>
        </w:trPr>
        <w:tc>
          <w:tcPr>
            <w:tcW w:w="1356"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316" w:lineRule="auto" w:before="51"/>
              <w:ind w:left="22" w:right="61"/>
              <w:jc w:val="left"/>
              <w:rPr>
                <w:rFonts w:ascii="宋体" w:hAnsi="宋体" w:cs="宋体" w:eastAsia="宋体" w:hint="default"/>
                <w:sz w:val="18"/>
                <w:szCs w:val="18"/>
              </w:rPr>
            </w:pPr>
            <w:r>
              <w:rPr>
                <w:rFonts w:ascii="宋体" w:hAnsi="宋体" w:cs="宋体" w:eastAsia="宋体" w:hint="default"/>
                <w:sz w:val="18"/>
                <w:szCs w:val="18"/>
              </w:rPr>
              <w:t>上海树维信息科 技有限公司</w:t>
            </w:r>
          </w:p>
        </w:tc>
        <w:tc>
          <w:tcPr>
            <w:tcW w:w="1378" w:type="dxa"/>
            <w:tcBorders>
              <w:top w:val="single" w:sz="4" w:space="0" w:color="000000"/>
              <w:left w:val="single" w:sz="13" w:space="0" w:color="E0FFFF"/>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189,508,612.57</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189,508,612.57</w:t>
            </w: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37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469,584,839.57</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469,584,839.57</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79" w:top="1060" w:bottom="1160" w:left="980" w:right="0"/>
        </w:sectPr>
      </w:pPr>
    </w:p>
    <w:p>
      <w:pPr>
        <w:spacing w:line="240" w:lineRule="auto" w:before="10"/>
        <w:rPr>
          <w:rFonts w:ascii="宋体" w:hAnsi="宋体" w:cs="宋体" w:eastAsia="宋体" w:hint="default"/>
          <w:sz w:val="24"/>
          <w:szCs w:val="24"/>
        </w:rPr>
      </w:pPr>
    </w:p>
    <w:p>
      <w:pPr>
        <w:pStyle w:val="Heading4"/>
        <w:spacing w:line="240" w:lineRule="auto" w:before="35"/>
        <w:ind w:left="254" w:right="127"/>
        <w:jc w:val="left"/>
        <w:rPr>
          <w:b w:val="0"/>
          <w:bCs w:val="0"/>
        </w:rPr>
      </w:pPr>
      <w:bookmarkStart w:name="（2）商誉减值准备" w:id="270"/>
      <w:bookmarkEnd w:id="270"/>
      <w:r>
        <w:rPr>
          <w:b w:val="0"/>
          <w:bCs w:val="0"/>
        </w:rPr>
      </w:r>
      <w:r>
        <w:rPr/>
        <w:t>（</w:t>
      </w:r>
      <w:r>
        <w:rPr>
          <w:rFonts w:ascii="Times New Roman" w:hAnsi="Times New Roman" w:cs="Times New Roman" w:eastAsia="Times New Roman" w:hint="default"/>
        </w:rPr>
        <w:t>2</w:t>
      </w:r>
      <w:r>
        <w:rPr/>
        <w:t>）商誉减值准备</w:t>
      </w:r>
      <w:r>
        <w:rPr>
          <w:b w:val="0"/>
          <w:bCs w:val="0"/>
        </w:rPr>
      </w:r>
    </w:p>
    <w:p>
      <w:pPr>
        <w:spacing w:line="240" w:lineRule="auto" w:before="8"/>
        <w:rPr>
          <w:rFonts w:ascii="宋体" w:hAnsi="宋体" w:cs="宋体" w:eastAsia="宋体" w:hint="default"/>
          <w:b/>
          <w:bCs/>
          <w:sz w:val="26"/>
          <w:szCs w:val="26"/>
        </w:rPr>
      </w:pPr>
    </w:p>
    <w:p>
      <w:pPr>
        <w:spacing w:before="0"/>
        <w:ind w:left="254" w:right="127" w:firstLine="0"/>
        <w:jc w:val="left"/>
        <w:rPr>
          <w:rFonts w:ascii="宋体" w:hAnsi="宋体" w:cs="宋体" w:eastAsia="宋体" w:hint="default"/>
          <w:sz w:val="18"/>
          <w:szCs w:val="18"/>
        </w:rPr>
      </w:pPr>
      <w:r>
        <w:rPr>
          <w:rFonts w:ascii="宋体" w:hAnsi="宋体" w:cs="宋体" w:eastAsia="宋体" w:hint="default"/>
          <w:sz w:val="18"/>
          <w:szCs w:val="18"/>
        </w:rPr>
        <w:t>商誉所在资产组或资产组组合的相关信息</w:t>
      </w:r>
    </w:p>
    <w:p>
      <w:pPr>
        <w:spacing w:line="240" w:lineRule="auto" w:before="10"/>
        <w:rPr>
          <w:rFonts w:ascii="宋体" w:hAnsi="宋体" w:cs="宋体" w:eastAsia="宋体" w:hint="default"/>
          <w:sz w:val="12"/>
          <w:szCs w:val="12"/>
        </w:rPr>
      </w:pPr>
    </w:p>
    <w:p>
      <w:pPr>
        <w:pStyle w:val="BodyText"/>
        <w:spacing w:line="386" w:lineRule="auto" w:before="0"/>
        <w:ind w:left="254" w:right="1182" w:firstLine="423"/>
        <w:jc w:val="both"/>
      </w:pPr>
      <w:r>
        <w:rPr/>
        <w:t>（</w:t>
      </w:r>
      <w:r>
        <w:rPr>
          <w:rFonts w:ascii="Times New Roman" w:hAnsi="Times New Roman" w:cs="Times New Roman" w:eastAsia="Times New Roman" w:hint="default"/>
        </w:rPr>
        <w:t>1</w:t>
      </w:r>
      <w:r>
        <w:rPr/>
        <w:t>）北京迪科远望科技有限公司（以下简称</w:t>
      </w:r>
      <w:r>
        <w:rPr>
          <w:rFonts w:ascii="Times New Roman" w:hAnsi="Times New Roman" w:cs="Times New Roman" w:eastAsia="Times New Roman" w:hint="default"/>
        </w:rPr>
        <w:t>“</w:t>
      </w:r>
      <w:r>
        <w:rPr/>
        <w:t>北京迪科</w:t>
      </w:r>
      <w:r>
        <w:rPr>
          <w:rFonts w:ascii="Times New Roman" w:hAnsi="Times New Roman" w:cs="Times New Roman" w:eastAsia="Times New Roman" w:hint="default"/>
        </w:rPr>
        <w:t>”</w:t>
      </w:r>
      <w:r>
        <w:rPr/>
        <w:t>）：</w:t>
      </w:r>
      <w:r>
        <w:rPr>
          <w:rFonts w:ascii="Times New Roman" w:hAnsi="Times New Roman" w:cs="Times New Roman" w:eastAsia="Times New Roman" w:hint="default"/>
        </w:rPr>
        <w:t>2015</w:t>
      </w:r>
      <w:r>
        <w:rPr/>
        <w:t>年</w:t>
      </w:r>
      <w:r>
        <w:rPr>
          <w:rFonts w:ascii="Times New Roman" w:hAnsi="Times New Roman" w:cs="Times New Roman" w:eastAsia="Times New Roman" w:hint="default"/>
        </w:rPr>
        <w:t>8</w:t>
      </w:r>
      <w:r>
        <w:rPr/>
        <w:t>月</w:t>
      </w:r>
      <w:r>
        <w:rPr>
          <w:rFonts w:ascii="Times New Roman" w:hAnsi="Times New Roman" w:cs="Times New Roman" w:eastAsia="Times New Roman" w:hint="default"/>
        </w:rPr>
        <w:t>13</w:t>
      </w:r>
      <w:r>
        <w:rPr/>
        <w:t>日，公司以</w:t>
      </w:r>
      <w:r>
        <w:rPr>
          <w:rFonts w:ascii="Times New Roman" w:hAnsi="Times New Roman" w:cs="Times New Roman" w:eastAsia="Times New Roman" w:hint="default"/>
        </w:rPr>
        <w:t>32,000</w:t>
      </w:r>
      <w:r>
        <w:rPr/>
        <w:t>万元的对 价，收购北京迪科</w:t>
      </w:r>
      <w:r>
        <w:rPr>
          <w:rFonts w:ascii="Times New Roman" w:hAnsi="Times New Roman" w:cs="Times New Roman" w:eastAsia="Times New Roman" w:hint="default"/>
        </w:rPr>
        <w:t>100.00%</w:t>
      </w:r>
      <w:r>
        <w:rPr/>
        <w:t>的股权，形成商誉</w:t>
      </w:r>
      <w:r>
        <w:rPr>
          <w:rFonts w:ascii="Times New Roman" w:hAnsi="Times New Roman" w:cs="Times New Roman" w:eastAsia="Times New Roman" w:hint="default"/>
        </w:rPr>
        <w:t>28,007.62</w:t>
      </w:r>
      <w:r>
        <w:rPr/>
        <w:t>万元。</w:t>
      </w:r>
    </w:p>
    <w:p>
      <w:pPr>
        <w:pStyle w:val="BodyText"/>
        <w:spacing w:line="386" w:lineRule="auto" w:before="35"/>
        <w:ind w:left="254" w:right="1130" w:firstLine="423"/>
        <w:jc w:val="both"/>
      </w:pPr>
      <w:r>
        <w:rPr/>
        <w:t>（</w:t>
      </w:r>
      <w:r>
        <w:rPr>
          <w:rFonts w:ascii="Times New Roman" w:hAnsi="Times New Roman" w:cs="Times New Roman" w:eastAsia="Times New Roman" w:hint="default"/>
        </w:rPr>
        <w:t>2</w:t>
      </w:r>
      <w:r>
        <w:rPr/>
        <w:t>）上海树维信息科技有限公司（以下简称</w:t>
      </w:r>
      <w:r>
        <w:rPr>
          <w:rFonts w:ascii="Times New Roman" w:hAnsi="Times New Roman" w:cs="Times New Roman" w:eastAsia="Times New Roman" w:hint="default"/>
        </w:rPr>
        <w:t>“</w:t>
      </w:r>
      <w:r>
        <w:rPr/>
        <w:t>上海树维</w:t>
      </w:r>
      <w:r>
        <w:rPr>
          <w:rFonts w:ascii="Times New Roman" w:hAnsi="Times New Roman" w:cs="Times New Roman" w:eastAsia="Times New Roman" w:hint="default"/>
        </w:rPr>
        <w:t>”</w:t>
      </w:r>
      <w:r>
        <w:rPr/>
        <w:t>）：</w:t>
      </w:r>
      <w:r>
        <w:rPr>
          <w:rFonts w:ascii="Times New Roman" w:hAnsi="Times New Roman" w:cs="Times New Roman" w:eastAsia="Times New Roman" w:hint="default"/>
        </w:rPr>
        <w:t>2015</w:t>
      </w:r>
      <w:r>
        <w:rPr/>
        <w:t>年</w:t>
      </w:r>
      <w:r>
        <w:rPr>
          <w:rFonts w:ascii="Times New Roman" w:hAnsi="Times New Roman" w:cs="Times New Roman" w:eastAsia="Times New Roman" w:hint="default"/>
        </w:rPr>
        <w:t>9</w:t>
      </w:r>
      <w:r>
        <w:rPr/>
        <w:t>月</w:t>
      </w:r>
      <w:r>
        <w:rPr>
          <w:rFonts w:ascii="Times New Roman" w:hAnsi="Times New Roman" w:cs="Times New Roman" w:eastAsia="Times New Roman" w:hint="default"/>
        </w:rPr>
        <w:t>21</w:t>
      </w:r>
      <w:r>
        <w:rPr/>
        <w:t>日，公司以</w:t>
      </w:r>
      <w:r>
        <w:rPr>
          <w:rFonts w:ascii="Times New Roman" w:hAnsi="Times New Roman" w:cs="Times New Roman" w:eastAsia="Times New Roman" w:hint="default"/>
        </w:rPr>
        <w:t>19,900</w:t>
      </w:r>
      <w:r>
        <w:rPr/>
        <w:t>万元的对 价，收购上海树维</w:t>
      </w:r>
      <w:r>
        <w:rPr>
          <w:rFonts w:ascii="Times New Roman" w:hAnsi="Times New Roman" w:cs="Times New Roman" w:eastAsia="Times New Roman" w:hint="default"/>
        </w:rPr>
        <w:t>100.00%</w:t>
      </w:r>
      <w:r>
        <w:rPr/>
        <w:t>的股权，同时，公司将根据上海树维数字化校园与教务管理系统业务的收入完 成情况，向交易对方支付最高不超过</w:t>
      </w:r>
      <w:r>
        <w:rPr>
          <w:rFonts w:ascii="Times New Roman" w:hAnsi="Times New Roman" w:cs="Times New Roman" w:eastAsia="Times New Roman" w:hint="default"/>
        </w:rPr>
        <w:t>2,000.00</w:t>
      </w:r>
      <w:r>
        <w:rPr/>
        <w:t>万元的附条件的股权转让追加对价，交易形成商誉</w:t>
      </w:r>
      <w:r>
        <w:rPr>
          <w:rFonts w:ascii="Times New Roman" w:hAnsi="Times New Roman" w:cs="Times New Roman" w:eastAsia="Times New Roman" w:hint="default"/>
        </w:rPr>
        <w:t>18,950.86 </w:t>
      </w:r>
      <w:r>
        <w:rPr/>
        <w:t>万元。</w:t>
      </w:r>
    </w:p>
    <w:p>
      <w:pPr>
        <w:spacing w:line="319" w:lineRule="auto" w:before="53"/>
        <w:ind w:left="254" w:right="127" w:firstLine="0"/>
        <w:jc w:val="left"/>
        <w:rPr>
          <w:rFonts w:ascii="宋体" w:hAnsi="宋体" w:cs="宋体" w:eastAsia="宋体" w:hint="default"/>
          <w:sz w:val="18"/>
          <w:szCs w:val="18"/>
        </w:rPr>
      </w:pPr>
      <w:r>
        <w:rPr>
          <w:rFonts w:ascii="宋体" w:hAnsi="宋体" w:cs="宋体" w:eastAsia="宋体" w:hint="default"/>
          <w:spacing w:val="-2"/>
          <w:sz w:val="18"/>
          <w:szCs w:val="18"/>
        </w:rPr>
        <w:t>说明商誉减值测试过程、关键参数（如预计未来现金流量现值时的预测期增长率、稳定期增长率、利润率、折现率、预测期</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等）及商誉减值损失的确认方法：</w:t>
      </w:r>
    </w:p>
    <w:p>
      <w:pPr>
        <w:pStyle w:val="BodyText"/>
        <w:spacing w:line="240" w:lineRule="auto" w:before="108"/>
        <w:ind w:left="94" w:right="7426"/>
        <w:jc w:val="center"/>
      </w:pPr>
      <w:r>
        <w:rPr/>
        <w:t>（</w:t>
      </w:r>
      <w:r>
        <w:rPr>
          <w:rFonts w:ascii="Times New Roman" w:hAnsi="Times New Roman" w:cs="Times New Roman" w:eastAsia="Times New Roman" w:hint="default"/>
        </w:rPr>
        <w:t>1</w:t>
      </w:r>
      <w:r>
        <w:rPr/>
        <w:t>）资产组相关信息以下单位：万元</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2"/>
          <w:szCs w:val="12"/>
        </w:rPr>
      </w:pPr>
    </w:p>
    <w:tbl>
      <w:tblPr>
        <w:tblW w:w="0" w:type="auto"/>
        <w:jc w:val="left"/>
        <w:tblInd w:w="671" w:type="dxa"/>
        <w:tblLayout w:type="fixed"/>
        <w:tblCellMar>
          <w:top w:w="0" w:type="dxa"/>
          <w:left w:w="0" w:type="dxa"/>
          <w:bottom w:w="0" w:type="dxa"/>
          <w:right w:w="0" w:type="dxa"/>
        </w:tblCellMar>
        <w:tblLook w:val="01E0"/>
      </w:tblPr>
      <w:tblGrid>
        <w:gridCol w:w="4674"/>
        <w:gridCol w:w="2121"/>
        <w:gridCol w:w="2125"/>
      </w:tblGrid>
      <w:tr>
        <w:trPr>
          <w:trHeight w:val="342" w:hRule="exact"/>
        </w:trPr>
        <w:tc>
          <w:tcPr>
            <w:tcW w:w="467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单位</w:t>
            </w:r>
          </w:p>
        </w:tc>
        <w:tc>
          <w:tcPr>
            <w:tcW w:w="212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left="694" w:right="0"/>
              <w:jc w:val="left"/>
              <w:rPr>
                <w:rFonts w:ascii="宋体" w:hAnsi="宋体" w:cs="宋体" w:eastAsia="宋体" w:hint="default"/>
                <w:sz w:val="18"/>
                <w:szCs w:val="18"/>
              </w:rPr>
            </w:pPr>
            <w:r>
              <w:rPr>
                <w:rFonts w:ascii="宋体" w:hAnsi="宋体" w:cs="宋体" w:eastAsia="宋体" w:hint="default"/>
                <w:sz w:val="18"/>
                <w:szCs w:val="18"/>
              </w:rPr>
              <w:t>迪科远望</w:t>
            </w:r>
          </w:p>
        </w:tc>
        <w:tc>
          <w:tcPr>
            <w:tcW w:w="212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left="697" w:right="0"/>
              <w:jc w:val="left"/>
              <w:rPr>
                <w:rFonts w:ascii="宋体" w:hAnsi="宋体" w:cs="宋体" w:eastAsia="宋体" w:hint="default"/>
                <w:sz w:val="18"/>
                <w:szCs w:val="18"/>
              </w:rPr>
            </w:pPr>
            <w:r>
              <w:rPr>
                <w:rFonts w:ascii="宋体" w:hAnsi="宋体" w:cs="宋体" w:eastAsia="宋体" w:hint="default"/>
                <w:sz w:val="18"/>
                <w:szCs w:val="18"/>
              </w:rPr>
              <w:t>上海树维</w:t>
            </w:r>
          </w:p>
        </w:tc>
      </w:tr>
      <w:tr>
        <w:trPr>
          <w:trHeight w:val="342" w:hRule="exact"/>
        </w:trPr>
        <w:tc>
          <w:tcPr>
            <w:tcW w:w="4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资产组的构成</w:t>
            </w:r>
          </w:p>
        </w:tc>
        <w:tc>
          <w:tcPr>
            <w:tcW w:w="2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9"/>
              <w:jc w:val="right"/>
              <w:rPr>
                <w:rFonts w:ascii="宋体" w:hAnsi="宋体" w:cs="宋体" w:eastAsia="宋体" w:hint="default"/>
                <w:sz w:val="18"/>
                <w:szCs w:val="18"/>
              </w:rPr>
            </w:pPr>
            <w:r>
              <w:rPr>
                <w:rFonts w:ascii="宋体" w:hAnsi="宋体" w:cs="宋体" w:eastAsia="宋体" w:hint="default"/>
                <w:sz w:val="18"/>
                <w:szCs w:val="18"/>
              </w:rPr>
              <w:t>经营性长期资产（说明</w:t>
            </w:r>
            <w:r>
              <w:rPr>
                <w:rFonts w:ascii="Times New Roman" w:hAnsi="Times New Roman" w:cs="Times New Roman" w:eastAsia="Times New Roman" w:hint="default"/>
                <w:sz w:val="18"/>
                <w:szCs w:val="18"/>
              </w:rPr>
              <w:t>1</w:t>
            </w:r>
            <w:r>
              <w:rPr>
                <w:rFonts w:ascii="宋体" w:hAnsi="宋体" w:cs="宋体" w:eastAsia="宋体" w:hint="default"/>
                <w:sz w:val="18"/>
                <w:szCs w:val="18"/>
              </w:rPr>
              <w:t>）</w:t>
            </w:r>
          </w:p>
        </w:tc>
        <w:tc>
          <w:tcPr>
            <w:tcW w:w="21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0"/>
              <w:jc w:val="right"/>
              <w:rPr>
                <w:rFonts w:ascii="宋体" w:hAnsi="宋体" w:cs="宋体" w:eastAsia="宋体" w:hint="default"/>
                <w:sz w:val="18"/>
                <w:szCs w:val="18"/>
              </w:rPr>
            </w:pPr>
            <w:r>
              <w:rPr>
                <w:rFonts w:ascii="宋体" w:hAnsi="宋体" w:cs="宋体" w:eastAsia="宋体" w:hint="default"/>
                <w:sz w:val="18"/>
                <w:szCs w:val="18"/>
              </w:rPr>
              <w:t>经营性长期资产（说明</w:t>
            </w:r>
            <w:r>
              <w:rPr>
                <w:rFonts w:ascii="Times New Roman" w:hAnsi="Times New Roman" w:cs="Times New Roman" w:eastAsia="Times New Roman" w:hint="default"/>
                <w:sz w:val="18"/>
                <w:szCs w:val="18"/>
              </w:rPr>
              <w:t>2</w:t>
            </w:r>
            <w:r>
              <w:rPr>
                <w:rFonts w:ascii="宋体" w:hAnsi="宋体" w:cs="宋体" w:eastAsia="宋体" w:hint="default"/>
                <w:sz w:val="18"/>
                <w:szCs w:val="18"/>
              </w:rPr>
              <w:t>）</w:t>
            </w:r>
          </w:p>
        </w:tc>
      </w:tr>
      <w:tr>
        <w:trPr>
          <w:trHeight w:val="342" w:hRule="exact"/>
        </w:trPr>
        <w:tc>
          <w:tcPr>
            <w:tcW w:w="4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资产组内的账面价值（经公允价值调表后）</w:t>
            </w:r>
          </w:p>
        </w:tc>
        <w:tc>
          <w:tcPr>
            <w:tcW w:w="2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3"/>
              <w:jc w:val="right"/>
              <w:rPr>
                <w:rFonts w:ascii="Times New Roman" w:hAnsi="Times New Roman" w:cs="Times New Roman" w:eastAsia="Times New Roman" w:hint="default"/>
                <w:sz w:val="18"/>
                <w:szCs w:val="18"/>
              </w:rPr>
            </w:pPr>
            <w:r>
              <w:rPr>
                <w:rFonts w:ascii="Times New Roman"/>
                <w:sz w:val="18"/>
              </w:rPr>
              <w:t>592.04</w:t>
            </w:r>
          </w:p>
        </w:tc>
        <w:tc>
          <w:tcPr>
            <w:tcW w:w="21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2"/>
              <w:jc w:val="right"/>
              <w:rPr>
                <w:rFonts w:ascii="Times New Roman" w:hAnsi="Times New Roman" w:cs="Times New Roman" w:eastAsia="Times New Roman" w:hint="default"/>
                <w:sz w:val="18"/>
                <w:szCs w:val="18"/>
              </w:rPr>
            </w:pPr>
            <w:r>
              <w:rPr>
                <w:rFonts w:ascii="Times New Roman"/>
                <w:sz w:val="18"/>
              </w:rPr>
              <w:t>2,151.51</w:t>
            </w:r>
          </w:p>
        </w:tc>
      </w:tr>
      <w:tr>
        <w:trPr>
          <w:trHeight w:val="342" w:hRule="exact"/>
        </w:trPr>
        <w:tc>
          <w:tcPr>
            <w:tcW w:w="4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分摊至本资产组的商誉账面价值</w:t>
            </w:r>
          </w:p>
        </w:tc>
        <w:tc>
          <w:tcPr>
            <w:tcW w:w="2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3"/>
              <w:jc w:val="right"/>
              <w:rPr>
                <w:rFonts w:ascii="Times New Roman" w:hAnsi="Times New Roman" w:cs="Times New Roman" w:eastAsia="Times New Roman" w:hint="default"/>
                <w:sz w:val="18"/>
                <w:szCs w:val="18"/>
              </w:rPr>
            </w:pPr>
            <w:r>
              <w:rPr>
                <w:rFonts w:ascii="Times New Roman"/>
                <w:sz w:val="18"/>
              </w:rPr>
              <w:t>28,007.62</w:t>
            </w:r>
          </w:p>
        </w:tc>
        <w:tc>
          <w:tcPr>
            <w:tcW w:w="21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2"/>
              <w:jc w:val="right"/>
              <w:rPr>
                <w:rFonts w:ascii="Times New Roman" w:hAnsi="Times New Roman" w:cs="Times New Roman" w:eastAsia="Times New Roman" w:hint="default"/>
                <w:sz w:val="18"/>
                <w:szCs w:val="18"/>
              </w:rPr>
            </w:pPr>
            <w:r>
              <w:rPr>
                <w:rFonts w:ascii="Times New Roman"/>
                <w:sz w:val="18"/>
              </w:rPr>
              <w:t>18,950.86</w:t>
            </w:r>
          </w:p>
        </w:tc>
      </w:tr>
      <w:tr>
        <w:trPr>
          <w:trHeight w:val="342" w:hRule="exact"/>
        </w:trPr>
        <w:tc>
          <w:tcPr>
            <w:tcW w:w="4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包含商誉的资产组的账面价值</w:t>
            </w:r>
          </w:p>
        </w:tc>
        <w:tc>
          <w:tcPr>
            <w:tcW w:w="2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3"/>
              <w:jc w:val="right"/>
              <w:rPr>
                <w:rFonts w:ascii="Times New Roman" w:hAnsi="Times New Roman" w:cs="Times New Roman" w:eastAsia="Times New Roman" w:hint="default"/>
                <w:sz w:val="18"/>
                <w:szCs w:val="18"/>
              </w:rPr>
            </w:pPr>
            <w:r>
              <w:rPr>
                <w:rFonts w:ascii="Times New Roman"/>
                <w:sz w:val="18"/>
              </w:rPr>
              <w:t>28,599.66</w:t>
            </w:r>
          </w:p>
        </w:tc>
        <w:tc>
          <w:tcPr>
            <w:tcW w:w="21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2"/>
              <w:jc w:val="right"/>
              <w:rPr>
                <w:rFonts w:ascii="Times New Roman" w:hAnsi="Times New Roman" w:cs="Times New Roman" w:eastAsia="Times New Roman" w:hint="default"/>
                <w:sz w:val="18"/>
                <w:szCs w:val="18"/>
              </w:rPr>
            </w:pPr>
            <w:r>
              <w:rPr>
                <w:rFonts w:ascii="Times New Roman"/>
                <w:sz w:val="18"/>
              </w:rPr>
              <w:t>21,102.37</w:t>
            </w:r>
          </w:p>
        </w:tc>
      </w:tr>
      <w:tr>
        <w:trPr>
          <w:trHeight w:val="342" w:hRule="exact"/>
        </w:trPr>
        <w:tc>
          <w:tcPr>
            <w:tcW w:w="4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未来可收回金额</w:t>
            </w:r>
          </w:p>
        </w:tc>
        <w:tc>
          <w:tcPr>
            <w:tcW w:w="2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3"/>
              <w:jc w:val="right"/>
              <w:rPr>
                <w:rFonts w:ascii="Times New Roman" w:hAnsi="Times New Roman" w:cs="Times New Roman" w:eastAsia="Times New Roman" w:hint="default"/>
                <w:sz w:val="18"/>
                <w:szCs w:val="18"/>
              </w:rPr>
            </w:pPr>
            <w:r>
              <w:rPr>
                <w:rFonts w:ascii="Times New Roman"/>
                <w:sz w:val="18"/>
              </w:rPr>
              <w:t>30,200.00</w:t>
            </w:r>
          </w:p>
        </w:tc>
        <w:tc>
          <w:tcPr>
            <w:tcW w:w="21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2"/>
              <w:jc w:val="right"/>
              <w:rPr>
                <w:rFonts w:ascii="Times New Roman" w:hAnsi="Times New Roman" w:cs="Times New Roman" w:eastAsia="Times New Roman" w:hint="default"/>
                <w:sz w:val="18"/>
                <w:szCs w:val="18"/>
              </w:rPr>
            </w:pPr>
            <w:r>
              <w:rPr>
                <w:rFonts w:ascii="Times New Roman"/>
                <w:sz w:val="18"/>
              </w:rPr>
              <w:t>22,000.00</w:t>
            </w:r>
          </w:p>
        </w:tc>
      </w:tr>
      <w:tr>
        <w:trPr>
          <w:trHeight w:val="654" w:hRule="exact"/>
        </w:trPr>
        <w:tc>
          <w:tcPr>
            <w:tcW w:w="467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21"/>
              <w:ind w:left="4" w:right="4"/>
              <w:jc w:val="left"/>
              <w:rPr>
                <w:rFonts w:ascii="宋体" w:hAnsi="宋体" w:cs="宋体" w:eastAsia="宋体" w:hint="default"/>
                <w:sz w:val="18"/>
                <w:szCs w:val="18"/>
              </w:rPr>
            </w:pPr>
            <w:r>
              <w:rPr>
                <w:rFonts w:ascii="宋体" w:hAnsi="宋体" w:cs="宋体" w:eastAsia="宋体" w:hint="default"/>
                <w:spacing w:val="-2"/>
                <w:sz w:val="18"/>
                <w:szCs w:val="18"/>
              </w:rPr>
              <w:t>资产组是否与购买日、以前年度商誉减值测试时所确定的资</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产组一致</w:t>
            </w:r>
          </w:p>
        </w:tc>
        <w:tc>
          <w:tcPr>
            <w:tcW w:w="424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是</w:t>
            </w:r>
          </w:p>
        </w:tc>
      </w:tr>
    </w:tbl>
    <w:p>
      <w:pPr>
        <w:spacing w:line="240" w:lineRule="auto" w:before="13"/>
        <w:rPr>
          <w:rFonts w:ascii="宋体" w:hAnsi="宋体" w:cs="宋体" w:eastAsia="宋体" w:hint="default"/>
          <w:sz w:val="25"/>
          <w:szCs w:val="25"/>
        </w:rPr>
      </w:pPr>
    </w:p>
    <w:p>
      <w:pPr>
        <w:pStyle w:val="BodyText"/>
        <w:spacing w:line="240" w:lineRule="auto" w:before="35"/>
        <w:ind w:left="113" w:right="127"/>
        <w:jc w:val="left"/>
      </w:pPr>
      <w:r>
        <w:rPr/>
        <w:t>说明</w:t>
      </w:r>
      <w:r>
        <w:rPr>
          <w:rFonts w:ascii="Times New Roman" w:hAnsi="Times New Roman" w:cs="Times New Roman" w:eastAsia="Times New Roman" w:hint="default"/>
        </w:rPr>
        <w:t>1</w:t>
      </w:r>
      <w:r>
        <w:rPr/>
        <w:t>：迪科远望资产组信息如下（单位：万元）：</w:t>
      </w:r>
    </w:p>
    <w:p>
      <w:pPr>
        <w:spacing w:line="240" w:lineRule="auto" w:before="8"/>
        <w:rPr>
          <w:rFonts w:ascii="宋体" w:hAnsi="宋体" w:cs="宋体" w:eastAsia="宋体" w:hint="default"/>
          <w:sz w:val="20"/>
          <w:szCs w:val="20"/>
        </w:rPr>
      </w:pPr>
    </w:p>
    <w:tbl>
      <w:tblPr>
        <w:tblW w:w="0" w:type="auto"/>
        <w:jc w:val="left"/>
        <w:tblInd w:w="2091" w:type="dxa"/>
        <w:tblLayout w:type="fixed"/>
        <w:tblCellMar>
          <w:top w:w="0" w:type="dxa"/>
          <w:left w:w="0" w:type="dxa"/>
          <w:bottom w:w="0" w:type="dxa"/>
          <w:right w:w="0" w:type="dxa"/>
        </w:tblCellMar>
        <w:tblLook w:val="01E0"/>
      </w:tblPr>
      <w:tblGrid>
        <w:gridCol w:w="3402"/>
        <w:gridCol w:w="2552"/>
      </w:tblGrid>
      <w:tr>
        <w:trPr>
          <w:trHeight w:val="342" w:hRule="exact"/>
        </w:trPr>
        <w:tc>
          <w:tcPr>
            <w:tcW w:w="34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项目名称</w:t>
            </w:r>
          </w:p>
        </w:tc>
        <w:tc>
          <w:tcPr>
            <w:tcW w:w="255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账面价值</w:t>
            </w:r>
          </w:p>
        </w:tc>
      </w:tr>
      <w:tr>
        <w:trPr>
          <w:trHeight w:val="342" w:hRule="exact"/>
        </w:trPr>
        <w:tc>
          <w:tcPr>
            <w:tcW w:w="3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3"/>
              <w:jc w:val="right"/>
              <w:rPr>
                <w:rFonts w:ascii="Times New Roman" w:hAnsi="Times New Roman" w:cs="Times New Roman" w:eastAsia="Times New Roman" w:hint="default"/>
                <w:sz w:val="18"/>
                <w:szCs w:val="18"/>
              </w:rPr>
            </w:pPr>
            <w:r>
              <w:rPr>
                <w:rFonts w:ascii="Times New Roman"/>
                <w:sz w:val="18"/>
              </w:rPr>
              <w:t>73.28</w:t>
            </w:r>
          </w:p>
        </w:tc>
      </w:tr>
      <w:tr>
        <w:trPr>
          <w:trHeight w:val="342" w:hRule="exact"/>
        </w:trPr>
        <w:tc>
          <w:tcPr>
            <w:tcW w:w="3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3"/>
              <w:jc w:val="right"/>
              <w:rPr>
                <w:rFonts w:ascii="Times New Roman" w:hAnsi="Times New Roman" w:cs="Times New Roman" w:eastAsia="Times New Roman" w:hint="default"/>
                <w:sz w:val="18"/>
                <w:szCs w:val="18"/>
              </w:rPr>
            </w:pPr>
            <w:r>
              <w:rPr>
                <w:rFonts w:ascii="Times New Roman"/>
                <w:sz w:val="18"/>
              </w:rPr>
              <w:t>214.53</w:t>
            </w:r>
          </w:p>
        </w:tc>
      </w:tr>
      <w:tr>
        <w:trPr>
          <w:trHeight w:val="342" w:hRule="exact"/>
        </w:trPr>
        <w:tc>
          <w:tcPr>
            <w:tcW w:w="3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3"/>
              <w:jc w:val="right"/>
              <w:rPr>
                <w:rFonts w:ascii="Times New Roman" w:hAnsi="Times New Roman" w:cs="Times New Roman" w:eastAsia="Times New Roman" w:hint="default"/>
                <w:sz w:val="18"/>
                <w:szCs w:val="18"/>
              </w:rPr>
            </w:pPr>
            <w:r>
              <w:rPr>
                <w:rFonts w:ascii="Times New Roman"/>
                <w:sz w:val="18"/>
              </w:rPr>
              <w:t>304.23</w:t>
            </w:r>
          </w:p>
        </w:tc>
      </w:tr>
      <w:tr>
        <w:trPr>
          <w:trHeight w:val="343" w:hRule="exact"/>
        </w:trPr>
        <w:tc>
          <w:tcPr>
            <w:tcW w:w="3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资产组合计</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3"/>
              <w:jc w:val="right"/>
              <w:rPr>
                <w:rFonts w:ascii="Times New Roman" w:hAnsi="Times New Roman" w:cs="Times New Roman" w:eastAsia="Times New Roman" w:hint="default"/>
                <w:sz w:val="18"/>
                <w:szCs w:val="18"/>
              </w:rPr>
            </w:pPr>
            <w:r>
              <w:rPr>
                <w:rFonts w:ascii="Times New Roman"/>
                <w:sz w:val="18"/>
              </w:rPr>
              <w:t>592.04</w:t>
            </w:r>
          </w:p>
        </w:tc>
      </w:tr>
    </w:tbl>
    <w:p>
      <w:pPr>
        <w:spacing w:line="240" w:lineRule="auto" w:before="1"/>
        <w:rPr>
          <w:rFonts w:ascii="宋体" w:hAnsi="宋体" w:cs="宋体" w:eastAsia="宋体" w:hint="default"/>
          <w:sz w:val="14"/>
          <w:szCs w:val="14"/>
        </w:rPr>
      </w:pPr>
    </w:p>
    <w:p>
      <w:pPr>
        <w:pStyle w:val="BodyText"/>
        <w:spacing w:line="408" w:lineRule="auto" w:before="35"/>
        <w:ind w:left="254" w:right="127" w:firstLine="423"/>
        <w:jc w:val="left"/>
      </w:pPr>
      <w:r>
        <w:rPr>
          <w:spacing w:val="-1"/>
        </w:rPr>
        <w:t>固定资产具体包括电子设备和车辆；无形资产具体包括专利、商标使用权和软件著作权等；开发支出</w:t>
      </w:r>
      <w:r>
        <w:rPr/>
        <w:t> 具体为工资薪酬、办公费和服务费等，以上数据已经公允价值调表。</w:t>
      </w:r>
    </w:p>
    <w:p>
      <w:pPr>
        <w:spacing w:line="240" w:lineRule="auto" w:before="5"/>
        <w:rPr>
          <w:rFonts w:ascii="宋体" w:hAnsi="宋体" w:cs="宋体" w:eastAsia="宋体" w:hint="default"/>
          <w:sz w:val="21"/>
          <w:szCs w:val="21"/>
        </w:rPr>
      </w:pPr>
    </w:p>
    <w:p>
      <w:pPr>
        <w:pStyle w:val="BodyText"/>
        <w:spacing w:line="240" w:lineRule="auto" w:before="0"/>
        <w:ind w:left="254" w:right="127"/>
        <w:jc w:val="left"/>
      </w:pPr>
      <w:r>
        <w:rPr/>
        <w:t>说明</w:t>
      </w:r>
      <w:r>
        <w:rPr>
          <w:rFonts w:ascii="Times New Roman" w:hAnsi="Times New Roman" w:cs="Times New Roman" w:eastAsia="Times New Roman" w:hint="default"/>
        </w:rPr>
        <w:t>2</w:t>
      </w:r>
      <w:r>
        <w:rPr/>
        <w:t>：上海树维资产组信息如下（单位：万元）</w:t>
      </w:r>
    </w:p>
    <w:p>
      <w:pPr>
        <w:spacing w:line="240" w:lineRule="auto" w:before="10"/>
        <w:rPr>
          <w:rFonts w:ascii="宋体" w:hAnsi="宋体" w:cs="宋体" w:eastAsia="宋体" w:hint="default"/>
          <w:sz w:val="2"/>
          <w:szCs w:val="2"/>
        </w:rPr>
      </w:pPr>
    </w:p>
    <w:tbl>
      <w:tblPr>
        <w:tblW w:w="0" w:type="auto"/>
        <w:jc w:val="left"/>
        <w:tblInd w:w="2091" w:type="dxa"/>
        <w:tblLayout w:type="fixed"/>
        <w:tblCellMar>
          <w:top w:w="0" w:type="dxa"/>
          <w:left w:w="0" w:type="dxa"/>
          <w:bottom w:w="0" w:type="dxa"/>
          <w:right w:w="0" w:type="dxa"/>
        </w:tblCellMar>
        <w:tblLook w:val="01E0"/>
      </w:tblPr>
      <w:tblGrid>
        <w:gridCol w:w="3686"/>
        <w:gridCol w:w="2268"/>
      </w:tblGrid>
      <w:tr>
        <w:trPr>
          <w:trHeight w:val="342" w:hRule="exact"/>
        </w:trPr>
        <w:tc>
          <w:tcPr>
            <w:tcW w:w="368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0"/>
              <w:ind w:right="1"/>
              <w:jc w:val="center"/>
              <w:rPr>
                <w:rFonts w:ascii="宋体" w:hAnsi="宋体" w:cs="宋体" w:eastAsia="宋体" w:hint="default"/>
                <w:sz w:val="18"/>
                <w:szCs w:val="18"/>
              </w:rPr>
            </w:pPr>
            <w:r>
              <w:rPr>
                <w:rFonts w:ascii="宋体" w:hAnsi="宋体" w:cs="宋体" w:eastAsia="宋体" w:hint="default"/>
                <w:sz w:val="18"/>
                <w:szCs w:val="18"/>
              </w:rPr>
              <w:t>项目名称</w:t>
            </w:r>
          </w:p>
        </w:tc>
        <w:tc>
          <w:tcPr>
            <w:tcW w:w="22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账面价值</w:t>
            </w:r>
          </w:p>
        </w:tc>
      </w:tr>
      <w:tr>
        <w:trPr>
          <w:trHeight w:val="343" w:hRule="exact"/>
        </w:trPr>
        <w:tc>
          <w:tcPr>
            <w:tcW w:w="3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3"/>
              <w:jc w:val="right"/>
              <w:rPr>
                <w:rFonts w:ascii="Times New Roman" w:hAnsi="Times New Roman" w:cs="Times New Roman" w:eastAsia="Times New Roman" w:hint="default"/>
                <w:sz w:val="18"/>
                <w:szCs w:val="18"/>
              </w:rPr>
            </w:pPr>
            <w:r>
              <w:rPr>
                <w:rFonts w:ascii="Times New Roman"/>
                <w:sz w:val="18"/>
              </w:rPr>
              <w:t>100.39</w:t>
            </w:r>
          </w:p>
        </w:tc>
      </w:tr>
      <w:tr>
        <w:trPr>
          <w:trHeight w:val="342" w:hRule="exact"/>
        </w:trPr>
        <w:tc>
          <w:tcPr>
            <w:tcW w:w="3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3"/>
              <w:jc w:val="right"/>
              <w:rPr>
                <w:rFonts w:ascii="Times New Roman" w:hAnsi="Times New Roman" w:cs="Times New Roman" w:eastAsia="Times New Roman" w:hint="default"/>
                <w:sz w:val="18"/>
                <w:szCs w:val="18"/>
              </w:rPr>
            </w:pPr>
            <w:r>
              <w:rPr>
                <w:rFonts w:ascii="Times New Roman"/>
                <w:sz w:val="18"/>
              </w:rPr>
              <w:t>2,051.12</w:t>
            </w:r>
          </w:p>
        </w:tc>
      </w:tr>
      <w:tr>
        <w:trPr>
          <w:trHeight w:val="342" w:hRule="exact"/>
        </w:trPr>
        <w:tc>
          <w:tcPr>
            <w:tcW w:w="3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2268"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77" w:footer="979" w:top="1060" w:bottom="1160" w:left="880" w:right="0"/>
        </w:sectPr>
      </w:pPr>
    </w:p>
    <w:p>
      <w:pPr>
        <w:spacing w:line="240" w:lineRule="auto" w:before="6"/>
        <w:rPr>
          <w:rFonts w:ascii="宋体" w:hAnsi="宋体" w:cs="宋体" w:eastAsia="宋体" w:hint="default"/>
          <w:sz w:val="28"/>
          <w:szCs w:val="28"/>
        </w:rPr>
      </w:pPr>
    </w:p>
    <w:tbl>
      <w:tblPr>
        <w:tblW w:w="0" w:type="auto"/>
        <w:jc w:val="left"/>
        <w:tblInd w:w="1991" w:type="dxa"/>
        <w:tblLayout w:type="fixed"/>
        <w:tblCellMar>
          <w:top w:w="0" w:type="dxa"/>
          <w:left w:w="0" w:type="dxa"/>
          <w:bottom w:w="0" w:type="dxa"/>
          <w:right w:w="0" w:type="dxa"/>
        </w:tblCellMar>
        <w:tblLook w:val="01E0"/>
      </w:tblPr>
      <w:tblGrid>
        <w:gridCol w:w="3686"/>
        <w:gridCol w:w="2268"/>
      </w:tblGrid>
      <w:tr>
        <w:trPr>
          <w:trHeight w:val="342" w:hRule="exact"/>
        </w:trPr>
        <w:tc>
          <w:tcPr>
            <w:tcW w:w="3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资产组合计</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3"/>
              <w:jc w:val="right"/>
              <w:rPr>
                <w:rFonts w:ascii="Times New Roman" w:hAnsi="Times New Roman" w:cs="Times New Roman" w:eastAsia="Times New Roman" w:hint="default"/>
                <w:sz w:val="18"/>
                <w:szCs w:val="18"/>
              </w:rPr>
            </w:pPr>
            <w:r>
              <w:rPr>
                <w:rFonts w:ascii="Times New Roman"/>
                <w:sz w:val="18"/>
              </w:rPr>
              <w:t>2,151.51</w:t>
            </w:r>
          </w:p>
        </w:tc>
      </w:tr>
    </w:tbl>
    <w:p>
      <w:pPr>
        <w:pStyle w:val="BodyText"/>
        <w:spacing w:line="408" w:lineRule="auto" w:before="63"/>
        <w:ind w:right="1117" w:firstLine="423"/>
        <w:jc w:val="left"/>
      </w:pPr>
      <w:r>
        <w:rPr>
          <w:spacing w:val="-1"/>
        </w:rPr>
        <w:t>固定资产具体包括电子设备和其他设备；无形资产具体包括外购软件、自主研发软件产品及系统、软</w:t>
      </w:r>
      <w:r>
        <w:rPr/>
        <w:t> 件著作权，以上数据已经公允价值调表。</w:t>
      </w:r>
    </w:p>
    <w:p>
      <w:pPr>
        <w:pStyle w:val="BodyText"/>
        <w:spacing w:line="386" w:lineRule="auto"/>
        <w:ind w:right="1194" w:firstLine="423"/>
        <w:jc w:val="left"/>
      </w:pPr>
      <w:r>
        <w:rPr/>
        <w:t>说明</w:t>
      </w:r>
      <w:r>
        <w:rPr>
          <w:rFonts w:ascii="Times New Roman" w:hAnsi="Times New Roman" w:cs="Times New Roman" w:eastAsia="Times New Roman" w:hint="default"/>
        </w:rPr>
        <w:t>3</w:t>
      </w:r>
      <w:r>
        <w:rPr/>
        <w:t>：通过未来可收回金额与包含商誉的资产组账面价值进行对比可知，截至</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日，公 司商誉未出现减值迹象。</w:t>
      </w:r>
    </w:p>
    <w:p>
      <w:pPr>
        <w:pStyle w:val="BodyText"/>
        <w:spacing w:line="240" w:lineRule="auto" w:before="65"/>
        <w:ind w:right="1117"/>
        <w:jc w:val="left"/>
      </w:pPr>
      <w:r>
        <w:rPr/>
        <w:t>（</w:t>
      </w:r>
      <w:r>
        <w:rPr>
          <w:rFonts w:ascii="Times New Roman" w:hAnsi="Times New Roman" w:cs="Times New Roman" w:eastAsia="Times New Roman" w:hint="default"/>
        </w:rPr>
        <w:t>2</w:t>
      </w:r>
      <w:r>
        <w:rPr/>
        <w:t>）本公司采用未来现金流量折现方法的主要参数</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2"/>
          <w:szCs w:val="12"/>
        </w:rPr>
      </w:pPr>
    </w:p>
    <w:tbl>
      <w:tblPr>
        <w:tblW w:w="0" w:type="auto"/>
        <w:jc w:val="left"/>
        <w:tblInd w:w="1097" w:type="dxa"/>
        <w:tblLayout w:type="fixed"/>
        <w:tblCellMar>
          <w:top w:w="0" w:type="dxa"/>
          <w:left w:w="0" w:type="dxa"/>
          <w:bottom w:w="0" w:type="dxa"/>
          <w:right w:w="0" w:type="dxa"/>
        </w:tblCellMar>
        <w:tblLook w:val="01E0"/>
      </w:tblPr>
      <w:tblGrid>
        <w:gridCol w:w="2454"/>
        <w:gridCol w:w="1134"/>
        <w:gridCol w:w="1134"/>
        <w:gridCol w:w="851"/>
        <w:gridCol w:w="1277"/>
        <w:gridCol w:w="1274"/>
      </w:tblGrid>
      <w:tr>
        <w:trPr>
          <w:trHeight w:val="342" w:hRule="exact"/>
        </w:trPr>
        <w:tc>
          <w:tcPr>
            <w:tcW w:w="2454"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8"/>
              <w:ind w:right="0"/>
              <w:jc w:val="left"/>
              <w:rPr>
                <w:rFonts w:ascii="宋体" w:hAnsi="宋体" w:cs="宋体" w:eastAsia="宋体" w:hint="default"/>
                <w:sz w:val="26"/>
                <w:szCs w:val="26"/>
              </w:rPr>
            </w:pPr>
          </w:p>
          <w:p>
            <w:pPr>
              <w:pStyle w:val="TableParagraph"/>
              <w:spacing w:line="316" w:lineRule="auto"/>
              <w:ind w:left="1041" w:right="50" w:hanging="990"/>
              <w:jc w:val="left"/>
              <w:rPr>
                <w:rFonts w:ascii="宋体" w:hAnsi="宋体" w:cs="宋体" w:eastAsia="宋体" w:hint="default"/>
                <w:sz w:val="18"/>
                <w:szCs w:val="18"/>
              </w:rPr>
            </w:pPr>
            <w:r>
              <w:rPr>
                <w:rFonts w:ascii="宋体" w:hAnsi="宋体" w:cs="宋体" w:eastAsia="宋体" w:hint="default"/>
                <w:sz w:val="18"/>
                <w:szCs w:val="18"/>
              </w:rPr>
              <w:t>被投资单位名称或形成商誉的 事项</w:t>
            </w:r>
          </w:p>
        </w:tc>
        <w:tc>
          <w:tcPr>
            <w:tcW w:w="5671" w:type="dxa"/>
            <w:gridSpan w:val="5"/>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关键参数</w:t>
            </w:r>
          </w:p>
        </w:tc>
      </w:tr>
      <w:tr>
        <w:trPr>
          <w:trHeight w:val="966" w:hRule="exact"/>
        </w:trPr>
        <w:tc>
          <w:tcPr>
            <w:tcW w:w="2454" w:type="dxa"/>
            <w:vMerge/>
            <w:tcBorders>
              <w:left w:val="single" w:sz="4" w:space="0" w:color="000000"/>
              <w:bottom w:val="single" w:sz="4" w:space="0" w:color="000000"/>
              <w:right w:val="single" w:sz="4" w:space="0" w:color="000000"/>
            </w:tcBorders>
            <w:shd w:val="clear" w:color="auto" w:fill="D9D9D9"/>
          </w:tcPr>
          <w:p>
            <w:pPr/>
          </w:p>
        </w:tc>
        <w:tc>
          <w:tcPr>
            <w:tcW w:w="113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预测期增长率</w:t>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稳定期增长率</w:t>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85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21"/>
              <w:ind w:left="60" w:right="59"/>
              <w:jc w:val="both"/>
              <w:rPr>
                <w:rFonts w:ascii="宋体" w:hAnsi="宋体" w:cs="宋体" w:eastAsia="宋体" w:hint="default"/>
                <w:sz w:val="18"/>
                <w:szCs w:val="18"/>
              </w:rPr>
            </w:pPr>
            <w:r>
              <w:rPr>
                <w:rFonts w:ascii="宋体" w:hAnsi="宋体" w:cs="宋体" w:eastAsia="宋体" w:hint="default"/>
                <w:sz w:val="18"/>
                <w:szCs w:val="18"/>
              </w:rPr>
              <w:t>平均息税 前净利润 率（</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27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
              <w:ind w:right="0"/>
              <w:jc w:val="left"/>
              <w:rPr>
                <w:rFonts w:ascii="宋体" w:hAnsi="宋体" w:cs="宋体" w:eastAsia="宋体" w:hint="default"/>
                <w:sz w:val="25"/>
                <w:szCs w:val="25"/>
              </w:rPr>
            </w:pPr>
          </w:p>
          <w:p>
            <w:pPr>
              <w:pStyle w:val="TableParagraph"/>
              <w:spacing w:line="240" w:lineRule="auto"/>
              <w:ind w:left="109" w:right="0"/>
              <w:jc w:val="left"/>
              <w:rPr>
                <w:rFonts w:ascii="宋体" w:hAnsi="宋体" w:cs="宋体" w:eastAsia="宋体" w:hint="default"/>
                <w:sz w:val="18"/>
                <w:szCs w:val="18"/>
              </w:rPr>
            </w:pPr>
            <w:r>
              <w:rPr>
                <w:rFonts w:ascii="宋体" w:hAnsi="宋体" w:cs="宋体" w:eastAsia="宋体" w:hint="default"/>
                <w:sz w:val="18"/>
                <w:szCs w:val="18"/>
              </w:rPr>
              <w:t>折现率（</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27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
              <w:ind w:right="0"/>
              <w:jc w:val="left"/>
              <w:rPr>
                <w:rFonts w:ascii="宋体" w:hAnsi="宋体" w:cs="宋体" w:eastAsia="宋体" w:hint="default"/>
                <w:sz w:val="25"/>
                <w:szCs w:val="25"/>
              </w:rPr>
            </w:pPr>
          </w:p>
          <w:p>
            <w:pPr>
              <w:pStyle w:val="TableParagraph"/>
              <w:spacing w:line="240" w:lineRule="auto"/>
              <w:ind w:left="92" w:right="0"/>
              <w:jc w:val="left"/>
              <w:rPr>
                <w:rFonts w:ascii="宋体" w:hAnsi="宋体" w:cs="宋体" w:eastAsia="宋体" w:hint="default"/>
                <w:sz w:val="18"/>
                <w:szCs w:val="18"/>
              </w:rPr>
            </w:pPr>
            <w:r>
              <w:rPr>
                <w:rFonts w:ascii="宋体" w:hAnsi="宋体" w:cs="宋体" w:eastAsia="宋体" w:hint="default"/>
                <w:sz w:val="18"/>
                <w:szCs w:val="18"/>
              </w:rPr>
              <w:t>预测期（年）</w:t>
            </w:r>
          </w:p>
        </w:tc>
      </w:tr>
      <w:tr>
        <w:trPr>
          <w:trHeight w:val="342" w:hRule="exact"/>
        </w:trPr>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北京迪科远望科技有限公司</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3"/>
              <w:jc w:val="right"/>
              <w:rPr>
                <w:rFonts w:ascii="Times New Roman" w:hAnsi="Times New Roman" w:cs="Times New Roman" w:eastAsia="Times New Roman" w:hint="default"/>
                <w:sz w:val="18"/>
                <w:szCs w:val="18"/>
              </w:rPr>
            </w:pPr>
            <w:r>
              <w:rPr>
                <w:rFonts w:ascii="Times New Roman"/>
                <w:sz w:val="18"/>
              </w:rPr>
              <w:t>5.48</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5"/>
              <w:jc w:val="right"/>
              <w:rPr>
                <w:rFonts w:ascii="Times New Roman" w:hAnsi="Times New Roman" w:cs="Times New Roman" w:eastAsia="Times New Roman" w:hint="default"/>
                <w:sz w:val="18"/>
                <w:szCs w:val="18"/>
              </w:rPr>
            </w:pPr>
            <w:r>
              <w:rPr>
                <w:rFonts w:ascii="Times New Roman"/>
                <w:sz w:val="18"/>
              </w:rPr>
              <w:t>0</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z w:val="18"/>
              </w:rPr>
              <w:t>29.85</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z w:val="18"/>
              </w:rPr>
              <w:t>12.84</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2"/>
              <w:jc w:val="right"/>
              <w:rPr>
                <w:rFonts w:ascii="Times New Roman" w:hAnsi="Times New Roman" w:cs="Times New Roman" w:eastAsia="Times New Roman" w:hint="default"/>
                <w:sz w:val="18"/>
                <w:szCs w:val="18"/>
              </w:rPr>
            </w:pPr>
            <w:r>
              <w:rPr>
                <w:rFonts w:ascii="Times New Roman"/>
                <w:sz w:val="18"/>
              </w:rPr>
              <w:t>5</w:t>
            </w:r>
          </w:p>
        </w:tc>
      </w:tr>
      <w:tr>
        <w:trPr>
          <w:trHeight w:val="343" w:hRule="exact"/>
        </w:trPr>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上海树维信息科技有限公司</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4"/>
              <w:jc w:val="right"/>
              <w:rPr>
                <w:rFonts w:ascii="Times New Roman" w:hAnsi="Times New Roman" w:cs="Times New Roman" w:eastAsia="Times New Roman" w:hint="default"/>
                <w:sz w:val="18"/>
                <w:szCs w:val="18"/>
              </w:rPr>
            </w:pPr>
            <w:r>
              <w:rPr>
                <w:rFonts w:ascii="Times New Roman"/>
                <w:sz w:val="18"/>
              </w:rPr>
              <w:t>7.53</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5"/>
              <w:jc w:val="right"/>
              <w:rPr>
                <w:rFonts w:ascii="Times New Roman" w:hAnsi="Times New Roman" w:cs="Times New Roman" w:eastAsia="Times New Roman" w:hint="default"/>
                <w:sz w:val="18"/>
                <w:szCs w:val="18"/>
              </w:rPr>
            </w:pPr>
            <w:r>
              <w:rPr>
                <w:rFonts w:ascii="Times New Roman"/>
                <w:sz w:val="18"/>
              </w:rPr>
              <w:t>0</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z w:val="18"/>
              </w:rPr>
              <w:t>22.65</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z w:val="18"/>
              </w:rPr>
              <w:t>12.30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2"/>
              <w:jc w:val="right"/>
              <w:rPr>
                <w:rFonts w:ascii="Times New Roman" w:hAnsi="Times New Roman" w:cs="Times New Roman" w:eastAsia="Times New Roman" w:hint="default"/>
                <w:sz w:val="18"/>
                <w:szCs w:val="18"/>
              </w:rPr>
            </w:pPr>
            <w:r>
              <w:rPr>
                <w:rFonts w:ascii="Times New Roman"/>
                <w:sz w:val="18"/>
              </w:rPr>
              <w:t>5</w:t>
            </w:r>
          </w:p>
        </w:tc>
      </w:tr>
    </w:tbl>
    <w:p>
      <w:pPr>
        <w:spacing w:line="240" w:lineRule="auto" w:before="5"/>
        <w:rPr>
          <w:rFonts w:ascii="宋体" w:hAnsi="宋体" w:cs="宋体" w:eastAsia="宋体" w:hint="default"/>
          <w:sz w:val="24"/>
          <w:szCs w:val="24"/>
        </w:rPr>
      </w:pPr>
    </w:p>
    <w:p>
      <w:pPr>
        <w:spacing w:line="357" w:lineRule="auto" w:before="44"/>
        <w:ind w:left="154" w:right="8592" w:firstLine="0"/>
        <w:jc w:val="left"/>
        <w:rPr>
          <w:rFonts w:ascii="宋体" w:hAnsi="宋体" w:cs="宋体" w:eastAsia="宋体" w:hint="default"/>
          <w:sz w:val="18"/>
          <w:szCs w:val="18"/>
        </w:rPr>
      </w:pPr>
      <w:r>
        <w:rPr>
          <w:rFonts w:ascii="宋体" w:hAnsi="宋体" w:cs="宋体" w:eastAsia="宋体" w:hint="default"/>
          <w:sz w:val="18"/>
          <w:szCs w:val="18"/>
        </w:rPr>
        <w:t>商誉减值测试的影响 其他说明</w:t>
      </w:r>
    </w:p>
    <w:p>
      <w:pPr>
        <w:spacing w:line="240" w:lineRule="auto" w:before="1"/>
        <w:rPr>
          <w:rFonts w:ascii="宋体" w:hAnsi="宋体" w:cs="宋体" w:eastAsia="宋体" w:hint="default"/>
          <w:sz w:val="20"/>
          <w:szCs w:val="20"/>
        </w:rPr>
      </w:pPr>
    </w:p>
    <w:p>
      <w:pPr>
        <w:pStyle w:val="Heading4"/>
        <w:spacing w:line="240" w:lineRule="auto"/>
        <w:ind w:right="1117"/>
        <w:jc w:val="left"/>
        <w:rPr>
          <w:b w:val="0"/>
          <w:bCs w:val="0"/>
        </w:rPr>
      </w:pPr>
      <w:bookmarkStart w:name="16、长期待摊费用" w:id="271"/>
      <w:bookmarkEnd w:id="271"/>
      <w:r>
        <w:rPr>
          <w:b w:val="0"/>
          <w:bCs w:val="0"/>
        </w:rPr>
      </w:r>
      <w:r>
        <w:rPr>
          <w:rFonts w:ascii="Times New Roman" w:hAnsi="Times New Roman" w:cs="Times New Roman" w:eastAsia="Times New Roman" w:hint="default"/>
        </w:rPr>
        <w:t>16</w:t>
      </w:r>
      <w:r>
        <w:rPr/>
        <w:t>、长期待摊费用</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594"/>
        <w:gridCol w:w="1596"/>
        <w:gridCol w:w="1595"/>
        <w:gridCol w:w="1594"/>
        <w:gridCol w:w="1594"/>
        <w:gridCol w:w="1595"/>
      </w:tblGrid>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3"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53" w:right="0"/>
              <w:jc w:val="left"/>
              <w:rPr>
                <w:rFonts w:ascii="宋体" w:hAnsi="宋体" w:cs="宋体" w:eastAsia="宋体" w:hint="default"/>
                <w:sz w:val="18"/>
                <w:szCs w:val="18"/>
              </w:rPr>
            </w:pPr>
            <w:r>
              <w:rPr>
                <w:rFonts w:ascii="宋体" w:hAnsi="宋体" w:cs="宋体" w:eastAsia="宋体" w:hint="default"/>
                <w:sz w:val="18"/>
                <w:szCs w:val="18"/>
              </w:rPr>
              <w:t>本期增加金额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52" w:right="0"/>
              <w:jc w:val="left"/>
              <w:rPr>
                <w:rFonts w:ascii="宋体" w:hAnsi="宋体" w:cs="宋体" w:eastAsia="宋体" w:hint="default"/>
                <w:sz w:val="18"/>
                <w:szCs w:val="18"/>
              </w:rPr>
            </w:pPr>
            <w:r>
              <w:rPr>
                <w:rFonts w:ascii="宋体" w:hAnsi="宋体" w:cs="宋体" w:eastAsia="宋体" w:hint="default"/>
                <w:sz w:val="18"/>
                <w:szCs w:val="18"/>
              </w:rPr>
              <w:t>本期摊销金额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51" w:right="0"/>
              <w:jc w:val="left"/>
              <w:rPr>
                <w:rFonts w:ascii="宋体" w:hAnsi="宋体" w:cs="宋体" w:eastAsia="宋体" w:hint="default"/>
                <w:sz w:val="18"/>
                <w:szCs w:val="18"/>
              </w:rPr>
            </w:pPr>
            <w:r>
              <w:rPr>
                <w:rFonts w:ascii="宋体" w:hAnsi="宋体" w:cs="宋体" w:eastAsia="宋体" w:hint="default"/>
                <w:sz w:val="18"/>
                <w:szCs w:val="18"/>
              </w:rPr>
              <w:t>其他减少金额</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3"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租入房屋改良支出</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2,289,493.99</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1,287,484.89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2,606,459.35</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970,519.53</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车辆租赁服务支出</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410,000.00</w:t>
            </w: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60,000.00</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350,000.00</w:t>
            </w: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19"/>
              <w:jc w:val="left"/>
              <w:rPr>
                <w:rFonts w:ascii="宋体" w:hAnsi="宋体" w:cs="宋体" w:eastAsia="宋体" w:hint="default"/>
                <w:sz w:val="18"/>
                <w:szCs w:val="18"/>
              </w:rPr>
            </w:pPr>
            <w:r>
              <w:rPr>
                <w:rFonts w:ascii="宋体" w:hAnsi="宋体" w:cs="宋体" w:eastAsia="宋体" w:hint="default"/>
                <w:sz w:val="18"/>
                <w:szCs w:val="18"/>
              </w:rPr>
              <w:t>法定披露及网站域 名邮箱等服务</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1,075,058.66</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826,227.32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1,356,476.08</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544,809.90</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96"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3,774,552.65</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2,113,712.21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4,022,935.43</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1,865,329.43</w:t>
            </w:r>
          </w:p>
        </w:tc>
      </w:tr>
    </w:tbl>
    <w:p>
      <w:pPr>
        <w:spacing w:before="51"/>
        <w:ind w:left="154" w:right="1117"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pStyle w:val="Heading4"/>
        <w:spacing w:line="240" w:lineRule="auto"/>
        <w:ind w:right="1117"/>
        <w:jc w:val="left"/>
        <w:rPr>
          <w:b w:val="0"/>
          <w:bCs w:val="0"/>
        </w:rPr>
      </w:pPr>
      <w:bookmarkStart w:name="17、递延所得税资产/递延所得税负债" w:id="272"/>
      <w:bookmarkEnd w:id="272"/>
      <w:r>
        <w:rPr>
          <w:b w:val="0"/>
          <w:bCs w:val="0"/>
        </w:rPr>
      </w:r>
      <w:r>
        <w:rPr>
          <w:rFonts w:ascii="Times New Roman" w:hAnsi="Times New Roman" w:cs="Times New Roman" w:eastAsia="Times New Roman" w:hint="default"/>
        </w:rPr>
        <w:t>17</w:t>
      </w:r>
      <w:r>
        <w:rPr/>
        <w:t>、递延所得税资产</w:t>
      </w:r>
      <w:r>
        <w:rPr>
          <w:rFonts w:ascii="Times New Roman" w:hAnsi="Times New Roman" w:cs="Times New Roman" w:eastAsia="Times New Roman" w:hint="default"/>
        </w:rPr>
        <w:t>/</w:t>
      </w:r>
      <w:r>
        <w:rPr/>
        <w:t>递延所得税负债</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1117"/>
        <w:jc w:val="left"/>
        <w:rPr>
          <w:b w:val="0"/>
          <w:bCs w:val="0"/>
        </w:rPr>
      </w:pPr>
      <w:bookmarkStart w:name="（1）未经抵销的递延所得税资产" w:id="273"/>
      <w:bookmarkEnd w:id="273"/>
      <w:r>
        <w:rPr>
          <w:b w:val="0"/>
          <w:bCs w:val="0"/>
        </w:rPr>
      </w:r>
      <w:r>
        <w:rPr/>
        <w:t>（</w:t>
      </w:r>
      <w:r>
        <w:rPr>
          <w:rFonts w:ascii="Times New Roman" w:hAnsi="Times New Roman" w:cs="Times New Roman" w:eastAsia="Times New Roman" w:hint="default"/>
        </w:rPr>
        <w:t>1</w:t>
      </w:r>
      <w:r>
        <w:rPr/>
        <w:t>）未经抵销的递延所得税资产</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912"/>
        <w:gridCol w:w="1917"/>
        <w:gridCol w:w="1914"/>
        <w:gridCol w:w="1914"/>
        <w:gridCol w:w="1914"/>
      </w:tblGrid>
      <w:tr>
        <w:trPr>
          <w:trHeight w:val="206" w:hRule="exact"/>
        </w:trPr>
        <w:tc>
          <w:tcPr>
            <w:tcW w:w="1912" w:type="dxa"/>
            <w:tcBorders>
              <w:top w:val="single" w:sz="4" w:space="0" w:color="000000"/>
              <w:left w:val="single" w:sz="4" w:space="0" w:color="000000"/>
              <w:bottom w:val="nil" w:sz="6" w:space="0" w:color="auto"/>
              <w:right w:val="single" w:sz="4" w:space="0" w:color="000000"/>
            </w:tcBorders>
            <w:shd w:val="clear" w:color="auto" w:fill="D2D2D2"/>
          </w:tcPr>
          <w:p>
            <w:pPr/>
          </w:p>
        </w:tc>
        <w:tc>
          <w:tcPr>
            <w:tcW w:w="3831"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828"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91" w:hRule="exact"/>
        </w:trPr>
        <w:tc>
          <w:tcPr>
            <w:tcW w:w="191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831" w:type="dxa"/>
            <w:gridSpan w:val="2"/>
            <w:vMerge/>
            <w:tcBorders>
              <w:left w:val="single" w:sz="4" w:space="0" w:color="000000"/>
              <w:bottom w:val="single" w:sz="4" w:space="0" w:color="000000"/>
              <w:right w:val="single" w:sz="4" w:space="0" w:color="000000"/>
            </w:tcBorders>
            <w:shd w:val="clear" w:color="auto" w:fill="D2D2D2"/>
          </w:tcPr>
          <w:p>
            <w:pPr/>
          </w:p>
        </w:tc>
        <w:tc>
          <w:tcPr>
            <w:tcW w:w="3828" w:type="dxa"/>
            <w:gridSpan w:val="2"/>
            <w:vMerge/>
            <w:tcBorders>
              <w:left w:val="single" w:sz="4" w:space="0" w:color="000000"/>
              <w:bottom w:val="single" w:sz="4" w:space="0" w:color="000000"/>
              <w:right w:val="single" w:sz="4" w:space="0" w:color="000000"/>
            </w:tcBorders>
            <w:shd w:val="clear" w:color="auto" w:fill="D2D2D2"/>
          </w:tcPr>
          <w:p>
            <w:pPr/>
          </w:p>
        </w:tc>
      </w:tr>
      <w:tr>
        <w:trPr>
          <w:trHeight w:val="200" w:hRule="exact"/>
        </w:trPr>
        <w:tc>
          <w:tcPr>
            <w:tcW w:w="1912" w:type="dxa"/>
            <w:vMerge/>
            <w:tcBorders>
              <w:left w:val="single" w:sz="4" w:space="0" w:color="000000"/>
              <w:bottom w:val="nil" w:sz="6" w:space="0" w:color="auto"/>
              <w:right w:val="single" w:sz="4" w:space="0" w:color="000000"/>
            </w:tcBorders>
            <w:shd w:val="clear" w:color="auto" w:fill="D2D2D2"/>
          </w:tcPr>
          <w:p>
            <w:pPr/>
          </w:p>
        </w:tc>
        <w:tc>
          <w:tcPr>
            <w:tcW w:w="191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233" w:right="0"/>
              <w:jc w:val="left"/>
              <w:rPr>
                <w:rFonts w:ascii="宋体" w:hAnsi="宋体" w:cs="宋体" w:eastAsia="宋体" w:hint="default"/>
                <w:sz w:val="18"/>
                <w:szCs w:val="18"/>
              </w:rPr>
            </w:pPr>
            <w:r>
              <w:rPr>
                <w:rFonts w:ascii="宋体" w:hAnsi="宋体" w:cs="宋体" w:eastAsia="宋体" w:hint="default"/>
                <w:sz w:val="18"/>
                <w:szCs w:val="18"/>
              </w:rPr>
              <w:t>可抵扣暂时性差异</w:t>
            </w:r>
          </w:p>
        </w:tc>
        <w:tc>
          <w:tcPr>
            <w:tcW w:w="191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21"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91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231" w:right="0"/>
              <w:jc w:val="left"/>
              <w:rPr>
                <w:rFonts w:ascii="宋体" w:hAnsi="宋体" w:cs="宋体" w:eastAsia="宋体" w:hint="default"/>
                <w:sz w:val="18"/>
                <w:szCs w:val="18"/>
              </w:rPr>
            </w:pPr>
            <w:r>
              <w:rPr>
                <w:rFonts w:ascii="宋体" w:hAnsi="宋体" w:cs="宋体" w:eastAsia="宋体" w:hint="default"/>
                <w:sz w:val="18"/>
                <w:szCs w:val="18"/>
              </w:rPr>
              <w:t>可抵扣暂时性差异</w:t>
            </w:r>
          </w:p>
        </w:tc>
        <w:tc>
          <w:tcPr>
            <w:tcW w:w="191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21"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r>
      <w:tr>
        <w:trPr>
          <w:trHeight w:val="207" w:hRule="exact"/>
        </w:trPr>
        <w:tc>
          <w:tcPr>
            <w:tcW w:w="1912" w:type="dxa"/>
            <w:tcBorders>
              <w:top w:val="nil" w:sz="6" w:space="0" w:color="auto"/>
              <w:left w:val="single" w:sz="4" w:space="0" w:color="000000"/>
              <w:bottom w:val="single" w:sz="4" w:space="0" w:color="000000"/>
              <w:right w:val="single" w:sz="4" w:space="0" w:color="000000"/>
            </w:tcBorders>
            <w:shd w:val="clear" w:color="auto" w:fill="D2D2D2"/>
          </w:tcPr>
          <w:p>
            <w:pPr/>
          </w:p>
        </w:tc>
        <w:tc>
          <w:tcPr>
            <w:tcW w:w="1917" w:type="dxa"/>
            <w:vMerge/>
            <w:tcBorders>
              <w:left w:val="single" w:sz="4" w:space="0" w:color="000000"/>
              <w:bottom w:val="single" w:sz="4" w:space="0" w:color="000000"/>
              <w:right w:val="single" w:sz="4" w:space="0" w:color="000000"/>
            </w:tcBorders>
            <w:shd w:val="clear" w:color="auto" w:fill="D2D2D2"/>
          </w:tcPr>
          <w:p>
            <w:pPr/>
          </w:p>
        </w:tc>
        <w:tc>
          <w:tcPr>
            <w:tcW w:w="1914" w:type="dxa"/>
            <w:vMerge/>
            <w:tcBorders>
              <w:left w:val="single" w:sz="4" w:space="0" w:color="000000"/>
              <w:bottom w:val="single" w:sz="4" w:space="0" w:color="000000"/>
              <w:right w:val="single" w:sz="4" w:space="0" w:color="000000"/>
            </w:tcBorders>
            <w:shd w:val="clear" w:color="auto" w:fill="D2D2D2"/>
          </w:tcPr>
          <w:p>
            <w:pPr/>
          </w:p>
        </w:tc>
        <w:tc>
          <w:tcPr>
            <w:tcW w:w="1914" w:type="dxa"/>
            <w:vMerge/>
            <w:tcBorders>
              <w:left w:val="single" w:sz="4" w:space="0" w:color="000000"/>
              <w:bottom w:val="single" w:sz="4" w:space="0" w:color="000000"/>
              <w:right w:val="single" w:sz="4" w:space="0" w:color="000000"/>
            </w:tcBorders>
            <w:shd w:val="clear" w:color="auto" w:fill="D2D2D2"/>
          </w:tcPr>
          <w:p>
            <w:pPr/>
          </w:p>
        </w:tc>
        <w:tc>
          <w:tcPr>
            <w:tcW w:w="1914"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资产减值准备</w:t>
            </w:r>
          </w:p>
        </w:tc>
        <w:tc>
          <w:tcPr>
            <w:tcW w:w="191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87,562,030.65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13,134,328.60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69,867,602.66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10,480,140.41</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内部交易未实现利润</w:t>
            </w:r>
          </w:p>
        </w:tc>
        <w:tc>
          <w:tcPr>
            <w:tcW w:w="191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11,945,170.13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1,791,775.52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3,069,978.67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460,496.80</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17,452,833.33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2,617,925.00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18,928,075.00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2,839,211.25</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912"/>
        <w:gridCol w:w="1917"/>
        <w:gridCol w:w="1914"/>
        <w:gridCol w:w="1914"/>
        <w:gridCol w:w="1914"/>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5,170,953.62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775,643.04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3,058,750.12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458,812.52</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股份支付</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10,802,090.25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1,620,313.54</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122,130,987.73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18,319,672.16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105,726,496.70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15,858,974.52</w:t>
            </w:r>
          </w:p>
        </w:tc>
      </w:tr>
    </w:tbl>
    <w:p>
      <w:pPr>
        <w:spacing w:line="240" w:lineRule="auto" w:before="3"/>
        <w:rPr>
          <w:rFonts w:ascii="宋体" w:hAnsi="宋体" w:cs="宋体" w:eastAsia="宋体" w:hint="default"/>
          <w:sz w:val="19"/>
          <w:szCs w:val="19"/>
        </w:rPr>
      </w:pPr>
    </w:p>
    <w:p>
      <w:pPr>
        <w:pStyle w:val="Heading4"/>
        <w:spacing w:line="240" w:lineRule="auto" w:before="35"/>
        <w:ind w:right="1117"/>
        <w:jc w:val="left"/>
        <w:rPr>
          <w:b w:val="0"/>
          <w:bCs w:val="0"/>
        </w:rPr>
      </w:pPr>
      <w:bookmarkStart w:name="（2）未经抵销的递延所得税负债" w:id="274"/>
      <w:bookmarkEnd w:id="274"/>
      <w:r>
        <w:rPr>
          <w:b w:val="0"/>
          <w:bCs w:val="0"/>
        </w:rPr>
      </w:r>
      <w:r>
        <w:rPr/>
        <w:t>（</w:t>
      </w:r>
      <w:r>
        <w:rPr>
          <w:rFonts w:ascii="Times New Roman" w:hAnsi="Times New Roman" w:cs="Times New Roman" w:eastAsia="Times New Roman" w:hint="default"/>
        </w:rPr>
        <w:t>2</w:t>
      </w:r>
      <w:r>
        <w:rPr/>
        <w:t>）未经抵销的递延所得税负债</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1117"/>
        <w:jc w:val="left"/>
        <w:rPr>
          <w:b w:val="0"/>
          <w:bCs w:val="0"/>
        </w:rPr>
      </w:pPr>
      <w:bookmarkStart w:name="（3）以抵销后净额列示的递延所得税资产或负债" w:id="275"/>
      <w:bookmarkEnd w:id="275"/>
      <w:r>
        <w:rPr>
          <w:b w:val="0"/>
          <w:bCs w:val="0"/>
        </w:rPr>
      </w:r>
      <w:r>
        <w:rPr/>
        <w:t>（</w:t>
      </w:r>
      <w:r>
        <w:rPr>
          <w:rFonts w:ascii="Times New Roman" w:hAnsi="Times New Roman" w:cs="Times New Roman" w:eastAsia="Times New Roman" w:hint="default"/>
        </w:rPr>
        <w:t>3</w:t>
      </w:r>
      <w:r>
        <w:rPr/>
        <w:t>）以抵销后净额列示的递延所得税资产或负债</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24"/>
        <w:gridCol w:w="1905"/>
        <w:gridCol w:w="1914"/>
        <w:gridCol w:w="1914"/>
        <w:gridCol w:w="1903"/>
      </w:tblGrid>
      <w:tr>
        <w:trPr>
          <w:trHeight w:val="161" w:hRule="exact"/>
        </w:trPr>
        <w:tc>
          <w:tcPr>
            <w:tcW w:w="1924" w:type="dxa"/>
            <w:tcBorders>
              <w:top w:val="single" w:sz="4" w:space="0" w:color="000000"/>
              <w:left w:val="single" w:sz="4" w:space="0" w:color="000000"/>
              <w:bottom w:val="nil" w:sz="6" w:space="0" w:color="auto"/>
              <w:right w:val="single" w:sz="4" w:space="0" w:color="000000"/>
            </w:tcBorders>
            <w:shd w:val="clear" w:color="auto" w:fill="D2D2D2"/>
          </w:tcPr>
          <w:p>
            <w:pPr/>
          </w:p>
        </w:tc>
        <w:tc>
          <w:tcPr>
            <w:tcW w:w="1905"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1"/>
              <w:ind w:left="401" w:right="51" w:hanging="360"/>
              <w:jc w:val="left"/>
              <w:rPr>
                <w:rFonts w:ascii="宋体" w:hAnsi="宋体" w:cs="宋体" w:eastAsia="宋体" w:hint="default"/>
                <w:sz w:val="18"/>
                <w:szCs w:val="18"/>
              </w:rPr>
            </w:pPr>
            <w:r>
              <w:rPr>
                <w:rFonts w:ascii="宋体" w:hAnsi="宋体" w:cs="宋体" w:eastAsia="宋体" w:hint="default"/>
                <w:sz w:val="18"/>
                <w:szCs w:val="18"/>
              </w:rPr>
              <w:t>递延所得税资产和负债 期末互抵金额</w:t>
            </w:r>
          </w:p>
        </w:tc>
        <w:tc>
          <w:tcPr>
            <w:tcW w:w="1914"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1"/>
              <w:ind w:left="321" w:right="50" w:hanging="270"/>
              <w:jc w:val="left"/>
              <w:rPr>
                <w:rFonts w:ascii="宋体" w:hAnsi="宋体" w:cs="宋体" w:eastAsia="宋体" w:hint="default"/>
                <w:sz w:val="18"/>
                <w:szCs w:val="18"/>
              </w:rPr>
            </w:pPr>
            <w:r>
              <w:rPr>
                <w:rFonts w:ascii="宋体" w:hAnsi="宋体" w:cs="宋体" w:eastAsia="宋体" w:hint="default"/>
                <w:sz w:val="18"/>
                <w:szCs w:val="18"/>
              </w:rPr>
              <w:t>抵销后递延所得税资产 或负债期末余额</w:t>
            </w:r>
          </w:p>
        </w:tc>
        <w:tc>
          <w:tcPr>
            <w:tcW w:w="1914"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1"/>
              <w:ind w:left="411" w:right="51" w:hanging="360"/>
              <w:jc w:val="left"/>
              <w:rPr>
                <w:rFonts w:ascii="宋体" w:hAnsi="宋体" w:cs="宋体" w:eastAsia="宋体" w:hint="default"/>
                <w:sz w:val="18"/>
                <w:szCs w:val="18"/>
              </w:rPr>
            </w:pPr>
            <w:r>
              <w:rPr>
                <w:rFonts w:ascii="宋体" w:hAnsi="宋体" w:cs="宋体" w:eastAsia="宋体" w:hint="default"/>
                <w:sz w:val="18"/>
                <w:szCs w:val="18"/>
              </w:rPr>
              <w:t>递延所得税资产和负债 期初互抵金额</w:t>
            </w:r>
          </w:p>
        </w:tc>
        <w:tc>
          <w:tcPr>
            <w:tcW w:w="1903"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1"/>
              <w:ind w:left="321" w:right="39" w:hanging="270"/>
              <w:jc w:val="left"/>
              <w:rPr>
                <w:rFonts w:ascii="宋体" w:hAnsi="宋体" w:cs="宋体" w:eastAsia="宋体" w:hint="default"/>
                <w:sz w:val="18"/>
                <w:szCs w:val="18"/>
              </w:rPr>
            </w:pPr>
            <w:r>
              <w:rPr>
                <w:rFonts w:ascii="宋体" w:hAnsi="宋体" w:cs="宋体" w:eastAsia="宋体" w:hint="default"/>
                <w:sz w:val="18"/>
                <w:szCs w:val="18"/>
              </w:rPr>
              <w:t>抵销后递延所得税资产 或负债期初余额</w:t>
            </w:r>
          </w:p>
        </w:tc>
      </w:tr>
      <w:tr>
        <w:trPr>
          <w:trHeight w:val="392" w:hRule="exact"/>
        </w:trPr>
        <w:tc>
          <w:tcPr>
            <w:tcW w:w="192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right="10"/>
              <w:jc w:val="center"/>
              <w:rPr>
                <w:rFonts w:ascii="宋体" w:hAnsi="宋体" w:cs="宋体" w:eastAsia="宋体" w:hint="default"/>
                <w:sz w:val="18"/>
                <w:szCs w:val="18"/>
              </w:rPr>
            </w:pPr>
            <w:r>
              <w:rPr>
                <w:rFonts w:ascii="宋体" w:hAnsi="宋体" w:cs="宋体" w:eastAsia="宋体" w:hint="default"/>
                <w:sz w:val="18"/>
                <w:szCs w:val="18"/>
              </w:rPr>
              <w:t>项目</w:t>
            </w:r>
          </w:p>
        </w:tc>
        <w:tc>
          <w:tcPr>
            <w:tcW w:w="1905" w:type="dxa"/>
            <w:vMerge/>
            <w:tcBorders>
              <w:left w:val="single" w:sz="4" w:space="0" w:color="000000"/>
              <w:right w:val="single" w:sz="4" w:space="0" w:color="000000"/>
            </w:tcBorders>
            <w:shd w:val="clear" w:color="auto" w:fill="D2D2D2"/>
          </w:tcPr>
          <w:p>
            <w:pPr/>
          </w:p>
        </w:tc>
        <w:tc>
          <w:tcPr>
            <w:tcW w:w="1914" w:type="dxa"/>
            <w:vMerge/>
            <w:tcBorders>
              <w:left w:val="single" w:sz="4" w:space="0" w:color="000000"/>
              <w:right w:val="single" w:sz="4" w:space="0" w:color="000000"/>
            </w:tcBorders>
            <w:shd w:val="clear" w:color="auto" w:fill="D2D2D2"/>
          </w:tcPr>
          <w:p>
            <w:pPr/>
          </w:p>
        </w:tc>
        <w:tc>
          <w:tcPr>
            <w:tcW w:w="1914" w:type="dxa"/>
            <w:vMerge/>
            <w:tcBorders>
              <w:left w:val="single" w:sz="4" w:space="0" w:color="000000"/>
              <w:right w:val="single" w:sz="4" w:space="0" w:color="000000"/>
            </w:tcBorders>
            <w:shd w:val="clear" w:color="auto" w:fill="D2D2D2"/>
          </w:tcPr>
          <w:p>
            <w:pPr/>
          </w:p>
        </w:tc>
        <w:tc>
          <w:tcPr>
            <w:tcW w:w="1903" w:type="dxa"/>
            <w:vMerge/>
            <w:tcBorders>
              <w:left w:val="single" w:sz="4" w:space="0" w:color="000000"/>
              <w:right w:val="single" w:sz="4" w:space="0" w:color="000000"/>
            </w:tcBorders>
            <w:shd w:val="clear" w:color="auto" w:fill="D2D2D2"/>
          </w:tcPr>
          <w:p>
            <w:pPr/>
          </w:p>
        </w:tc>
      </w:tr>
      <w:tr>
        <w:trPr>
          <w:trHeight w:val="161" w:hRule="exact"/>
        </w:trPr>
        <w:tc>
          <w:tcPr>
            <w:tcW w:w="1924" w:type="dxa"/>
            <w:tcBorders>
              <w:top w:val="nil" w:sz="6" w:space="0" w:color="auto"/>
              <w:left w:val="single" w:sz="4" w:space="0" w:color="000000"/>
              <w:bottom w:val="single" w:sz="4" w:space="0" w:color="000000"/>
              <w:right w:val="single" w:sz="4" w:space="0" w:color="000000"/>
            </w:tcBorders>
            <w:shd w:val="clear" w:color="auto" w:fill="D2D2D2"/>
          </w:tcPr>
          <w:p>
            <w:pPr/>
          </w:p>
        </w:tc>
        <w:tc>
          <w:tcPr>
            <w:tcW w:w="1905" w:type="dxa"/>
            <w:vMerge/>
            <w:tcBorders>
              <w:left w:val="single" w:sz="4" w:space="0" w:color="000000"/>
              <w:bottom w:val="single" w:sz="4" w:space="0" w:color="000000"/>
              <w:right w:val="single" w:sz="4" w:space="0" w:color="000000"/>
            </w:tcBorders>
            <w:shd w:val="clear" w:color="auto" w:fill="D2D2D2"/>
          </w:tcPr>
          <w:p>
            <w:pPr/>
          </w:p>
        </w:tc>
        <w:tc>
          <w:tcPr>
            <w:tcW w:w="1914" w:type="dxa"/>
            <w:vMerge/>
            <w:tcBorders>
              <w:left w:val="single" w:sz="4" w:space="0" w:color="000000"/>
              <w:bottom w:val="single" w:sz="4" w:space="0" w:color="000000"/>
              <w:right w:val="single" w:sz="4" w:space="0" w:color="000000"/>
            </w:tcBorders>
            <w:shd w:val="clear" w:color="auto" w:fill="D2D2D2"/>
          </w:tcPr>
          <w:p>
            <w:pPr/>
          </w:p>
        </w:tc>
        <w:tc>
          <w:tcPr>
            <w:tcW w:w="1914" w:type="dxa"/>
            <w:vMerge/>
            <w:tcBorders>
              <w:left w:val="single" w:sz="4" w:space="0" w:color="000000"/>
              <w:bottom w:val="single" w:sz="4" w:space="0" w:color="000000"/>
              <w:right w:val="single" w:sz="4" w:space="0" w:color="000000"/>
            </w:tcBorders>
            <w:shd w:val="clear" w:color="auto" w:fill="D2D2D2"/>
          </w:tcPr>
          <w:p>
            <w:pPr/>
          </w:p>
        </w:tc>
        <w:tc>
          <w:tcPr>
            <w:tcW w:w="1903"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9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905" w:type="dxa"/>
            <w:tcBorders>
              <w:top w:val="single" w:sz="4" w:space="0" w:color="000000"/>
              <w:left w:val="single" w:sz="13" w:space="0" w:color="D2D2D2"/>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46" w:right="0"/>
              <w:jc w:val="left"/>
              <w:rPr>
                <w:rFonts w:ascii="Times New Roman" w:hAnsi="Times New Roman" w:cs="Times New Roman" w:eastAsia="Times New Roman" w:hint="default"/>
                <w:sz w:val="18"/>
                <w:szCs w:val="18"/>
              </w:rPr>
            </w:pPr>
            <w:r>
              <w:rPr>
                <w:rFonts w:ascii="Times New Roman"/>
                <w:sz w:val="18"/>
              </w:rPr>
              <w:t>18,319,672.16</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45" w:right="0"/>
              <w:jc w:val="left"/>
              <w:rPr>
                <w:rFonts w:ascii="Times New Roman" w:hAnsi="Times New Roman" w:cs="Times New Roman" w:eastAsia="Times New Roman" w:hint="default"/>
                <w:sz w:val="18"/>
                <w:szCs w:val="18"/>
              </w:rPr>
            </w:pPr>
            <w:r>
              <w:rPr>
                <w:rFonts w:ascii="Times New Roman"/>
                <w:sz w:val="18"/>
              </w:rPr>
              <w:t>15,858,974.52</w:t>
            </w:r>
          </w:p>
        </w:tc>
      </w:tr>
    </w:tbl>
    <w:p>
      <w:pPr>
        <w:spacing w:line="240" w:lineRule="auto" w:before="2"/>
        <w:rPr>
          <w:rFonts w:ascii="宋体" w:hAnsi="宋体" w:cs="宋体" w:eastAsia="宋体" w:hint="default"/>
          <w:sz w:val="19"/>
          <w:szCs w:val="19"/>
        </w:rPr>
      </w:pPr>
    </w:p>
    <w:p>
      <w:pPr>
        <w:pStyle w:val="Heading4"/>
        <w:spacing w:line="240" w:lineRule="auto" w:before="35"/>
        <w:ind w:right="1117"/>
        <w:jc w:val="left"/>
        <w:rPr>
          <w:b w:val="0"/>
          <w:bCs w:val="0"/>
        </w:rPr>
      </w:pPr>
      <w:bookmarkStart w:name="（4）未确认递延所得税资产明细" w:id="276"/>
      <w:bookmarkEnd w:id="276"/>
      <w:r>
        <w:rPr>
          <w:b w:val="0"/>
          <w:bCs w:val="0"/>
        </w:rPr>
      </w:r>
      <w:r>
        <w:rPr/>
        <w:t>（</w:t>
      </w:r>
      <w:r>
        <w:rPr>
          <w:rFonts w:ascii="Times New Roman" w:hAnsi="Times New Roman" w:cs="Times New Roman" w:eastAsia="Times New Roman" w:hint="default"/>
        </w:rPr>
        <w:t>4</w:t>
      </w:r>
      <w:r>
        <w:rPr/>
        <w:t>）未确认递延所得税资产明细</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1117"/>
        <w:jc w:val="left"/>
        <w:rPr>
          <w:b w:val="0"/>
          <w:bCs w:val="0"/>
        </w:rPr>
      </w:pPr>
      <w:bookmarkStart w:name="（5）未确认递延所得税资产的可抵扣亏损将于以下年度到期" w:id="277"/>
      <w:bookmarkEnd w:id="277"/>
      <w:r>
        <w:rPr>
          <w:b w:val="0"/>
          <w:bCs w:val="0"/>
        </w:rPr>
      </w:r>
      <w:r>
        <w:rPr/>
        <w:t>（</w:t>
      </w:r>
      <w:r>
        <w:rPr>
          <w:rFonts w:ascii="Times New Roman" w:hAnsi="Times New Roman" w:cs="Times New Roman" w:eastAsia="Times New Roman" w:hint="default"/>
        </w:rPr>
        <w:t>5</w:t>
      </w:r>
      <w:r>
        <w:rPr/>
        <w:t>）未确认递延所得税资产的可抵扣亏损将于以下年度到期</w:t>
      </w:r>
      <w:r>
        <w:rPr>
          <w:b w:val="0"/>
          <w:bCs w:val="0"/>
        </w:rPr>
      </w:r>
    </w:p>
    <w:p>
      <w:pPr>
        <w:spacing w:line="240" w:lineRule="auto" w:before="8"/>
        <w:rPr>
          <w:rFonts w:ascii="宋体" w:hAnsi="宋体" w:cs="宋体" w:eastAsia="宋体" w:hint="default"/>
          <w:b/>
          <w:bCs/>
          <w:sz w:val="26"/>
          <w:szCs w:val="26"/>
        </w:rPr>
      </w:pPr>
    </w:p>
    <w:p>
      <w:pPr>
        <w:spacing w:before="0"/>
        <w:ind w:left="154" w:right="1117"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pStyle w:val="Heading4"/>
        <w:spacing w:line="240" w:lineRule="auto"/>
        <w:ind w:right="1117"/>
        <w:jc w:val="left"/>
        <w:rPr>
          <w:b w:val="0"/>
          <w:bCs w:val="0"/>
        </w:rPr>
      </w:pPr>
      <w:bookmarkStart w:name="18、短期借款" w:id="278"/>
      <w:bookmarkEnd w:id="278"/>
      <w:r>
        <w:rPr>
          <w:b w:val="0"/>
          <w:bCs w:val="0"/>
        </w:rPr>
      </w:r>
      <w:r>
        <w:rPr>
          <w:rFonts w:ascii="Times New Roman" w:hAnsi="Times New Roman" w:cs="Times New Roman" w:eastAsia="Times New Roman" w:hint="default"/>
        </w:rPr>
        <w:t>18</w:t>
      </w:r>
      <w:r>
        <w:rPr/>
        <w:t>、短期借款</w:t>
      </w:r>
      <w:r>
        <w:rPr>
          <w:b w:val="0"/>
          <w:bCs w:val="0"/>
        </w:rPr>
      </w:r>
    </w:p>
    <w:p>
      <w:pPr>
        <w:spacing w:line="240" w:lineRule="auto" w:before="9"/>
        <w:rPr>
          <w:rFonts w:ascii="宋体" w:hAnsi="宋体" w:cs="宋体" w:eastAsia="宋体" w:hint="default"/>
          <w:b/>
          <w:bCs/>
          <w:sz w:val="24"/>
          <w:szCs w:val="24"/>
        </w:rPr>
      </w:pPr>
    </w:p>
    <w:p>
      <w:pPr>
        <w:pStyle w:val="Heading4"/>
        <w:spacing w:line="240" w:lineRule="auto"/>
        <w:ind w:right="1117"/>
        <w:jc w:val="left"/>
        <w:rPr>
          <w:b w:val="0"/>
          <w:bCs w:val="0"/>
        </w:rPr>
      </w:pPr>
      <w:bookmarkStart w:name="（1）短期借款分类" w:id="279"/>
      <w:bookmarkEnd w:id="279"/>
      <w:r>
        <w:rPr>
          <w:b w:val="0"/>
          <w:bCs w:val="0"/>
        </w:rPr>
      </w:r>
      <w:r>
        <w:rPr/>
        <w:t>（</w:t>
      </w:r>
      <w:r>
        <w:rPr>
          <w:rFonts w:ascii="Times New Roman" w:hAnsi="Times New Roman" w:cs="Times New Roman" w:eastAsia="Times New Roman" w:hint="default"/>
        </w:rPr>
        <w:t>1</w:t>
      </w:r>
      <w:r>
        <w:rPr/>
        <w:t>）短期借款分类</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4"/>
        <w:gridCol w:w="3206"/>
        <w:gridCol w:w="3189"/>
      </w:tblGrid>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保证借款</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88,000,000.00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145,000,000.00</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信用借款</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90,000,000.00</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178,000,000.00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145,000,000.00</w:t>
            </w:r>
          </w:p>
        </w:tc>
      </w:tr>
    </w:tbl>
    <w:p>
      <w:pPr>
        <w:spacing w:line="357" w:lineRule="auto" w:before="51"/>
        <w:ind w:left="154" w:right="8952" w:firstLine="0"/>
        <w:jc w:val="left"/>
        <w:rPr>
          <w:rFonts w:ascii="宋体" w:hAnsi="宋体" w:cs="宋体" w:eastAsia="宋体" w:hint="default"/>
          <w:sz w:val="18"/>
          <w:szCs w:val="18"/>
        </w:rPr>
      </w:pPr>
      <w:r>
        <w:rPr>
          <w:rFonts w:ascii="宋体" w:hAnsi="宋体" w:cs="宋体" w:eastAsia="宋体" w:hint="default"/>
          <w:sz w:val="18"/>
          <w:szCs w:val="18"/>
        </w:rPr>
        <w:t>短期借款分类的说明： 信用借款：</w:t>
      </w:r>
    </w:p>
    <w:p>
      <w:pPr>
        <w:pStyle w:val="BodyText"/>
        <w:spacing w:line="386" w:lineRule="auto" w:before="41"/>
        <w:ind w:right="1117" w:firstLine="423"/>
        <w:jc w:val="left"/>
      </w:pPr>
      <w:r>
        <w:rPr>
          <w:rFonts w:ascii="Times New Roman" w:hAnsi="Times New Roman" w:cs="Times New Roman" w:eastAsia="Times New Roman" w:hint="default"/>
        </w:rPr>
        <w:t>1</w:t>
      </w:r>
      <w:r>
        <w:rPr/>
        <w:t>、</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7</w:t>
      </w:r>
      <w:r>
        <w:rPr/>
        <w:t>月</w:t>
      </w:r>
      <w:r>
        <w:rPr>
          <w:rFonts w:ascii="Times New Roman" w:hAnsi="Times New Roman" w:cs="Times New Roman" w:eastAsia="Times New Roman" w:hint="default"/>
        </w:rPr>
        <w:t>4</w:t>
      </w:r>
      <w:r>
        <w:rPr/>
        <w:t>日，公司与中信银行股份有限公司郑州分行（以下简称</w:t>
      </w:r>
      <w:r>
        <w:rPr>
          <w:rFonts w:ascii="Times New Roman" w:hAnsi="Times New Roman" w:cs="Times New Roman" w:eastAsia="Times New Roman" w:hint="default"/>
        </w:rPr>
        <w:t>“</w:t>
      </w:r>
      <w:r>
        <w:rPr/>
        <w:t>中信银行郑州分行</w:t>
      </w:r>
      <w:r>
        <w:rPr>
          <w:rFonts w:ascii="Times New Roman" w:hAnsi="Times New Roman" w:cs="Times New Roman" w:eastAsia="Times New Roman" w:hint="default"/>
        </w:rPr>
        <w:t>”</w:t>
      </w:r>
      <w:r>
        <w:rPr/>
        <w:t>）签订了 </w:t>
      </w:r>
      <w:r>
        <w:rPr>
          <w:spacing w:val="-3"/>
        </w:rPr>
        <w:t>编号为</w:t>
      </w:r>
      <w:r>
        <w:rPr>
          <w:rFonts w:ascii="Times New Roman" w:hAnsi="Times New Roman" w:cs="Times New Roman" w:eastAsia="Times New Roman" w:hint="default"/>
          <w:spacing w:val="-3"/>
        </w:rPr>
        <w:t>“2018</w:t>
      </w:r>
      <w:r>
        <w:rPr>
          <w:spacing w:val="-3"/>
        </w:rPr>
        <w:t>信银豫贷字第</w:t>
      </w:r>
      <w:r>
        <w:rPr>
          <w:rFonts w:ascii="Times New Roman" w:hAnsi="Times New Roman" w:cs="Times New Roman" w:eastAsia="Times New Roman" w:hint="default"/>
          <w:spacing w:val="-3"/>
        </w:rPr>
        <w:t>1817010</w:t>
      </w:r>
      <w:r>
        <w:rPr>
          <w:spacing w:val="-3"/>
        </w:rPr>
        <w:t>号</w:t>
      </w:r>
      <w:r>
        <w:rPr>
          <w:rFonts w:ascii="Times New Roman" w:hAnsi="Times New Roman" w:cs="Times New Roman" w:eastAsia="Times New Roman" w:hint="default"/>
          <w:spacing w:val="-3"/>
        </w:rPr>
        <w:t>”</w:t>
      </w:r>
      <w:r>
        <w:rPr>
          <w:spacing w:val="-3"/>
        </w:rPr>
        <w:t>的借款合同，借款金额</w:t>
      </w:r>
      <w:r>
        <w:rPr>
          <w:rFonts w:ascii="Times New Roman" w:hAnsi="Times New Roman" w:cs="Times New Roman" w:eastAsia="Times New Roman" w:hint="default"/>
          <w:spacing w:val="-3"/>
        </w:rPr>
        <w:t>2,000</w:t>
      </w:r>
      <w:r>
        <w:rPr>
          <w:spacing w:val="-3"/>
        </w:rPr>
        <w:t>万元整，借款期限自</w:t>
      </w:r>
      <w:r>
        <w:rPr>
          <w:rFonts w:ascii="Times New Roman" w:hAnsi="Times New Roman" w:cs="Times New Roman" w:eastAsia="Times New Roman" w:hint="default"/>
          <w:spacing w:val="-3"/>
        </w:rPr>
        <w:t>2018</w:t>
      </w:r>
      <w:r>
        <w:rPr>
          <w:spacing w:val="-3"/>
        </w:rPr>
        <w:t>年</w:t>
      </w:r>
      <w:r>
        <w:rPr>
          <w:rFonts w:ascii="Times New Roman" w:hAnsi="Times New Roman" w:cs="Times New Roman" w:eastAsia="Times New Roman" w:hint="default"/>
          <w:spacing w:val="-3"/>
        </w:rPr>
        <w:t>7</w:t>
      </w:r>
      <w:r>
        <w:rPr>
          <w:spacing w:val="-3"/>
        </w:rPr>
        <w:t>月</w:t>
      </w:r>
      <w:r>
        <w:rPr>
          <w:rFonts w:ascii="Times New Roman" w:hAnsi="Times New Roman" w:cs="Times New Roman" w:eastAsia="Times New Roman" w:hint="default"/>
          <w:spacing w:val="-3"/>
        </w:rPr>
        <w:t>4</w:t>
      </w:r>
      <w:r>
        <w:rPr>
          <w:spacing w:val="-3"/>
        </w:rPr>
        <w:t>日至</w:t>
      </w:r>
      <w:r>
        <w:rPr>
          <w:rFonts w:ascii="Times New Roman" w:hAnsi="Times New Roman" w:cs="Times New Roman" w:eastAsia="Times New Roman" w:hint="default"/>
          <w:spacing w:val="-3"/>
        </w:rPr>
        <w:t>2019</w:t>
      </w:r>
      <w:r>
        <w:rPr>
          <w:rFonts w:ascii="Times New Roman" w:hAnsi="Times New Roman" w:cs="Times New Roman" w:eastAsia="Times New Roman" w:hint="default"/>
          <w:spacing w:val="-33"/>
        </w:rPr>
        <w:t> </w:t>
      </w:r>
      <w:r>
        <w:rPr>
          <w:rFonts w:ascii="Times New Roman" w:hAnsi="Times New Roman" w:cs="Times New Roman" w:eastAsia="Times New Roman" w:hint="default"/>
          <w:spacing w:val="-33"/>
        </w:rPr>
      </w:r>
      <w:r>
        <w:rPr/>
        <w:t>年</w:t>
      </w:r>
      <w:r>
        <w:rPr>
          <w:rFonts w:ascii="Times New Roman" w:hAnsi="Times New Roman" w:cs="Times New Roman" w:eastAsia="Times New Roman" w:hint="default"/>
        </w:rPr>
        <w:t>7</w:t>
      </w:r>
      <w:r>
        <w:rPr/>
        <w:t>月</w:t>
      </w:r>
      <w:r>
        <w:rPr>
          <w:rFonts w:ascii="Times New Roman" w:hAnsi="Times New Roman" w:cs="Times New Roman" w:eastAsia="Times New Roman" w:hint="default"/>
        </w:rPr>
        <w:t>4</w:t>
      </w:r>
      <w:r>
        <w:rPr/>
        <w:t>日，借款年利率为</w:t>
      </w:r>
      <w:r>
        <w:rPr>
          <w:rFonts w:ascii="Times New Roman" w:hAnsi="Times New Roman" w:cs="Times New Roman" w:eastAsia="Times New Roman" w:hint="default"/>
        </w:rPr>
        <w:t>5.2200%(</w:t>
      </w:r>
      <w:r>
        <w:rPr/>
        <w:t>基础利率</w:t>
      </w:r>
      <w:r>
        <w:rPr>
          <w:rFonts w:ascii="Times New Roman" w:hAnsi="Times New Roman" w:cs="Times New Roman" w:eastAsia="Times New Roman" w:hint="default"/>
        </w:rPr>
        <w:t>4.3100%</w:t>
      </w:r>
      <w:r>
        <w:rPr/>
        <w:t>上浮</w:t>
      </w:r>
      <w:r>
        <w:rPr>
          <w:rFonts w:ascii="Times New Roman" w:hAnsi="Times New Roman" w:cs="Times New Roman" w:eastAsia="Times New Roman" w:hint="default"/>
        </w:rPr>
        <w:t>91BPs)</w:t>
      </w:r>
      <w:r>
        <w:rPr/>
        <w:t>；</w:t>
      </w:r>
    </w:p>
    <w:p>
      <w:pPr>
        <w:pStyle w:val="BodyText"/>
        <w:spacing w:line="386" w:lineRule="auto" w:before="35"/>
        <w:ind w:right="1218" w:firstLine="423"/>
        <w:jc w:val="left"/>
      </w:pPr>
      <w:r>
        <w:rPr>
          <w:rFonts w:ascii="Times New Roman" w:hAnsi="Times New Roman" w:cs="Times New Roman" w:eastAsia="Times New Roman" w:hint="default"/>
        </w:rPr>
        <w:t>2</w:t>
      </w:r>
      <w:r>
        <w:rPr/>
        <w:t>、</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8</w:t>
      </w:r>
      <w:r>
        <w:rPr/>
        <w:t>月</w:t>
      </w:r>
      <w:r>
        <w:rPr>
          <w:rFonts w:ascii="Times New Roman" w:hAnsi="Times New Roman" w:cs="Times New Roman" w:eastAsia="Times New Roman" w:hint="default"/>
        </w:rPr>
        <w:t>28</w:t>
      </w:r>
      <w:r>
        <w:rPr/>
        <w:t>日，公司与中信银行郑州分行签订了编号为</w:t>
      </w:r>
      <w:r>
        <w:rPr>
          <w:rFonts w:ascii="Times New Roman" w:hAnsi="Times New Roman" w:cs="Times New Roman" w:eastAsia="Times New Roman" w:hint="default"/>
        </w:rPr>
        <w:t>“2018</w:t>
      </w:r>
      <w:r>
        <w:rPr/>
        <w:t>信银豫贷字第</w:t>
      </w:r>
      <w:r>
        <w:rPr>
          <w:rFonts w:ascii="Times New Roman" w:hAnsi="Times New Roman" w:cs="Times New Roman" w:eastAsia="Times New Roman" w:hint="default"/>
        </w:rPr>
        <w:t>1817020</w:t>
      </w:r>
      <w:r>
        <w:rPr/>
        <w:t>号</w:t>
      </w:r>
      <w:r>
        <w:rPr>
          <w:rFonts w:ascii="Times New Roman" w:hAnsi="Times New Roman" w:cs="Times New Roman" w:eastAsia="Times New Roman" w:hint="default"/>
        </w:rPr>
        <w:t>”</w:t>
      </w:r>
      <w:r>
        <w:rPr/>
        <w:t>的借款合 同，借款金额</w:t>
      </w:r>
      <w:r>
        <w:rPr>
          <w:rFonts w:ascii="Times New Roman" w:hAnsi="Times New Roman" w:cs="Times New Roman" w:eastAsia="Times New Roman" w:hint="default"/>
        </w:rPr>
        <w:t>2,000</w:t>
      </w:r>
      <w:r>
        <w:rPr/>
        <w:t>万元整，借款期限自</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8</w:t>
      </w:r>
      <w:r>
        <w:rPr/>
        <w:t>月</w:t>
      </w:r>
      <w:r>
        <w:rPr>
          <w:rFonts w:ascii="Times New Roman" w:hAnsi="Times New Roman" w:cs="Times New Roman" w:eastAsia="Times New Roman" w:hint="default"/>
        </w:rPr>
        <w:t>28</w:t>
      </w:r>
      <w:r>
        <w:rPr/>
        <w:t>日至</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7</w:t>
      </w:r>
      <w:r>
        <w:rPr/>
        <w:t>月</w:t>
      </w:r>
      <w:r>
        <w:rPr>
          <w:rFonts w:ascii="Times New Roman" w:hAnsi="Times New Roman" w:cs="Times New Roman" w:eastAsia="Times New Roman" w:hint="default"/>
        </w:rPr>
        <w:t>31</w:t>
      </w:r>
      <w:r>
        <w:rPr/>
        <w:t>日，借款年利率为基础利率 </w:t>
      </w:r>
      <w:r>
        <w:rPr>
          <w:rFonts w:ascii="Times New Roman" w:hAnsi="Times New Roman" w:cs="Times New Roman" w:eastAsia="Times New Roman" w:hint="default"/>
        </w:rPr>
        <w:t>5.2200%(4.3100%</w:t>
      </w:r>
      <w:r>
        <w:rPr/>
        <w:t>上浮</w:t>
      </w:r>
      <w:r>
        <w:rPr>
          <w:rFonts w:ascii="Times New Roman" w:hAnsi="Times New Roman" w:cs="Times New Roman" w:eastAsia="Times New Roman" w:hint="default"/>
        </w:rPr>
        <w:t>91BPs)</w:t>
      </w:r>
      <w:r>
        <w:rPr/>
        <w:t>；</w:t>
      </w:r>
    </w:p>
    <w:p>
      <w:pPr>
        <w:pStyle w:val="BodyText"/>
        <w:spacing w:line="240" w:lineRule="auto" w:before="35"/>
        <w:ind w:left="577" w:right="1117"/>
        <w:jc w:val="left"/>
        <w:rPr>
          <w:rFonts w:ascii="Times New Roman" w:hAnsi="Times New Roman" w:cs="Times New Roman" w:eastAsia="Times New Roman" w:hint="default"/>
        </w:rPr>
      </w:pPr>
      <w:r>
        <w:rPr>
          <w:rFonts w:ascii="Times New Roman" w:hAnsi="Times New Roman" w:cs="Times New Roman" w:eastAsia="Times New Roman" w:hint="default"/>
        </w:rPr>
        <w:t>3</w:t>
      </w:r>
      <w:r>
        <w:rPr/>
        <w:t>、</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11</w:t>
      </w:r>
      <w:r>
        <w:rPr/>
        <w:t>月</w:t>
      </w:r>
      <w:r>
        <w:rPr>
          <w:rFonts w:ascii="Times New Roman" w:hAnsi="Times New Roman" w:cs="Times New Roman" w:eastAsia="Times New Roman" w:hint="default"/>
        </w:rPr>
        <w:t>13</w:t>
      </w:r>
      <w:r>
        <w:rPr/>
        <w:t>日，公司与招商银行股份有限公司郑州分行签订了编号为</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GS3706</w:t>
      </w:r>
      <w:r>
        <w:rPr/>
        <w:t>流字第</w:t>
      </w:r>
      <w:r>
        <w:rPr>
          <w:rFonts w:ascii="Times New Roman" w:hAnsi="Times New Roman" w:cs="Times New Roman" w:eastAsia="Times New Roman" w:hint="default"/>
        </w:rPr>
        <w:t>012</w:t>
      </w:r>
    </w:p>
    <w:p>
      <w:pPr>
        <w:pStyle w:val="BodyText"/>
        <w:spacing w:line="240" w:lineRule="auto" w:before="177"/>
        <w:ind w:right="1117"/>
        <w:jc w:val="left"/>
      </w:pPr>
      <w:r>
        <w:rPr/>
        <w:t>号</w:t>
      </w:r>
      <w:r>
        <w:rPr>
          <w:rFonts w:ascii="Times New Roman" w:hAnsi="Times New Roman" w:cs="Times New Roman" w:eastAsia="Times New Roman" w:hint="default"/>
        </w:rPr>
        <w:t>”</w:t>
      </w:r>
      <w:r>
        <w:rPr/>
        <w:t>的流动资金借款合同，借款金额</w:t>
      </w:r>
      <w:r>
        <w:rPr>
          <w:rFonts w:ascii="Times New Roman" w:hAnsi="Times New Roman" w:cs="Times New Roman" w:eastAsia="Times New Roman" w:hint="default"/>
        </w:rPr>
        <w:t>2,000</w:t>
      </w:r>
      <w:r>
        <w:rPr/>
        <w:t>万元整，借款期限自</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11</w:t>
      </w:r>
      <w:r>
        <w:rPr/>
        <w:t>月</w:t>
      </w:r>
      <w:r>
        <w:rPr>
          <w:rFonts w:ascii="Times New Roman" w:hAnsi="Times New Roman" w:cs="Times New Roman" w:eastAsia="Times New Roman" w:hint="default"/>
        </w:rPr>
        <w:t>13</w:t>
      </w:r>
      <w:r>
        <w:rPr/>
        <w:t>日至</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11</w:t>
      </w:r>
      <w:r>
        <w:rPr/>
        <w:t>月</w:t>
      </w:r>
      <w:r>
        <w:rPr>
          <w:rFonts w:ascii="Times New Roman" w:hAnsi="Times New Roman" w:cs="Times New Roman" w:eastAsia="Times New Roman" w:hint="default"/>
        </w:rPr>
        <w:t>13</w:t>
      </w:r>
      <w:r>
        <w:rPr/>
        <w:t>日，借款年</w:t>
      </w:r>
    </w:p>
    <w:p>
      <w:pPr>
        <w:spacing w:after="0" w:line="240" w:lineRule="auto"/>
        <w:jc w:val="left"/>
        <w:sectPr>
          <w:pgSz w:w="11910" w:h="16840"/>
          <w:pgMar w:header="877" w:footer="979" w:top="1060" w:bottom="1160" w:left="980" w:right="0"/>
        </w:sectPr>
      </w:pPr>
    </w:p>
    <w:p>
      <w:pPr>
        <w:spacing w:line="240" w:lineRule="auto" w:before="0"/>
        <w:rPr>
          <w:rFonts w:ascii="宋体" w:hAnsi="宋体" w:cs="宋体" w:eastAsia="宋体" w:hint="default"/>
          <w:sz w:val="20"/>
          <w:szCs w:val="20"/>
        </w:rPr>
      </w:pPr>
    </w:p>
    <w:p>
      <w:pPr>
        <w:pStyle w:val="BodyText"/>
        <w:spacing w:line="240" w:lineRule="auto" w:before="174"/>
        <w:ind w:right="1117"/>
        <w:jc w:val="left"/>
      </w:pPr>
      <w:r>
        <w:rPr/>
        <w:t>利率为</w:t>
      </w:r>
      <w:r>
        <w:rPr>
          <w:rFonts w:ascii="Times New Roman" w:hAnsi="Times New Roman" w:cs="Times New Roman" w:eastAsia="Times New Roman" w:hint="default"/>
        </w:rPr>
        <w:t>5.0025%</w:t>
      </w:r>
      <w:r>
        <w:rPr/>
        <w:t>（基础利率</w:t>
      </w:r>
      <w:r>
        <w:rPr>
          <w:rFonts w:ascii="Times New Roman" w:hAnsi="Times New Roman" w:cs="Times New Roman" w:eastAsia="Times New Roman" w:hint="default"/>
        </w:rPr>
        <w:t>4.3100%</w:t>
      </w:r>
      <w:r>
        <w:rPr/>
        <w:t>上浮</w:t>
      </w:r>
      <w:r>
        <w:rPr>
          <w:rFonts w:ascii="Times New Roman" w:hAnsi="Times New Roman" w:cs="Times New Roman" w:eastAsia="Times New Roman" w:hint="default"/>
        </w:rPr>
        <w:t>69.25BPs</w:t>
      </w:r>
      <w:r>
        <w:rPr/>
        <w:t>）；</w:t>
      </w:r>
    </w:p>
    <w:p>
      <w:pPr>
        <w:pStyle w:val="BodyText"/>
        <w:spacing w:line="386" w:lineRule="auto" w:before="177"/>
        <w:ind w:right="1122" w:firstLine="423"/>
        <w:jc w:val="left"/>
      </w:pPr>
      <w:r>
        <w:rPr>
          <w:rFonts w:ascii="Times New Roman" w:hAnsi="Times New Roman" w:cs="Times New Roman" w:eastAsia="Times New Roman" w:hint="default"/>
          <w:spacing w:val="-2"/>
        </w:rPr>
        <w:t>4</w:t>
      </w:r>
      <w:r>
        <w:rPr>
          <w:spacing w:val="-2"/>
        </w:rPr>
        <w:t>、</w:t>
      </w:r>
      <w:r>
        <w:rPr>
          <w:rFonts w:ascii="Times New Roman" w:hAnsi="Times New Roman" w:cs="Times New Roman" w:eastAsia="Times New Roman" w:hint="default"/>
          <w:spacing w:val="-2"/>
        </w:rPr>
        <w:t>2018</w:t>
      </w:r>
      <w:r>
        <w:rPr>
          <w:spacing w:val="-2"/>
        </w:rPr>
        <w:t>年</w:t>
      </w:r>
      <w:r>
        <w:rPr>
          <w:rFonts w:ascii="Times New Roman" w:hAnsi="Times New Roman" w:cs="Times New Roman" w:eastAsia="Times New Roman" w:hint="default"/>
          <w:spacing w:val="-2"/>
        </w:rPr>
        <w:t>12</w:t>
      </w:r>
      <w:r>
        <w:rPr>
          <w:spacing w:val="-2"/>
        </w:rPr>
        <w:t>月</w:t>
      </w:r>
      <w:r>
        <w:rPr>
          <w:rFonts w:ascii="Times New Roman" w:hAnsi="Times New Roman" w:cs="Times New Roman" w:eastAsia="Times New Roman" w:hint="default"/>
          <w:spacing w:val="-2"/>
        </w:rPr>
        <w:t>11</w:t>
      </w:r>
      <w:r>
        <w:rPr>
          <w:spacing w:val="-2"/>
        </w:rPr>
        <w:t>日，公司与上海浦东发展银行股份有限公司郑州分行签订了编号为</w:t>
      </w:r>
      <w:r>
        <w:rPr>
          <w:rFonts w:ascii="Times New Roman" w:hAnsi="Times New Roman" w:cs="Times New Roman" w:eastAsia="Times New Roman" w:hint="default"/>
          <w:spacing w:val="-2"/>
        </w:rPr>
        <w:t>“76012018281715”</w:t>
      </w:r>
      <w:r>
        <w:rPr>
          <w:rFonts w:ascii="Times New Roman" w:hAnsi="Times New Roman" w:cs="Times New Roman" w:eastAsia="Times New Roman" w:hint="default"/>
        </w:rPr>
        <w:t> </w:t>
      </w:r>
      <w:r>
        <w:rPr/>
        <w:t>的借款合同，借款金额</w:t>
      </w:r>
      <w:r>
        <w:rPr>
          <w:rFonts w:ascii="Times New Roman" w:hAnsi="Times New Roman" w:cs="Times New Roman" w:eastAsia="Times New Roman" w:hint="default"/>
        </w:rPr>
        <w:t>3,000</w:t>
      </w:r>
      <w:r>
        <w:rPr/>
        <w:t>万元整，借款期限自</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11</w:t>
      </w:r>
      <w:r>
        <w:rPr/>
        <w:t>日至</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5</w:t>
      </w:r>
      <w:r>
        <w:rPr/>
        <w:t>月</w:t>
      </w:r>
      <w:r>
        <w:rPr>
          <w:rFonts w:ascii="Times New Roman" w:hAnsi="Times New Roman" w:cs="Times New Roman" w:eastAsia="Times New Roman" w:hint="default"/>
        </w:rPr>
        <w:t>30</w:t>
      </w:r>
      <w:r>
        <w:rPr/>
        <w:t>日，借款年利率为 </w:t>
      </w:r>
      <w:r>
        <w:rPr>
          <w:rFonts w:ascii="Times New Roman" w:hAnsi="Times New Roman" w:cs="Times New Roman" w:eastAsia="Times New Roman" w:hint="default"/>
        </w:rPr>
        <w:t>5.0025%(</w:t>
      </w:r>
      <w:r>
        <w:rPr/>
        <w:t>基准利率</w:t>
      </w:r>
      <w:r>
        <w:rPr>
          <w:rFonts w:ascii="Times New Roman" w:hAnsi="Times New Roman" w:cs="Times New Roman" w:eastAsia="Times New Roman" w:hint="default"/>
        </w:rPr>
        <w:t>4.3200%</w:t>
      </w:r>
      <w:r>
        <w:rPr/>
        <w:t>上浮</w:t>
      </w:r>
      <w:r>
        <w:rPr>
          <w:rFonts w:ascii="Times New Roman" w:hAnsi="Times New Roman" w:cs="Times New Roman" w:eastAsia="Times New Roman" w:hint="default"/>
        </w:rPr>
        <w:t>68.25BPs)</w:t>
      </w:r>
      <w:r>
        <w:rPr/>
        <w:t>；</w:t>
      </w:r>
    </w:p>
    <w:p>
      <w:pPr>
        <w:spacing w:line="218" w:lineRule="exact" w:before="0"/>
        <w:ind w:left="154" w:right="1117" w:firstLine="0"/>
        <w:jc w:val="left"/>
        <w:rPr>
          <w:rFonts w:ascii="宋体" w:hAnsi="宋体" w:cs="宋体" w:eastAsia="宋体" w:hint="default"/>
          <w:sz w:val="18"/>
          <w:szCs w:val="18"/>
        </w:rPr>
      </w:pPr>
      <w:r>
        <w:rPr>
          <w:rFonts w:ascii="宋体" w:hAnsi="宋体" w:cs="宋体" w:eastAsia="宋体" w:hint="default"/>
          <w:sz w:val="18"/>
          <w:szCs w:val="18"/>
        </w:rPr>
        <w:t>保证借款：</w:t>
      </w:r>
    </w:p>
    <w:p>
      <w:pPr>
        <w:pStyle w:val="BodyText"/>
        <w:spacing w:line="386" w:lineRule="auto" w:before="129"/>
        <w:ind w:right="1130" w:firstLine="423"/>
        <w:jc w:val="both"/>
      </w:pPr>
      <w:r>
        <w:rPr>
          <w:rFonts w:ascii="Times New Roman" w:hAnsi="Times New Roman" w:cs="Times New Roman" w:eastAsia="Times New Roman" w:hint="default"/>
          <w:spacing w:val="-2"/>
        </w:rPr>
        <w:t>1</w:t>
      </w:r>
      <w:r>
        <w:rPr>
          <w:spacing w:val="-2"/>
        </w:rPr>
        <w:t>、</w:t>
      </w:r>
      <w:r>
        <w:rPr>
          <w:rFonts w:ascii="Times New Roman" w:hAnsi="Times New Roman" w:cs="Times New Roman" w:eastAsia="Times New Roman" w:hint="default"/>
          <w:spacing w:val="-2"/>
        </w:rPr>
        <w:t>2017</w:t>
      </w:r>
      <w:r>
        <w:rPr>
          <w:spacing w:val="-2"/>
        </w:rPr>
        <w:t>年</w:t>
      </w:r>
      <w:r>
        <w:rPr>
          <w:rFonts w:ascii="Times New Roman" w:hAnsi="Times New Roman" w:cs="Times New Roman" w:eastAsia="Times New Roman" w:hint="default"/>
          <w:spacing w:val="-2"/>
        </w:rPr>
        <w:t>6</w:t>
      </w:r>
      <w:r>
        <w:rPr>
          <w:spacing w:val="-2"/>
        </w:rPr>
        <w:t>月</w:t>
      </w:r>
      <w:r>
        <w:rPr>
          <w:rFonts w:ascii="Times New Roman" w:hAnsi="Times New Roman" w:cs="Times New Roman" w:eastAsia="Times New Roman" w:hint="default"/>
          <w:spacing w:val="-2"/>
        </w:rPr>
        <w:t>1</w:t>
      </w:r>
      <w:r>
        <w:rPr>
          <w:spacing w:val="-2"/>
        </w:rPr>
        <w:t>日，公司与交通银行股份有限公司河南省分行签订了编码为</w:t>
      </w:r>
      <w:r>
        <w:rPr>
          <w:rFonts w:ascii="Times New Roman" w:hAnsi="Times New Roman" w:cs="Times New Roman" w:eastAsia="Times New Roman" w:hint="default"/>
          <w:spacing w:val="-2"/>
        </w:rPr>
        <w:t>“Z1706LN15678475”</w:t>
      </w:r>
      <w:r>
        <w:rPr>
          <w:spacing w:val="-2"/>
        </w:rPr>
        <w:t>的流动</w:t>
      </w:r>
      <w:r>
        <w:rPr/>
        <w:t> 资金借款合同，贷款额度</w:t>
      </w:r>
      <w:r>
        <w:rPr>
          <w:rFonts w:ascii="Times New Roman" w:hAnsi="Times New Roman" w:cs="Times New Roman" w:eastAsia="Times New Roman" w:hint="default"/>
        </w:rPr>
        <w:t>6,000</w:t>
      </w:r>
      <w:r>
        <w:rPr/>
        <w:t>万元，授信期限自</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1</w:t>
      </w:r>
      <w:r>
        <w:rPr/>
        <w:t>日至</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2</w:t>
      </w:r>
      <w:r>
        <w:rPr/>
        <w:t>月</w:t>
      </w:r>
      <w:r>
        <w:rPr>
          <w:rFonts w:ascii="Times New Roman" w:hAnsi="Times New Roman" w:cs="Times New Roman" w:eastAsia="Times New Roman" w:hint="default"/>
        </w:rPr>
        <w:t>10</w:t>
      </w:r>
      <w:r>
        <w:rPr/>
        <w:t>日，全部贷款的到期日不迟 于</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8</w:t>
      </w:r>
      <w:r>
        <w:rPr/>
        <w:t>月</w:t>
      </w:r>
      <w:r>
        <w:rPr>
          <w:rFonts w:ascii="Times New Roman" w:hAnsi="Times New Roman" w:cs="Times New Roman" w:eastAsia="Times New Roman" w:hint="default"/>
        </w:rPr>
        <w:t>10</w:t>
      </w:r>
      <w:r>
        <w:rPr/>
        <w:t>日，贷款利率在放款时的基准利率上加上（下）浮幅度确定；</w:t>
      </w:r>
    </w:p>
    <w:p>
      <w:pPr>
        <w:pStyle w:val="BodyText"/>
        <w:spacing w:line="386" w:lineRule="auto" w:before="35"/>
        <w:ind w:right="1117" w:firstLine="423"/>
        <w:jc w:val="left"/>
      </w:pPr>
      <w:r>
        <w:rPr>
          <w:rFonts w:ascii="Times New Roman" w:hAnsi="Times New Roman" w:cs="Times New Roman" w:eastAsia="Times New Roman" w:hint="default"/>
        </w:rPr>
        <w:t>2</w:t>
      </w:r>
      <w:r>
        <w:rPr/>
        <w:t>、</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12</w:t>
      </w:r>
      <w:r>
        <w:rPr/>
        <w:t>日，公司与中原银行股份有限公司郑州农业路支行签订了编码为</w:t>
      </w:r>
      <w:r>
        <w:rPr>
          <w:rFonts w:ascii="Times New Roman" w:hAnsi="Times New Roman" w:cs="Times New Roman" w:eastAsia="Times New Roman" w:hint="default"/>
        </w:rPr>
        <w:t>“</w:t>
      </w:r>
      <w:r>
        <w:rPr/>
        <w:t>中原银（总营）流 </w:t>
      </w:r>
      <w:r>
        <w:rPr>
          <w:spacing w:val="-1"/>
        </w:rPr>
        <w:t>贷字</w:t>
      </w:r>
      <w:r>
        <w:rPr>
          <w:rFonts w:ascii="Times New Roman" w:hAnsi="Times New Roman" w:cs="Times New Roman" w:eastAsia="Times New Roman" w:hint="default"/>
          <w:spacing w:val="-1"/>
        </w:rPr>
        <w:t>2017</w:t>
      </w:r>
      <w:r>
        <w:rPr>
          <w:spacing w:val="-1"/>
        </w:rPr>
        <w:t>第</w:t>
      </w:r>
      <w:r>
        <w:rPr>
          <w:rFonts w:ascii="Times New Roman" w:hAnsi="Times New Roman" w:cs="Times New Roman" w:eastAsia="Times New Roman" w:hint="default"/>
          <w:spacing w:val="-1"/>
        </w:rPr>
        <w:t>040080</w:t>
      </w:r>
      <w:r>
        <w:rPr>
          <w:spacing w:val="-1"/>
        </w:rPr>
        <w:t>号</w:t>
      </w:r>
      <w:r>
        <w:rPr>
          <w:rFonts w:ascii="Times New Roman" w:hAnsi="Times New Roman" w:cs="Times New Roman" w:eastAsia="Times New Roman" w:hint="default"/>
          <w:spacing w:val="-1"/>
        </w:rPr>
        <w:t>”</w:t>
      </w:r>
      <w:r>
        <w:rPr>
          <w:spacing w:val="-1"/>
        </w:rPr>
        <w:t>的流动资金借款合同，借款金额</w:t>
      </w:r>
      <w:r>
        <w:rPr>
          <w:rFonts w:ascii="Times New Roman" w:hAnsi="Times New Roman" w:cs="Times New Roman" w:eastAsia="Times New Roman" w:hint="default"/>
          <w:spacing w:val="-1"/>
        </w:rPr>
        <w:t>500</w:t>
      </w:r>
      <w:r>
        <w:rPr>
          <w:spacing w:val="-1"/>
        </w:rPr>
        <w:t>万元，借款期限自</w:t>
      </w:r>
      <w:r>
        <w:rPr>
          <w:rFonts w:ascii="Times New Roman" w:hAnsi="Times New Roman" w:cs="Times New Roman" w:eastAsia="Times New Roman" w:hint="default"/>
          <w:spacing w:val="-1"/>
        </w:rPr>
        <w:t>2017</w:t>
      </w:r>
      <w:r>
        <w:rPr>
          <w:spacing w:val="-1"/>
        </w:rPr>
        <w:t>年</w:t>
      </w:r>
      <w:r>
        <w:rPr>
          <w:rFonts w:ascii="Times New Roman" w:hAnsi="Times New Roman" w:cs="Times New Roman" w:eastAsia="Times New Roman" w:hint="default"/>
          <w:spacing w:val="-1"/>
        </w:rPr>
        <w:t>6</w:t>
      </w:r>
      <w:r>
        <w:rPr>
          <w:spacing w:val="-1"/>
        </w:rPr>
        <w:t>月</w:t>
      </w:r>
      <w:r>
        <w:rPr>
          <w:rFonts w:ascii="Times New Roman" w:hAnsi="Times New Roman" w:cs="Times New Roman" w:eastAsia="Times New Roman" w:hint="default"/>
          <w:spacing w:val="-1"/>
        </w:rPr>
        <w:t>12</w:t>
      </w:r>
      <w:r>
        <w:rPr>
          <w:spacing w:val="-1"/>
        </w:rPr>
        <w:t>日至</w:t>
      </w:r>
      <w:r>
        <w:rPr>
          <w:rFonts w:ascii="Times New Roman" w:hAnsi="Times New Roman" w:cs="Times New Roman" w:eastAsia="Times New Roman" w:hint="default"/>
          <w:spacing w:val="-1"/>
        </w:rPr>
        <w:t>2018</w:t>
      </w:r>
      <w:r>
        <w:rPr>
          <w:spacing w:val="-1"/>
        </w:rPr>
        <w:t>年</w:t>
      </w:r>
      <w:r>
        <w:rPr>
          <w:rFonts w:ascii="Times New Roman" w:hAnsi="Times New Roman" w:cs="Times New Roman" w:eastAsia="Times New Roman" w:hint="default"/>
          <w:spacing w:val="-1"/>
        </w:rPr>
        <w:t>6</w:t>
      </w:r>
      <w:r>
        <w:rPr>
          <w:spacing w:val="-1"/>
        </w:rPr>
        <w:t>月</w:t>
      </w:r>
      <w:r>
        <w:rPr>
          <w:rFonts w:ascii="Times New Roman" w:hAnsi="Times New Roman" w:cs="Times New Roman" w:eastAsia="Times New Roman" w:hint="default"/>
          <w:spacing w:val="-1"/>
        </w:rPr>
        <w:t>12</w:t>
      </w:r>
      <w:r>
        <w:rPr>
          <w:rFonts w:ascii="Times New Roman" w:hAnsi="Times New Roman" w:cs="Times New Roman" w:eastAsia="Times New Roman" w:hint="default"/>
          <w:spacing w:val="-12"/>
        </w:rPr>
        <w:t> </w:t>
      </w:r>
      <w:r>
        <w:rPr/>
        <w:t>日，借款年利率为基准利率</w:t>
      </w:r>
      <w:r>
        <w:rPr>
          <w:rFonts w:ascii="Times New Roman" w:hAnsi="Times New Roman" w:cs="Times New Roman" w:eastAsia="Times New Roman" w:hint="default"/>
        </w:rPr>
        <w:t>4.3500%</w:t>
      </w:r>
      <w:r>
        <w:rPr/>
        <w:t>上浮</w:t>
      </w:r>
      <w:r>
        <w:rPr>
          <w:rFonts w:ascii="Times New Roman" w:hAnsi="Times New Roman" w:cs="Times New Roman" w:eastAsia="Times New Roman" w:hint="default"/>
        </w:rPr>
        <w:t>10%</w:t>
      </w:r>
      <w:r>
        <w:rPr/>
        <w:t>；</w:t>
      </w:r>
    </w:p>
    <w:p>
      <w:pPr>
        <w:pStyle w:val="BodyText"/>
        <w:spacing w:line="386" w:lineRule="auto" w:before="35"/>
        <w:ind w:right="1117" w:firstLine="423"/>
        <w:jc w:val="left"/>
      </w:pPr>
      <w:r>
        <w:rPr>
          <w:rFonts w:ascii="Times New Roman" w:hAnsi="Times New Roman" w:cs="Times New Roman" w:eastAsia="Times New Roman" w:hint="default"/>
        </w:rPr>
        <w:t>3</w:t>
      </w:r>
      <w:r>
        <w:rPr/>
        <w:t>、</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7</w:t>
      </w:r>
      <w:r>
        <w:rPr/>
        <w:t>月</w:t>
      </w:r>
      <w:r>
        <w:rPr>
          <w:rFonts w:ascii="Times New Roman" w:hAnsi="Times New Roman" w:cs="Times New Roman" w:eastAsia="Times New Roman" w:hint="default"/>
        </w:rPr>
        <w:t>21</w:t>
      </w:r>
      <w:r>
        <w:rPr/>
        <w:t>日，公司与招商银行股份有限公司郑州分行签订了编号为</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GS3706</w:t>
      </w:r>
      <w:r>
        <w:rPr/>
        <w:t>信字第</w:t>
      </w:r>
      <w:r>
        <w:rPr>
          <w:rFonts w:ascii="Times New Roman" w:hAnsi="Times New Roman" w:cs="Times New Roman" w:eastAsia="Times New Roman" w:hint="default"/>
        </w:rPr>
        <w:t>006 </w:t>
      </w:r>
      <w:r>
        <w:rPr>
          <w:spacing w:val="-6"/>
        </w:rPr>
        <w:t>号</w:t>
      </w:r>
      <w:r>
        <w:rPr>
          <w:rFonts w:ascii="Times New Roman" w:hAnsi="Times New Roman" w:cs="Times New Roman" w:eastAsia="Times New Roman" w:hint="default"/>
          <w:spacing w:val="-6"/>
        </w:rPr>
        <w:t>”</w:t>
      </w:r>
      <w:r>
        <w:rPr>
          <w:spacing w:val="-6"/>
        </w:rPr>
        <w:t>的流动资金借款合同，借款金额</w:t>
      </w:r>
      <w:r>
        <w:rPr>
          <w:rFonts w:ascii="Times New Roman" w:hAnsi="Times New Roman" w:cs="Times New Roman" w:eastAsia="Times New Roman" w:hint="default"/>
          <w:spacing w:val="-6"/>
        </w:rPr>
        <w:t>8,000</w:t>
      </w:r>
      <w:r>
        <w:rPr>
          <w:spacing w:val="-6"/>
        </w:rPr>
        <w:t>万元，借款期限为自提款起</w:t>
      </w:r>
      <w:r>
        <w:rPr>
          <w:rFonts w:ascii="Times New Roman" w:hAnsi="Times New Roman" w:cs="Times New Roman" w:eastAsia="Times New Roman" w:hint="default"/>
          <w:spacing w:val="-6"/>
        </w:rPr>
        <w:t>12</w:t>
      </w:r>
      <w:r>
        <w:rPr>
          <w:spacing w:val="-6"/>
        </w:rPr>
        <w:t>个月，借款年利率为基准利率</w:t>
      </w:r>
      <w:r>
        <w:rPr>
          <w:rFonts w:ascii="Times New Roman" w:hAnsi="Times New Roman" w:cs="Times New Roman" w:eastAsia="Times New Roman" w:hint="default"/>
          <w:spacing w:val="-6"/>
        </w:rPr>
        <w:t>4.3500%</w:t>
      </w:r>
      <w:r>
        <w:rPr>
          <w:rFonts w:ascii="Times New Roman" w:hAnsi="Times New Roman" w:cs="Times New Roman" w:eastAsia="Times New Roman" w:hint="default"/>
          <w:spacing w:val="-20"/>
        </w:rPr>
        <w:t> </w:t>
      </w:r>
      <w:r>
        <w:rPr/>
        <w:t>上浮</w:t>
      </w:r>
      <w:r>
        <w:rPr>
          <w:rFonts w:ascii="Times New Roman" w:hAnsi="Times New Roman" w:cs="Times New Roman" w:eastAsia="Times New Roman" w:hint="default"/>
        </w:rPr>
        <w:t>12%</w:t>
      </w:r>
      <w:r>
        <w:rPr/>
        <w:t>；</w:t>
      </w:r>
    </w:p>
    <w:p>
      <w:pPr>
        <w:pStyle w:val="BodyText"/>
        <w:spacing w:line="386" w:lineRule="auto" w:before="35"/>
        <w:ind w:right="1117" w:firstLine="423"/>
        <w:jc w:val="left"/>
      </w:pPr>
      <w:r>
        <w:rPr>
          <w:rFonts w:ascii="Times New Roman" w:hAnsi="Times New Roman" w:cs="Times New Roman" w:eastAsia="Times New Roman" w:hint="default"/>
        </w:rPr>
        <w:t>4</w:t>
      </w:r>
      <w:r>
        <w:rPr/>
        <w:t>、</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5</w:t>
      </w:r>
      <w:r>
        <w:rPr/>
        <w:t>月</w:t>
      </w:r>
      <w:r>
        <w:rPr>
          <w:rFonts w:ascii="Times New Roman" w:hAnsi="Times New Roman" w:cs="Times New Roman" w:eastAsia="Times New Roman" w:hint="default"/>
        </w:rPr>
        <w:t>8</w:t>
      </w:r>
      <w:r>
        <w:rPr/>
        <w:t>日，公司与交通银行股份有限公司河南省分行签订了编号为</w:t>
      </w:r>
      <w:r>
        <w:rPr>
          <w:rFonts w:ascii="Times New Roman" w:hAnsi="Times New Roman" w:cs="Times New Roman" w:eastAsia="Times New Roman" w:hint="default"/>
        </w:rPr>
        <w:t>“Z1807LN15644457”</w:t>
      </w:r>
      <w:r>
        <w:rPr/>
        <w:t>、</w:t>
      </w:r>
      <w:r>
        <w:rPr>
          <w:w w:val="100"/>
        </w:rPr>
        <w:t> </w:t>
      </w:r>
      <w:r>
        <w:rPr>
          <w:rFonts w:ascii="Times New Roman" w:hAnsi="Times New Roman" w:cs="Times New Roman" w:eastAsia="Times New Roman" w:hint="default"/>
          <w:spacing w:val="-1"/>
        </w:rPr>
        <w:t>“Z1805LN15693030”</w:t>
      </w:r>
      <w:r>
        <w:rPr>
          <w:spacing w:val="-1"/>
        </w:rPr>
        <w:t>的流动资金借款合同，借款金额合计</w:t>
      </w:r>
      <w:r>
        <w:rPr>
          <w:rFonts w:ascii="Times New Roman" w:hAnsi="Times New Roman" w:cs="Times New Roman" w:eastAsia="Times New Roman" w:hint="default"/>
          <w:spacing w:val="-1"/>
        </w:rPr>
        <w:t>6,000</w:t>
      </w:r>
      <w:r>
        <w:rPr>
          <w:spacing w:val="-1"/>
        </w:rPr>
        <w:t>万元整，借款期限自</w:t>
      </w:r>
      <w:r>
        <w:rPr>
          <w:rFonts w:ascii="Times New Roman" w:hAnsi="Times New Roman" w:cs="Times New Roman" w:eastAsia="Times New Roman" w:hint="default"/>
          <w:spacing w:val="-1"/>
        </w:rPr>
        <w:t>2018</w:t>
      </w:r>
      <w:r>
        <w:rPr>
          <w:spacing w:val="-1"/>
        </w:rPr>
        <w:t>年</w:t>
      </w:r>
      <w:r>
        <w:rPr>
          <w:rFonts w:ascii="Times New Roman" w:hAnsi="Times New Roman" w:cs="Times New Roman" w:eastAsia="Times New Roman" w:hint="default"/>
          <w:spacing w:val="-1"/>
        </w:rPr>
        <w:t>5</w:t>
      </w:r>
      <w:r>
        <w:rPr>
          <w:spacing w:val="-1"/>
        </w:rPr>
        <w:t>月</w:t>
      </w:r>
      <w:r>
        <w:rPr>
          <w:rFonts w:ascii="Times New Roman" w:hAnsi="Times New Roman" w:cs="Times New Roman" w:eastAsia="Times New Roman" w:hint="default"/>
          <w:spacing w:val="-1"/>
        </w:rPr>
        <w:t>8</w:t>
      </w:r>
      <w:r>
        <w:rPr>
          <w:spacing w:val="-1"/>
        </w:rPr>
        <w:t>日至</w:t>
      </w:r>
      <w:r>
        <w:rPr>
          <w:rFonts w:ascii="Times New Roman" w:hAnsi="Times New Roman" w:cs="Times New Roman" w:eastAsia="Times New Roman" w:hint="default"/>
          <w:spacing w:val="-1"/>
        </w:rPr>
        <w:t>2019</w:t>
      </w:r>
      <w:r>
        <w:rPr>
          <w:spacing w:val="-1"/>
        </w:rPr>
        <w:t>年</w:t>
      </w:r>
      <w:r>
        <w:rPr>
          <w:spacing w:val="-91"/>
        </w:rPr>
        <w:t> </w:t>
      </w:r>
      <w:r>
        <w:rPr>
          <w:rFonts w:ascii="Times New Roman" w:hAnsi="Times New Roman" w:cs="Times New Roman" w:eastAsia="Times New Roman" w:hint="default"/>
        </w:rPr>
        <w:t>5</w:t>
      </w:r>
      <w:r>
        <w:rPr/>
        <w:t>月</w:t>
      </w:r>
      <w:r>
        <w:rPr>
          <w:rFonts w:ascii="Times New Roman" w:hAnsi="Times New Roman" w:cs="Times New Roman" w:eastAsia="Times New Roman" w:hint="default"/>
        </w:rPr>
        <w:t>7</w:t>
      </w:r>
      <w:r>
        <w:rPr/>
        <w:t>日，借款年利率为基准利率</w:t>
      </w:r>
      <w:r>
        <w:rPr>
          <w:rFonts w:ascii="Times New Roman" w:hAnsi="Times New Roman" w:cs="Times New Roman" w:eastAsia="Times New Roman" w:hint="default"/>
        </w:rPr>
        <w:t>4.3500%</w:t>
      </w:r>
      <w:r>
        <w:rPr/>
        <w:t>上浮</w:t>
      </w:r>
      <w:r>
        <w:rPr>
          <w:rFonts w:ascii="Times New Roman" w:hAnsi="Times New Roman" w:cs="Times New Roman" w:eastAsia="Times New Roman" w:hint="default"/>
        </w:rPr>
        <w:t>11%</w:t>
      </w:r>
      <w:r>
        <w:rPr/>
        <w:t>；</w:t>
      </w:r>
    </w:p>
    <w:p>
      <w:pPr>
        <w:pStyle w:val="BodyText"/>
        <w:spacing w:line="386" w:lineRule="auto" w:before="35"/>
        <w:ind w:right="1117" w:firstLine="423"/>
        <w:jc w:val="left"/>
      </w:pPr>
      <w:r>
        <w:rPr>
          <w:rFonts w:ascii="Times New Roman" w:hAnsi="Times New Roman" w:cs="Times New Roman" w:eastAsia="Times New Roman" w:hint="default"/>
        </w:rPr>
        <w:t>5</w:t>
      </w:r>
      <w:r>
        <w:rPr/>
        <w:t>、</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5</w:t>
      </w:r>
      <w:r>
        <w:rPr/>
        <w:t>月</w:t>
      </w:r>
      <w:r>
        <w:rPr>
          <w:rFonts w:ascii="Times New Roman" w:hAnsi="Times New Roman" w:cs="Times New Roman" w:eastAsia="Times New Roman" w:hint="default"/>
        </w:rPr>
        <w:t>25</w:t>
      </w:r>
      <w:r>
        <w:rPr/>
        <w:t>日，公司与中国银行股份有限公司郑州高新技术开发区支行签订了编号为</w:t>
      </w:r>
      <w:r>
        <w:rPr>
          <w:rFonts w:ascii="Times New Roman" w:hAnsi="Times New Roman" w:cs="Times New Roman" w:eastAsia="Times New Roman" w:hint="default"/>
        </w:rPr>
        <w:t>“2017</w:t>
      </w:r>
      <w:r>
        <w:rPr/>
        <w:t>年 </w:t>
      </w:r>
      <w:r>
        <w:rPr>
          <w:rFonts w:ascii="Times New Roman" w:hAnsi="Times New Roman" w:cs="Times New Roman" w:eastAsia="Times New Roman" w:hint="default"/>
          <w:spacing w:val="-3"/>
        </w:rPr>
        <w:t>KFQ7131</w:t>
      </w:r>
      <w:r>
        <w:rPr>
          <w:spacing w:val="-3"/>
        </w:rPr>
        <w:t>高保字</w:t>
      </w:r>
      <w:r>
        <w:rPr>
          <w:rFonts w:ascii="Times New Roman" w:hAnsi="Times New Roman" w:cs="Times New Roman" w:eastAsia="Times New Roman" w:hint="default"/>
          <w:spacing w:val="-3"/>
        </w:rPr>
        <w:t>043</w:t>
      </w:r>
      <w:r>
        <w:rPr>
          <w:spacing w:val="-3"/>
        </w:rPr>
        <w:t>号</w:t>
      </w:r>
      <w:r>
        <w:rPr>
          <w:rFonts w:ascii="Times New Roman" w:hAnsi="Times New Roman" w:cs="Times New Roman" w:eastAsia="Times New Roman" w:hint="default"/>
          <w:spacing w:val="-3"/>
        </w:rPr>
        <w:t>”</w:t>
      </w:r>
      <w:r>
        <w:rPr>
          <w:spacing w:val="-3"/>
        </w:rPr>
        <w:t>的法人账户透支合同，授信额度</w:t>
      </w:r>
      <w:r>
        <w:rPr>
          <w:rFonts w:ascii="Times New Roman" w:hAnsi="Times New Roman" w:cs="Times New Roman" w:eastAsia="Times New Roman" w:hint="default"/>
          <w:spacing w:val="-3"/>
        </w:rPr>
        <w:t>3,000</w:t>
      </w:r>
      <w:r>
        <w:rPr>
          <w:spacing w:val="-3"/>
        </w:rPr>
        <w:t>万元整，</w:t>
      </w:r>
      <w:r>
        <w:rPr>
          <w:rFonts w:ascii="Times New Roman" w:hAnsi="Times New Roman" w:cs="Times New Roman" w:eastAsia="Times New Roman" w:hint="default"/>
          <w:spacing w:val="-3"/>
        </w:rPr>
        <w:t>2018</w:t>
      </w:r>
      <w:r>
        <w:rPr>
          <w:spacing w:val="-3"/>
        </w:rPr>
        <w:t>年</w:t>
      </w:r>
      <w:r>
        <w:rPr>
          <w:rFonts w:ascii="Times New Roman" w:hAnsi="Times New Roman" w:cs="Times New Roman" w:eastAsia="Times New Roman" w:hint="default"/>
          <w:spacing w:val="-3"/>
        </w:rPr>
        <w:t>6</w:t>
      </w:r>
      <w:r>
        <w:rPr>
          <w:spacing w:val="-3"/>
        </w:rPr>
        <w:t>月</w:t>
      </w:r>
      <w:r>
        <w:rPr>
          <w:rFonts w:ascii="Times New Roman" w:hAnsi="Times New Roman" w:cs="Times New Roman" w:eastAsia="Times New Roman" w:hint="default"/>
          <w:spacing w:val="-3"/>
        </w:rPr>
        <w:t>8</w:t>
      </w:r>
      <w:r>
        <w:rPr>
          <w:spacing w:val="-3"/>
        </w:rPr>
        <w:t>日公司提取</w:t>
      </w:r>
      <w:r>
        <w:rPr>
          <w:rFonts w:ascii="Times New Roman" w:hAnsi="Times New Roman" w:cs="Times New Roman" w:eastAsia="Times New Roman" w:hint="default"/>
          <w:spacing w:val="-3"/>
        </w:rPr>
        <w:t>3,000</w:t>
      </w:r>
      <w:r>
        <w:rPr>
          <w:spacing w:val="-3"/>
        </w:rPr>
        <w:t>万元整，</w:t>
      </w:r>
      <w:r>
        <w:rPr>
          <w:spacing w:val="-49"/>
        </w:rPr>
        <w:t> </w:t>
      </w:r>
      <w:r>
        <w:rPr/>
        <w:t>借款日期自</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8</w:t>
      </w:r>
      <w:r>
        <w:rPr/>
        <w:t>日至</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8</w:t>
      </w:r>
      <w:r>
        <w:rPr/>
        <w:t>月</w:t>
      </w:r>
      <w:r>
        <w:rPr>
          <w:rFonts w:ascii="Times New Roman" w:hAnsi="Times New Roman" w:cs="Times New Roman" w:eastAsia="Times New Roman" w:hint="default"/>
        </w:rPr>
        <w:t>28</w:t>
      </w:r>
      <w:r>
        <w:rPr/>
        <w:t>日，借款年利率为基准利率</w:t>
      </w:r>
      <w:r>
        <w:rPr>
          <w:rFonts w:ascii="Times New Roman" w:hAnsi="Times New Roman" w:cs="Times New Roman" w:eastAsia="Times New Roman" w:hint="default"/>
        </w:rPr>
        <w:t>4.3500%</w:t>
      </w:r>
      <w:r>
        <w:rPr/>
        <w:t>上浮</w:t>
      </w:r>
      <w:r>
        <w:rPr>
          <w:rFonts w:ascii="Times New Roman" w:hAnsi="Times New Roman" w:cs="Times New Roman" w:eastAsia="Times New Roman" w:hint="default"/>
        </w:rPr>
        <w:t>15%</w:t>
      </w:r>
      <w:r>
        <w:rPr/>
        <w:t>；</w:t>
      </w:r>
    </w:p>
    <w:p>
      <w:pPr>
        <w:pStyle w:val="BodyText"/>
        <w:spacing w:line="386" w:lineRule="auto" w:before="35"/>
        <w:ind w:right="1129" w:firstLine="423"/>
        <w:jc w:val="both"/>
      </w:pPr>
      <w:r>
        <w:rPr>
          <w:rFonts w:ascii="Times New Roman" w:hAnsi="Times New Roman" w:cs="Times New Roman" w:eastAsia="Times New Roman" w:hint="default"/>
          <w:spacing w:val="-5"/>
        </w:rPr>
        <w:t>6</w:t>
      </w:r>
      <w:r>
        <w:rPr>
          <w:spacing w:val="-5"/>
        </w:rPr>
        <w:t>、</w:t>
      </w:r>
      <w:r>
        <w:rPr>
          <w:rFonts w:ascii="Times New Roman" w:hAnsi="Times New Roman" w:cs="Times New Roman" w:eastAsia="Times New Roman" w:hint="default"/>
          <w:spacing w:val="-5"/>
        </w:rPr>
        <w:t>2018</w:t>
      </w:r>
      <w:r>
        <w:rPr>
          <w:spacing w:val="-5"/>
        </w:rPr>
        <w:t>年</w:t>
      </w:r>
      <w:r>
        <w:rPr>
          <w:rFonts w:ascii="Times New Roman" w:hAnsi="Times New Roman" w:cs="Times New Roman" w:eastAsia="Times New Roman" w:hint="default"/>
          <w:spacing w:val="-5"/>
        </w:rPr>
        <w:t>10</w:t>
      </w:r>
      <w:r>
        <w:rPr>
          <w:spacing w:val="-5"/>
        </w:rPr>
        <w:t>月</w:t>
      </w:r>
      <w:r>
        <w:rPr>
          <w:rFonts w:ascii="Times New Roman" w:hAnsi="Times New Roman" w:cs="Times New Roman" w:eastAsia="Times New Roman" w:hint="default"/>
          <w:spacing w:val="-5"/>
        </w:rPr>
        <w:t>18</w:t>
      </w:r>
      <w:r>
        <w:rPr>
          <w:spacing w:val="-5"/>
        </w:rPr>
        <w:t>日，公司与中原银行股份有限公司郑州分行签订了编号为</w:t>
      </w:r>
      <w:r>
        <w:rPr>
          <w:rFonts w:ascii="Times New Roman" w:hAnsi="Times New Roman" w:cs="Times New Roman" w:eastAsia="Times New Roman" w:hint="default"/>
          <w:spacing w:val="-5"/>
        </w:rPr>
        <w:t>“</w:t>
      </w:r>
      <w:r>
        <w:rPr>
          <w:spacing w:val="-5"/>
        </w:rPr>
        <w:t>中原银（郑州）流贷字</w:t>
      </w:r>
      <w:r>
        <w:rPr>
          <w:rFonts w:ascii="Times New Roman" w:hAnsi="Times New Roman" w:cs="Times New Roman" w:eastAsia="Times New Roman" w:hint="default"/>
          <w:spacing w:val="-5"/>
        </w:rPr>
        <w:t>2018</w:t>
      </w:r>
      <w:r>
        <w:rPr>
          <w:rFonts w:ascii="Times New Roman" w:hAnsi="Times New Roman" w:cs="Times New Roman" w:eastAsia="Times New Roman" w:hint="default"/>
        </w:rPr>
        <w:t> </w:t>
      </w:r>
      <w:r>
        <w:rPr>
          <w:spacing w:val="-3"/>
        </w:rPr>
        <w:t>第</w:t>
      </w:r>
      <w:r>
        <w:rPr>
          <w:rFonts w:ascii="Times New Roman" w:hAnsi="Times New Roman" w:cs="Times New Roman" w:eastAsia="Times New Roman" w:hint="default"/>
          <w:spacing w:val="-3"/>
        </w:rPr>
        <w:t>040086</w:t>
      </w:r>
      <w:r>
        <w:rPr>
          <w:spacing w:val="-3"/>
        </w:rPr>
        <w:t>号</w:t>
      </w:r>
      <w:r>
        <w:rPr>
          <w:rFonts w:ascii="Times New Roman" w:hAnsi="Times New Roman" w:cs="Times New Roman" w:eastAsia="Times New Roman" w:hint="default"/>
          <w:spacing w:val="-3"/>
        </w:rPr>
        <w:t>”</w:t>
      </w:r>
      <w:r>
        <w:rPr>
          <w:spacing w:val="-3"/>
        </w:rPr>
        <w:t>的流动资金借款合同，借款金额</w:t>
      </w:r>
      <w:r>
        <w:rPr>
          <w:rFonts w:ascii="Times New Roman" w:hAnsi="Times New Roman" w:cs="Times New Roman" w:eastAsia="Times New Roman" w:hint="default"/>
          <w:spacing w:val="-3"/>
        </w:rPr>
        <w:t>2,000</w:t>
      </w:r>
      <w:r>
        <w:rPr>
          <w:spacing w:val="-3"/>
        </w:rPr>
        <w:t>万元整，借款期限自</w:t>
      </w:r>
      <w:r>
        <w:rPr>
          <w:rFonts w:ascii="Times New Roman" w:hAnsi="Times New Roman" w:cs="Times New Roman" w:eastAsia="Times New Roman" w:hint="default"/>
          <w:spacing w:val="-3"/>
        </w:rPr>
        <w:t>2018</w:t>
      </w:r>
      <w:r>
        <w:rPr>
          <w:spacing w:val="-3"/>
        </w:rPr>
        <w:t>年</w:t>
      </w:r>
      <w:r>
        <w:rPr>
          <w:rFonts w:ascii="Times New Roman" w:hAnsi="Times New Roman" w:cs="Times New Roman" w:eastAsia="Times New Roman" w:hint="default"/>
          <w:spacing w:val="-3"/>
        </w:rPr>
        <w:t>10</w:t>
      </w:r>
      <w:r>
        <w:rPr>
          <w:spacing w:val="-3"/>
        </w:rPr>
        <w:t>月</w:t>
      </w:r>
      <w:r>
        <w:rPr>
          <w:rFonts w:ascii="Times New Roman" w:hAnsi="Times New Roman" w:cs="Times New Roman" w:eastAsia="Times New Roman" w:hint="default"/>
          <w:spacing w:val="-3"/>
        </w:rPr>
        <w:t>18</w:t>
      </w:r>
      <w:r>
        <w:rPr>
          <w:spacing w:val="-3"/>
        </w:rPr>
        <w:t>日至</w:t>
      </w:r>
      <w:r>
        <w:rPr>
          <w:rFonts w:ascii="Times New Roman" w:hAnsi="Times New Roman" w:cs="Times New Roman" w:eastAsia="Times New Roman" w:hint="default"/>
          <w:spacing w:val="-3"/>
        </w:rPr>
        <w:t>2019</w:t>
      </w:r>
      <w:r>
        <w:rPr>
          <w:spacing w:val="-3"/>
        </w:rPr>
        <w:t>年</w:t>
      </w:r>
      <w:r>
        <w:rPr>
          <w:rFonts w:ascii="Times New Roman" w:hAnsi="Times New Roman" w:cs="Times New Roman" w:eastAsia="Times New Roman" w:hint="default"/>
          <w:spacing w:val="-3"/>
        </w:rPr>
        <w:t>10</w:t>
      </w:r>
      <w:r>
        <w:rPr>
          <w:spacing w:val="-3"/>
        </w:rPr>
        <w:t>月</w:t>
      </w:r>
      <w:r>
        <w:rPr>
          <w:rFonts w:ascii="Times New Roman" w:hAnsi="Times New Roman" w:cs="Times New Roman" w:eastAsia="Times New Roman" w:hint="default"/>
          <w:spacing w:val="-3"/>
        </w:rPr>
        <w:t>18</w:t>
      </w:r>
      <w:r>
        <w:rPr>
          <w:spacing w:val="-3"/>
        </w:rPr>
        <w:t>日，</w:t>
      </w:r>
      <w:r>
        <w:rPr>
          <w:spacing w:val="-96"/>
        </w:rPr>
        <w:t> </w:t>
      </w:r>
      <w:r>
        <w:rPr/>
        <w:t>借款年利率为基准利率</w:t>
      </w:r>
      <w:r>
        <w:rPr>
          <w:rFonts w:ascii="Times New Roman" w:hAnsi="Times New Roman" w:cs="Times New Roman" w:eastAsia="Times New Roman" w:hint="default"/>
        </w:rPr>
        <w:t>4.3500%</w:t>
      </w:r>
      <w:r>
        <w:rPr/>
        <w:t>上浮</w:t>
      </w:r>
      <w:r>
        <w:rPr>
          <w:rFonts w:ascii="Times New Roman" w:hAnsi="Times New Roman" w:cs="Times New Roman" w:eastAsia="Times New Roman" w:hint="default"/>
        </w:rPr>
        <w:t>17.25%</w:t>
      </w:r>
      <w:r>
        <w:rPr/>
        <w:t>；</w:t>
      </w:r>
    </w:p>
    <w:p>
      <w:pPr>
        <w:pStyle w:val="BodyText"/>
        <w:spacing w:line="386" w:lineRule="auto" w:before="35"/>
        <w:ind w:right="1168" w:firstLine="423"/>
        <w:jc w:val="left"/>
      </w:pPr>
      <w:r>
        <w:rPr>
          <w:rFonts w:ascii="Times New Roman" w:hAnsi="Times New Roman" w:cs="Times New Roman" w:eastAsia="Times New Roman" w:hint="default"/>
        </w:rPr>
        <w:t>7</w:t>
      </w:r>
      <w:r>
        <w:rPr/>
        <w:t>、</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8</w:t>
      </w:r>
      <w:r>
        <w:rPr/>
        <w:t>月</w:t>
      </w:r>
      <w:r>
        <w:rPr>
          <w:rFonts w:ascii="Times New Roman" w:hAnsi="Times New Roman" w:cs="Times New Roman" w:eastAsia="Times New Roman" w:hint="default"/>
        </w:rPr>
        <w:t>14</w:t>
      </w:r>
      <w:r>
        <w:rPr/>
        <w:t>日，子公司上海树维与上海市浦东发展银行股份有限公司南汇支行签订了编号为 </w:t>
      </w:r>
      <w:r>
        <w:rPr>
          <w:rFonts w:ascii="Times New Roman" w:hAnsi="Times New Roman" w:cs="Times New Roman" w:eastAsia="Times New Roman" w:hint="default"/>
        </w:rPr>
        <w:t>“98102018280262”</w:t>
      </w:r>
      <w:r>
        <w:rPr/>
        <w:t>的借款合同，借款金额</w:t>
      </w:r>
      <w:r>
        <w:rPr>
          <w:rFonts w:ascii="Times New Roman" w:hAnsi="Times New Roman" w:cs="Times New Roman" w:eastAsia="Times New Roman" w:hint="default"/>
        </w:rPr>
        <w:t>800.00</w:t>
      </w:r>
      <w:r>
        <w:rPr/>
        <w:t>万元，借款期限自</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8</w:t>
      </w:r>
      <w:r>
        <w:rPr/>
        <w:t>月</w:t>
      </w:r>
      <w:r>
        <w:rPr>
          <w:rFonts w:ascii="Times New Roman" w:hAnsi="Times New Roman" w:cs="Times New Roman" w:eastAsia="Times New Roman" w:hint="default"/>
        </w:rPr>
        <w:t>14</w:t>
      </w:r>
      <w:r>
        <w:rPr/>
        <w:t>日至</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8</w:t>
      </w:r>
      <w:r>
        <w:rPr/>
        <w:t>月</w:t>
      </w:r>
      <w:r>
        <w:rPr>
          <w:rFonts w:ascii="Times New Roman" w:hAnsi="Times New Roman" w:cs="Times New Roman" w:eastAsia="Times New Roman" w:hint="default"/>
        </w:rPr>
        <w:t>13</w:t>
      </w:r>
      <w:r>
        <w:rPr/>
        <w:t>日，借款 年利率为</w:t>
      </w:r>
      <w:r>
        <w:rPr>
          <w:rFonts w:ascii="Times New Roman" w:hAnsi="Times New Roman" w:cs="Times New Roman" w:eastAsia="Times New Roman" w:hint="default"/>
        </w:rPr>
        <w:t>5.2200%</w:t>
      </w:r>
      <w:r>
        <w:rPr/>
        <w:t>（基础利率</w:t>
      </w:r>
      <w:r>
        <w:rPr>
          <w:rFonts w:ascii="Times New Roman" w:hAnsi="Times New Roman" w:cs="Times New Roman" w:eastAsia="Times New Roman" w:hint="default"/>
        </w:rPr>
        <w:t>4.3100%</w:t>
      </w:r>
      <w:r>
        <w:rPr/>
        <w:t>上浮</w:t>
      </w:r>
      <w:r>
        <w:rPr>
          <w:rFonts w:ascii="Times New Roman" w:hAnsi="Times New Roman" w:cs="Times New Roman" w:eastAsia="Times New Roman" w:hint="default"/>
        </w:rPr>
        <w:t>90BPs</w:t>
      </w:r>
      <w:r>
        <w:rPr/>
        <w:t>）；</w:t>
      </w:r>
    </w:p>
    <w:p>
      <w:pPr>
        <w:spacing w:line="240" w:lineRule="auto" w:before="10"/>
        <w:rPr>
          <w:rFonts w:ascii="宋体" w:hAnsi="宋体" w:cs="宋体" w:eastAsia="宋体" w:hint="default"/>
          <w:sz w:val="19"/>
          <w:szCs w:val="19"/>
        </w:rPr>
      </w:pPr>
    </w:p>
    <w:p>
      <w:pPr>
        <w:pStyle w:val="Heading4"/>
        <w:spacing w:line="240" w:lineRule="auto"/>
        <w:ind w:right="1117"/>
        <w:jc w:val="left"/>
        <w:rPr>
          <w:b w:val="0"/>
          <w:bCs w:val="0"/>
        </w:rPr>
      </w:pPr>
      <w:bookmarkStart w:name="（2）已逾期未偿还的短期借款情况" w:id="280"/>
      <w:bookmarkEnd w:id="280"/>
      <w:r>
        <w:rPr>
          <w:b w:val="0"/>
          <w:bCs w:val="0"/>
        </w:rPr>
      </w:r>
      <w:r>
        <w:rPr/>
        <w:t>（</w:t>
      </w:r>
      <w:r>
        <w:rPr>
          <w:rFonts w:ascii="Times New Roman" w:hAnsi="Times New Roman" w:cs="Times New Roman" w:eastAsia="Times New Roman" w:hint="default"/>
        </w:rPr>
        <w:t>2</w:t>
      </w:r>
      <w:r>
        <w:rPr/>
        <w:t>）已逾期未偿还的短期借款情况</w:t>
      </w:r>
      <w:r>
        <w:rPr>
          <w:b w:val="0"/>
          <w:bCs w:val="0"/>
        </w:rPr>
      </w:r>
    </w:p>
    <w:p>
      <w:pPr>
        <w:spacing w:line="240" w:lineRule="auto" w:before="8"/>
        <w:rPr>
          <w:rFonts w:ascii="宋体" w:hAnsi="宋体" w:cs="宋体" w:eastAsia="宋体" w:hint="default"/>
          <w:b/>
          <w:bCs/>
          <w:sz w:val="26"/>
          <w:szCs w:val="26"/>
        </w:rPr>
      </w:pPr>
    </w:p>
    <w:p>
      <w:pPr>
        <w:spacing w:line="357" w:lineRule="auto" w:before="0"/>
        <w:ind w:left="154" w:right="3552" w:firstLine="0"/>
        <w:jc w:val="left"/>
        <w:rPr>
          <w:rFonts w:ascii="宋体" w:hAnsi="宋体" w:cs="宋体" w:eastAsia="宋体" w:hint="default"/>
          <w:sz w:val="18"/>
          <w:szCs w:val="18"/>
        </w:rPr>
      </w:pPr>
      <w:r>
        <w:rPr>
          <w:rFonts w:ascii="宋体" w:hAnsi="宋体" w:cs="宋体" w:eastAsia="宋体" w:hint="default"/>
          <w:sz w:val="18"/>
          <w:szCs w:val="18"/>
        </w:rPr>
        <w:t>本期末已逾期未偿还的短期借款总额为元，其中重要的已逾期未偿还的短期借款情况如下： 其他说明：</w:t>
      </w:r>
    </w:p>
    <w:p>
      <w:pPr>
        <w:spacing w:after="0" w:line="357" w:lineRule="auto"/>
        <w:jc w:val="left"/>
        <w:rPr>
          <w:rFonts w:ascii="宋体" w:hAnsi="宋体" w:cs="宋体" w:eastAsia="宋体" w:hint="default"/>
          <w:sz w:val="18"/>
          <w:szCs w:val="18"/>
        </w:rPr>
        <w:sectPr>
          <w:pgSz w:w="11910" w:h="16840"/>
          <w:pgMar w:header="877" w:footer="979" w:top="1060" w:bottom="1160" w:left="980" w:right="0"/>
        </w:sectPr>
      </w:pPr>
    </w:p>
    <w:p>
      <w:pPr>
        <w:spacing w:line="240" w:lineRule="auto" w:before="9"/>
        <w:rPr>
          <w:rFonts w:ascii="宋体" w:hAnsi="宋体" w:cs="宋体" w:eastAsia="宋体" w:hint="default"/>
          <w:sz w:val="24"/>
          <w:szCs w:val="24"/>
        </w:rPr>
      </w:pPr>
    </w:p>
    <w:p>
      <w:pPr>
        <w:pStyle w:val="Heading4"/>
        <w:spacing w:line="240" w:lineRule="auto" w:before="35"/>
        <w:ind w:right="1117"/>
        <w:jc w:val="left"/>
        <w:rPr>
          <w:b w:val="0"/>
          <w:bCs w:val="0"/>
        </w:rPr>
      </w:pPr>
      <w:bookmarkStart w:name="19、应付票据及应付账款" w:id="281"/>
      <w:bookmarkEnd w:id="281"/>
      <w:r>
        <w:rPr>
          <w:b w:val="0"/>
          <w:bCs w:val="0"/>
        </w:rPr>
      </w:r>
      <w:r>
        <w:rPr>
          <w:rFonts w:ascii="Times New Roman" w:hAnsi="Times New Roman" w:cs="Times New Roman" w:eastAsia="Times New Roman" w:hint="default"/>
        </w:rPr>
        <w:t>19</w:t>
      </w:r>
      <w:r>
        <w:rPr/>
        <w:t>、应付票据及应付账款</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167"/>
        <w:gridCol w:w="3202"/>
        <w:gridCol w:w="3190"/>
      </w:tblGrid>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46,928,368.15</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168,650,977.27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174,962,218.66</w:t>
            </w:r>
          </w:p>
        </w:tc>
      </w:tr>
      <w:tr>
        <w:trPr>
          <w:trHeight w:val="403"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215,579,345.42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174,962,218.66</w:t>
            </w:r>
          </w:p>
        </w:tc>
      </w:tr>
    </w:tbl>
    <w:p>
      <w:pPr>
        <w:spacing w:line="240" w:lineRule="auto" w:before="2"/>
        <w:rPr>
          <w:rFonts w:ascii="宋体" w:hAnsi="宋体" w:cs="宋体" w:eastAsia="宋体" w:hint="default"/>
          <w:sz w:val="19"/>
          <w:szCs w:val="19"/>
        </w:rPr>
      </w:pPr>
    </w:p>
    <w:p>
      <w:pPr>
        <w:pStyle w:val="Heading4"/>
        <w:spacing w:line="240" w:lineRule="auto" w:before="35"/>
        <w:ind w:right="1117"/>
        <w:jc w:val="left"/>
        <w:rPr>
          <w:b w:val="0"/>
          <w:bCs w:val="0"/>
        </w:rPr>
      </w:pPr>
      <w:bookmarkStart w:name="（1）应付票据分类列示" w:id="282"/>
      <w:bookmarkEnd w:id="282"/>
      <w:r>
        <w:rPr>
          <w:b w:val="0"/>
          <w:bCs w:val="0"/>
        </w:rPr>
      </w:r>
      <w:r>
        <w:rPr/>
        <w:t>（</w:t>
      </w:r>
      <w:r>
        <w:rPr>
          <w:rFonts w:ascii="Times New Roman" w:hAnsi="Times New Roman" w:cs="Times New Roman" w:eastAsia="Times New Roman" w:hint="default"/>
        </w:rPr>
        <w:t>1</w:t>
      </w:r>
      <w:r>
        <w:rPr/>
        <w:t>）应付票据分类列示</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164"/>
        <w:gridCol w:w="3206"/>
        <w:gridCol w:w="3189"/>
      </w:tblGrid>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种类</w:t>
            </w:r>
          </w:p>
        </w:tc>
        <w:tc>
          <w:tcPr>
            <w:tcW w:w="3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银行承兑汇票</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46,928,368.15</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46,928,368.15</w:t>
            </w:r>
          </w:p>
        </w:tc>
        <w:tc>
          <w:tcPr>
            <w:tcW w:w="3189" w:type="dxa"/>
            <w:tcBorders>
              <w:top w:val="single" w:sz="4" w:space="0" w:color="000000"/>
              <w:left w:val="single" w:sz="4" w:space="0" w:color="000000"/>
              <w:bottom w:val="single" w:sz="4" w:space="0" w:color="000000"/>
              <w:right w:val="single" w:sz="4" w:space="0" w:color="000000"/>
            </w:tcBorders>
          </w:tcPr>
          <w:p>
            <w:pPr/>
          </w:p>
        </w:tc>
      </w:tr>
    </w:tbl>
    <w:p>
      <w:pPr>
        <w:spacing w:before="51"/>
        <w:ind w:left="154" w:right="1117" w:firstLine="0"/>
        <w:jc w:val="left"/>
        <w:rPr>
          <w:rFonts w:ascii="宋体" w:hAnsi="宋体" w:cs="宋体" w:eastAsia="宋体" w:hint="default"/>
          <w:sz w:val="18"/>
          <w:szCs w:val="18"/>
        </w:rPr>
      </w:pPr>
      <w:r>
        <w:rPr>
          <w:rFonts w:ascii="宋体" w:hAnsi="宋体" w:cs="宋体" w:eastAsia="宋体" w:hint="default"/>
          <w:sz w:val="18"/>
          <w:szCs w:val="18"/>
        </w:rPr>
        <w:t>本期末已到期未支付的应付票据总额为元。</w:t>
      </w:r>
    </w:p>
    <w:p>
      <w:pPr>
        <w:spacing w:line="240" w:lineRule="auto" w:before="11"/>
        <w:rPr>
          <w:rFonts w:ascii="宋体" w:hAnsi="宋体" w:cs="宋体" w:eastAsia="宋体" w:hint="default"/>
          <w:sz w:val="26"/>
          <w:szCs w:val="26"/>
        </w:rPr>
      </w:pPr>
    </w:p>
    <w:p>
      <w:pPr>
        <w:pStyle w:val="Heading4"/>
        <w:spacing w:line="240" w:lineRule="auto"/>
        <w:ind w:right="1117"/>
        <w:jc w:val="left"/>
        <w:rPr>
          <w:b w:val="0"/>
          <w:bCs w:val="0"/>
        </w:rPr>
      </w:pPr>
      <w:bookmarkStart w:name="（2）应付账款列示" w:id="283"/>
      <w:bookmarkEnd w:id="283"/>
      <w:r>
        <w:rPr>
          <w:b w:val="0"/>
          <w:bCs w:val="0"/>
        </w:rPr>
      </w:r>
      <w:r>
        <w:rPr/>
        <w:t>（</w:t>
      </w:r>
      <w:r>
        <w:rPr>
          <w:rFonts w:ascii="Times New Roman" w:hAnsi="Times New Roman" w:cs="Times New Roman" w:eastAsia="Times New Roman" w:hint="default"/>
        </w:rPr>
        <w:t>2</w:t>
      </w:r>
      <w:r>
        <w:rPr/>
        <w:t>）应付账款列示</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应付经营货款</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161,854,467.13</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164,709,786.86</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应付外包劳务费</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6,796,510.14</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10,252,431.80</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168,650,977.27</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174,962,218.66</w:t>
            </w:r>
          </w:p>
        </w:tc>
      </w:tr>
    </w:tbl>
    <w:p>
      <w:pPr>
        <w:spacing w:line="240" w:lineRule="auto" w:before="2"/>
        <w:rPr>
          <w:rFonts w:ascii="宋体" w:hAnsi="宋体" w:cs="宋体" w:eastAsia="宋体" w:hint="default"/>
          <w:sz w:val="19"/>
          <w:szCs w:val="19"/>
        </w:rPr>
      </w:pPr>
    </w:p>
    <w:p>
      <w:pPr>
        <w:pStyle w:val="Heading4"/>
        <w:spacing w:line="240" w:lineRule="auto" w:before="35"/>
        <w:ind w:right="1117"/>
        <w:jc w:val="left"/>
        <w:rPr>
          <w:b w:val="0"/>
          <w:bCs w:val="0"/>
        </w:rPr>
      </w:pPr>
      <w:bookmarkStart w:name="（3）账龄超过1年的重要应付账款" w:id="284"/>
      <w:bookmarkEnd w:id="284"/>
      <w:r>
        <w:rPr>
          <w:b w:val="0"/>
          <w:bCs w:val="0"/>
        </w:rPr>
      </w:r>
      <w:r>
        <w:rPr/>
        <w:t>（</w:t>
      </w:r>
      <w:r>
        <w:rPr>
          <w:rFonts w:ascii="Times New Roman" w:hAnsi="Times New Roman" w:cs="Times New Roman" w:eastAsia="Times New Roman" w:hint="default"/>
        </w:rPr>
        <w:t>3</w:t>
      </w:r>
      <w:r>
        <w:rPr/>
        <w:t>）账龄超过</w:t>
      </w:r>
      <w:r>
        <w:rPr>
          <w:spacing w:val="-55"/>
        </w:rPr>
        <w:t> </w:t>
      </w:r>
      <w:r>
        <w:rPr>
          <w:rFonts w:ascii="Times New Roman" w:hAnsi="Times New Roman" w:cs="Times New Roman" w:eastAsia="Times New Roman" w:hint="default"/>
        </w:rPr>
        <w:t>1</w:t>
      </w:r>
      <w:r>
        <w:rPr>
          <w:rFonts w:ascii="Times New Roman" w:hAnsi="Times New Roman" w:cs="Times New Roman" w:eastAsia="Times New Roman" w:hint="default"/>
          <w:spacing w:val="-3"/>
        </w:rPr>
        <w:t> </w:t>
      </w:r>
      <w:r>
        <w:rPr/>
        <w:t>年的重要应付账款</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79" w:right="0"/>
              <w:jc w:val="left"/>
              <w:rPr>
                <w:rFonts w:ascii="宋体" w:hAnsi="宋体" w:cs="宋体" w:eastAsia="宋体" w:hint="default"/>
                <w:sz w:val="18"/>
                <w:szCs w:val="18"/>
              </w:rPr>
            </w:pPr>
            <w:r>
              <w:rPr>
                <w:rFonts w:ascii="宋体" w:hAnsi="宋体" w:cs="宋体" w:eastAsia="宋体" w:hint="default"/>
                <w:sz w:val="18"/>
                <w:szCs w:val="18"/>
              </w:rPr>
              <w:t>未偿还或结转的原因</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河南宏卓电子科技有限公司</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1,171,520.84</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尚未到结算期</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云南省通信产业服务有限公司</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1,359,791.00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尚未到结算期</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2,531,311.84</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bl>
    <w:p>
      <w:pPr>
        <w:spacing w:before="51"/>
        <w:ind w:left="154" w:right="1117"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pStyle w:val="Heading4"/>
        <w:spacing w:line="240" w:lineRule="auto"/>
        <w:ind w:right="1117"/>
        <w:jc w:val="left"/>
        <w:rPr>
          <w:b w:val="0"/>
          <w:bCs w:val="0"/>
        </w:rPr>
      </w:pPr>
      <w:bookmarkStart w:name="20、预收款项" w:id="285"/>
      <w:bookmarkEnd w:id="285"/>
      <w:r>
        <w:rPr>
          <w:b w:val="0"/>
          <w:bCs w:val="0"/>
        </w:rPr>
      </w:r>
      <w:r>
        <w:rPr>
          <w:rFonts w:ascii="Times New Roman" w:hAnsi="Times New Roman" w:cs="Times New Roman" w:eastAsia="Times New Roman" w:hint="default"/>
        </w:rPr>
        <w:t>20</w:t>
      </w:r>
      <w:r>
        <w:rPr/>
        <w:t>、预收款项</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1117"/>
        <w:jc w:val="left"/>
        <w:rPr>
          <w:b w:val="0"/>
          <w:bCs w:val="0"/>
        </w:rPr>
      </w:pPr>
      <w:bookmarkStart w:name="（1）预收款项列示" w:id="286"/>
      <w:bookmarkEnd w:id="286"/>
      <w:r>
        <w:rPr>
          <w:b w:val="0"/>
          <w:bCs w:val="0"/>
        </w:rPr>
      </w:r>
      <w:r>
        <w:rPr/>
        <w:t>（</w:t>
      </w:r>
      <w:r>
        <w:rPr>
          <w:rFonts w:ascii="Times New Roman" w:hAnsi="Times New Roman" w:cs="Times New Roman" w:eastAsia="Times New Roman" w:hint="default"/>
        </w:rPr>
        <w:t>1</w:t>
      </w:r>
      <w:r>
        <w:rPr/>
        <w:t>）预收款项列示</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77"/>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after="0" w:line="240" w:lineRule="auto"/>
        <w:jc w:val="center"/>
        <w:rPr>
          <w:rFonts w:ascii="宋体" w:hAnsi="宋体" w:cs="宋体" w:eastAsia="宋体" w:hint="default"/>
          <w:sz w:val="18"/>
          <w:szCs w:val="18"/>
        </w:rPr>
        <w:sectPr>
          <w:pgSz w:w="11910" w:h="16840"/>
          <w:pgMar w:header="87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预收货款</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95,169,282.10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68,225,497.47</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95,169,282.10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68,225,497.47</w:t>
            </w:r>
          </w:p>
        </w:tc>
      </w:tr>
    </w:tbl>
    <w:p>
      <w:pPr>
        <w:spacing w:line="240" w:lineRule="auto" w:before="2"/>
        <w:rPr>
          <w:rFonts w:ascii="宋体" w:hAnsi="宋体" w:cs="宋体" w:eastAsia="宋体" w:hint="default"/>
          <w:sz w:val="19"/>
          <w:szCs w:val="19"/>
        </w:rPr>
      </w:pPr>
    </w:p>
    <w:p>
      <w:pPr>
        <w:pStyle w:val="Heading4"/>
        <w:spacing w:line="240" w:lineRule="auto" w:before="35"/>
        <w:ind w:right="1117"/>
        <w:jc w:val="left"/>
        <w:rPr>
          <w:b w:val="0"/>
          <w:bCs w:val="0"/>
        </w:rPr>
      </w:pPr>
      <w:bookmarkStart w:name="（2）账龄超过1年的重要预收款项" w:id="287"/>
      <w:bookmarkEnd w:id="287"/>
      <w:r>
        <w:rPr>
          <w:b w:val="0"/>
          <w:bCs w:val="0"/>
        </w:rPr>
      </w:r>
      <w:r>
        <w:rPr/>
        <w:t>（</w:t>
      </w:r>
      <w:r>
        <w:rPr>
          <w:rFonts w:ascii="Times New Roman" w:hAnsi="Times New Roman" w:cs="Times New Roman" w:eastAsia="Times New Roman" w:hint="default"/>
        </w:rPr>
        <w:t>2</w:t>
      </w:r>
      <w:r>
        <w:rPr/>
        <w:t>）账龄超过</w:t>
      </w:r>
      <w:r>
        <w:rPr>
          <w:spacing w:val="-55"/>
        </w:rPr>
        <w:t> </w:t>
      </w:r>
      <w:r>
        <w:rPr>
          <w:rFonts w:ascii="Times New Roman" w:hAnsi="Times New Roman" w:cs="Times New Roman" w:eastAsia="Times New Roman" w:hint="default"/>
        </w:rPr>
        <w:t>1</w:t>
      </w:r>
      <w:r>
        <w:rPr>
          <w:rFonts w:ascii="Times New Roman" w:hAnsi="Times New Roman" w:cs="Times New Roman" w:eastAsia="Times New Roman" w:hint="default"/>
          <w:spacing w:val="-3"/>
        </w:rPr>
        <w:t> </w:t>
      </w:r>
      <w:r>
        <w:rPr/>
        <w:t>年的重要预收款项</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79" w:right="0"/>
              <w:jc w:val="left"/>
              <w:rPr>
                <w:rFonts w:ascii="宋体" w:hAnsi="宋体" w:cs="宋体" w:eastAsia="宋体" w:hint="default"/>
                <w:sz w:val="18"/>
                <w:szCs w:val="18"/>
              </w:rPr>
            </w:pPr>
            <w:r>
              <w:rPr>
                <w:rFonts w:ascii="宋体" w:hAnsi="宋体" w:cs="宋体" w:eastAsia="宋体" w:hint="default"/>
                <w:sz w:val="18"/>
                <w:szCs w:val="18"/>
              </w:rPr>
              <w:t>未偿还或结转的原因</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南京工业大学浦江学院</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748,223.60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项目尚未最终验收</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宜宾翠屏农村商业银行股份有限公司</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653,958.64</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项目尚未最终验收</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1,402,182.24</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2"/>
        <w:rPr>
          <w:rFonts w:ascii="宋体" w:hAnsi="宋体" w:cs="宋体" w:eastAsia="宋体" w:hint="default"/>
          <w:sz w:val="19"/>
          <w:szCs w:val="19"/>
        </w:rPr>
      </w:pPr>
    </w:p>
    <w:p>
      <w:pPr>
        <w:pStyle w:val="Heading4"/>
        <w:spacing w:line="240" w:lineRule="auto" w:before="35"/>
        <w:ind w:right="1117"/>
        <w:jc w:val="left"/>
        <w:rPr>
          <w:b w:val="0"/>
          <w:bCs w:val="0"/>
        </w:rPr>
      </w:pPr>
      <w:bookmarkStart w:name="（3）期末建造合同形成的已结算未完工项目情况" w:id="288"/>
      <w:bookmarkEnd w:id="288"/>
      <w:r>
        <w:rPr>
          <w:b w:val="0"/>
          <w:bCs w:val="0"/>
        </w:rPr>
      </w:r>
      <w:r>
        <w:rPr/>
        <w:t>（</w:t>
      </w:r>
      <w:r>
        <w:rPr>
          <w:rFonts w:ascii="Times New Roman" w:hAnsi="Times New Roman" w:cs="Times New Roman" w:eastAsia="Times New Roman" w:hint="default"/>
        </w:rPr>
        <w:t>3</w:t>
      </w:r>
      <w:r>
        <w:rPr/>
        <w:t>）期末建造合同形成的已结算未完工项目情况</w:t>
      </w:r>
      <w:r>
        <w:rPr>
          <w:b w:val="0"/>
          <w:bCs w:val="0"/>
        </w:rPr>
      </w:r>
    </w:p>
    <w:p>
      <w:pPr>
        <w:spacing w:line="240" w:lineRule="auto" w:before="8"/>
        <w:rPr>
          <w:rFonts w:ascii="宋体" w:hAnsi="宋体" w:cs="宋体" w:eastAsia="宋体" w:hint="default"/>
          <w:b/>
          <w:bCs/>
          <w:sz w:val="26"/>
          <w:szCs w:val="26"/>
        </w:rPr>
      </w:pPr>
    </w:p>
    <w:p>
      <w:pPr>
        <w:spacing w:before="0"/>
        <w:ind w:left="154" w:right="1117"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0"/>
        <w:rPr>
          <w:rFonts w:ascii="宋体" w:hAnsi="宋体" w:cs="宋体" w:eastAsia="宋体" w:hint="default"/>
          <w:sz w:val="26"/>
          <w:szCs w:val="26"/>
        </w:rPr>
      </w:pPr>
    </w:p>
    <w:p>
      <w:pPr>
        <w:pStyle w:val="Heading4"/>
        <w:spacing w:line="240" w:lineRule="auto"/>
        <w:ind w:right="1117"/>
        <w:jc w:val="left"/>
        <w:rPr>
          <w:b w:val="0"/>
          <w:bCs w:val="0"/>
        </w:rPr>
      </w:pPr>
      <w:bookmarkStart w:name="21、应付职工薪酬" w:id="289"/>
      <w:bookmarkEnd w:id="289"/>
      <w:r>
        <w:rPr>
          <w:b w:val="0"/>
          <w:bCs w:val="0"/>
        </w:rPr>
      </w:r>
      <w:r>
        <w:rPr>
          <w:rFonts w:ascii="Times New Roman" w:hAnsi="Times New Roman" w:cs="Times New Roman" w:eastAsia="Times New Roman" w:hint="default"/>
        </w:rPr>
        <w:t>21</w:t>
      </w:r>
      <w:r>
        <w:rPr/>
        <w:t>、应付职工薪酬</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1117"/>
        <w:jc w:val="left"/>
        <w:rPr>
          <w:b w:val="0"/>
          <w:bCs w:val="0"/>
        </w:rPr>
      </w:pPr>
      <w:bookmarkStart w:name="（1）应付职工薪酬列示" w:id="290"/>
      <w:bookmarkEnd w:id="290"/>
      <w:r>
        <w:rPr>
          <w:b w:val="0"/>
          <w:bCs w:val="0"/>
        </w:rPr>
      </w:r>
      <w:r>
        <w:rPr/>
        <w:t>（</w:t>
      </w:r>
      <w:r>
        <w:rPr>
          <w:rFonts w:ascii="Times New Roman" w:hAnsi="Times New Roman" w:cs="Times New Roman" w:eastAsia="Times New Roman" w:hint="default"/>
        </w:rPr>
        <w:t>1</w:t>
      </w:r>
      <w:r>
        <w:rPr/>
        <w:t>）应付职工薪酬列示</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889"/>
        <w:gridCol w:w="1928"/>
        <w:gridCol w:w="1914"/>
        <w:gridCol w:w="1914"/>
        <w:gridCol w:w="1914"/>
      </w:tblGrid>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05"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一、短期薪酬</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11,794,872.46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227,044,845.64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224,350,558.55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14,489,159.55</w:t>
            </w:r>
          </w:p>
        </w:tc>
      </w:tr>
      <w:tr>
        <w:trPr>
          <w:trHeight w:val="714"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11" w:right="9"/>
              <w:jc w:val="left"/>
              <w:rPr>
                <w:rFonts w:ascii="宋体" w:hAnsi="宋体" w:cs="宋体" w:eastAsia="宋体" w:hint="default"/>
                <w:sz w:val="18"/>
                <w:szCs w:val="18"/>
              </w:rPr>
            </w:pPr>
            <w:r>
              <w:rPr>
                <w:rFonts w:ascii="宋体" w:hAnsi="宋体" w:cs="宋体" w:eastAsia="宋体" w:hint="default"/>
                <w:sz w:val="18"/>
                <w:szCs w:val="18"/>
              </w:rPr>
              <w:t>二、离职后福利</w:t>
            </w:r>
            <w:r>
              <w:rPr>
                <w:rFonts w:ascii="Times New Roman" w:hAnsi="Times New Roman" w:cs="Times New Roman" w:eastAsia="Times New Roman" w:hint="default"/>
                <w:sz w:val="18"/>
                <w:szCs w:val="18"/>
              </w:rPr>
              <w:t>-</w:t>
            </w:r>
            <w:r>
              <w:rPr>
                <w:rFonts w:ascii="宋体" w:hAnsi="宋体" w:cs="宋体" w:eastAsia="宋体" w:hint="default"/>
                <w:sz w:val="18"/>
                <w:szCs w:val="18"/>
              </w:rPr>
              <w:t>设定提 存计划</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261,106.34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18,269,409.52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18,129,391.05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401,124.81</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12,055,978.80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245,314,255.16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242,479,949.60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14,890,284.36</w:t>
            </w:r>
          </w:p>
        </w:tc>
      </w:tr>
    </w:tbl>
    <w:p>
      <w:pPr>
        <w:spacing w:line="240" w:lineRule="auto" w:before="2"/>
        <w:rPr>
          <w:rFonts w:ascii="宋体" w:hAnsi="宋体" w:cs="宋体" w:eastAsia="宋体" w:hint="default"/>
          <w:sz w:val="19"/>
          <w:szCs w:val="19"/>
        </w:rPr>
      </w:pPr>
    </w:p>
    <w:p>
      <w:pPr>
        <w:pStyle w:val="Heading4"/>
        <w:spacing w:line="240" w:lineRule="auto" w:before="35"/>
        <w:ind w:right="1117"/>
        <w:jc w:val="left"/>
        <w:rPr>
          <w:b w:val="0"/>
          <w:bCs w:val="0"/>
        </w:rPr>
      </w:pPr>
      <w:bookmarkStart w:name="（2）短期薪酬列示" w:id="291"/>
      <w:bookmarkEnd w:id="291"/>
      <w:r>
        <w:rPr>
          <w:b w:val="0"/>
          <w:bCs w:val="0"/>
        </w:rPr>
      </w:r>
      <w:r>
        <w:rPr/>
        <w:t>（</w:t>
      </w:r>
      <w:r>
        <w:rPr>
          <w:rFonts w:ascii="Times New Roman" w:hAnsi="Times New Roman" w:cs="Times New Roman" w:eastAsia="Times New Roman" w:hint="default"/>
        </w:rPr>
        <w:t>2</w:t>
      </w:r>
      <w:r>
        <w:rPr/>
        <w:t>）短期薪酬列示</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1889"/>
        <w:gridCol w:w="1928"/>
        <w:gridCol w:w="1914"/>
        <w:gridCol w:w="1914"/>
        <w:gridCol w:w="1914"/>
      </w:tblGrid>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605"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714"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2"/>
              <w:ind w:left="11" w:right="9"/>
              <w:jc w:val="left"/>
              <w:rPr>
                <w:rFonts w:ascii="宋体" w:hAnsi="宋体" w:cs="宋体" w:eastAsia="宋体" w:hint="default"/>
                <w:sz w:val="18"/>
                <w:szCs w:val="18"/>
              </w:rPr>
            </w:pPr>
            <w:r>
              <w:rPr>
                <w:rFonts w:ascii="Times New Roman" w:hAnsi="Times New Roman" w:cs="Times New Roman" w:eastAsia="Times New Roman" w:hint="default"/>
                <w:spacing w:val="-4"/>
                <w:sz w:val="18"/>
                <w:szCs w:val="18"/>
              </w:rPr>
              <w:t>1</w:t>
            </w:r>
            <w:r>
              <w:rPr>
                <w:rFonts w:ascii="宋体" w:hAnsi="宋体" w:cs="宋体" w:eastAsia="宋体" w:hint="default"/>
                <w:spacing w:val="-4"/>
                <w:sz w:val="18"/>
                <w:szCs w:val="18"/>
              </w:rPr>
              <w:t>、工资、奖金、津贴和</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补贴</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11,580,555.04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202,426,481.77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199,916,144.53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14,090,892.28</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、职工福利费</w:t>
            </w:r>
          </w:p>
        </w:tc>
        <w:tc>
          <w:tcPr>
            <w:tcW w:w="1928" w:type="dxa"/>
            <w:tcBorders>
              <w:top w:val="single" w:sz="4" w:space="0" w:color="000000"/>
              <w:left w:val="single" w:sz="13" w:space="0" w:color="D2D2D2"/>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3,250,176.05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3,250,176.05</w:t>
            </w: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、社会保险费</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115,922.38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9,241,980.57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9,140,914.37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216,988.58</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66"/>
              <w:jc w:val="right"/>
              <w:rPr>
                <w:rFonts w:ascii="宋体" w:hAnsi="宋体" w:cs="宋体" w:eastAsia="宋体" w:hint="default"/>
                <w:sz w:val="18"/>
                <w:szCs w:val="18"/>
              </w:rPr>
            </w:pPr>
            <w:r>
              <w:rPr>
                <w:rFonts w:ascii="宋体" w:hAnsi="宋体" w:cs="宋体" w:eastAsia="宋体" w:hint="default"/>
                <w:sz w:val="18"/>
                <w:szCs w:val="18"/>
              </w:rPr>
              <w:t>其中：医疗保险费</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104,854.85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8,055,865.98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7,962,701.41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198,019.42</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65"/>
              <w:jc w:val="right"/>
              <w:rPr>
                <w:rFonts w:ascii="宋体" w:hAnsi="宋体" w:cs="宋体" w:eastAsia="宋体" w:hint="default"/>
                <w:sz w:val="18"/>
                <w:szCs w:val="18"/>
              </w:rPr>
            </w:pPr>
            <w:r>
              <w:rPr>
                <w:rFonts w:ascii="宋体" w:hAnsi="宋体" w:cs="宋体" w:eastAsia="宋体" w:hint="default"/>
                <w:sz w:val="18"/>
                <w:szCs w:val="18"/>
              </w:rPr>
              <w:t>工伤保险费</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w w:val="95"/>
                <w:sz w:val="18"/>
              </w:rPr>
              <w:t>2,117.64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375,412.28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374,770.92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2,759.00</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65"/>
              <w:jc w:val="right"/>
              <w:rPr>
                <w:rFonts w:ascii="宋体" w:hAnsi="宋体" w:cs="宋体" w:eastAsia="宋体" w:hint="default"/>
                <w:sz w:val="18"/>
                <w:szCs w:val="18"/>
              </w:rPr>
            </w:pPr>
            <w:r>
              <w:rPr>
                <w:rFonts w:ascii="宋体" w:hAnsi="宋体" w:cs="宋体" w:eastAsia="宋体" w:hint="default"/>
                <w:sz w:val="18"/>
                <w:szCs w:val="18"/>
              </w:rPr>
              <w:t>生育保险费</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8,949.89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810,702.31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803,442.04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16,210.16</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、住房公积金</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44,163.16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9,150,986.34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9,183,390.34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11,759.16</w:t>
            </w:r>
          </w:p>
        </w:tc>
      </w:tr>
      <w:tr>
        <w:trPr>
          <w:trHeight w:val="403"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left="11" w:right="0"/>
              <w:jc w:val="left"/>
              <w:rPr>
                <w:rFonts w:ascii="宋体" w:hAnsi="宋体" w:cs="宋体" w:eastAsia="宋体" w:hint="default"/>
                <w:sz w:val="18"/>
                <w:szCs w:val="18"/>
              </w:rPr>
            </w:pPr>
            <w:r>
              <w:rPr>
                <w:rFonts w:ascii="Times New Roman" w:hAnsi="Times New Roman" w:cs="Times New Roman" w:eastAsia="Times New Roman" w:hint="default"/>
                <w:spacing w:val="-4"/>
                <w:sz w:val="18"/>
                <w:szCs w:val="18"/>
              </w:rPr>
              <w:t>5</w:t>
            </w:r>
            <w:r>
              <w:rPr>
                <w:rFonts w:ascii="宋体" w:hAnsi="宋体" w:cs="宋体" w:eastAsia="宋体" w:hint="default"/>
                <w:spacing w:val="-4"/>
                <w:sz w:val="18"/>
                <w:szCs w:val="18"/>
              </w:rPr>
              <w:t>、工会经费和职工教育</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54,231.88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2,975,220.91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2,859,933.26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169,519.53</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912"/>
        <w:gridCol w:w="1917"/>
        <w:gridCol w:w="1914"/>
        <w:gridCol w:w="1914"/>
        <w:gridCol w:w="1914"/>
      </w:tblGrid>
      <w:tr>
        <w:trPr>
          <w:trHeight w:val="36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经费</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55" w:right="0"/>
              <w:jc w:val="left"/>
              <w:rPr>
                <w:rFonts w:ascii="Times New Roman" w:hAnsi="Times New Roman" w:cs="Times New Roman" w:eastAsia="Times New Roman" w:hint="default"/>
                <w:sz w:val="18"/>
                <w:szCs w:val="18"/>
              </w:rPr>
            </w:pPr>
            <w:r>
              <w:rPr>
                <w:rFonts w:ascii="Times New Roman"/>
                <w:sz w:val="18"/>
              </w:rPr>
              <w:t>11,794,872.46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56" w:right="0"/>
              <w:jc w:val="left"/>
              <w:rPr>
                <w:rFonts w:ascii="Times New Roman" w:hAnsi="Times New Roman" w:cs="Times New Roman" w:eastAsia="Times New Roman" w:hint="default"/>
                <w:sz w:val="18"/>
                <w:szCs w:val="18"/>
              </w:rPr>
            </w:pPr>
            <w:r>
              <w:rPr>
                <w:rFonts w:ascii="Times New Roman"/>
                <w:sz w:val="18"/>
              </w:rPr>
              <w:t>227,044,845.64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56" w:right="0"/>
              <w:jc w:val="left"/>
              <w:rPr>
                <w:rFonts w:ascii="Times New Roman" w:hAnsi="Times New Roman" w:cs="Times New Roman" w:eastAsia="Times New Roman" w:hint="default"/>
                <w:sz w:val="18"/>
                <w:szCs w:val="18"/>
              </w:rPr>
            </w:pPr>
            <w:r>
              <w:rPr>
                <w:rFonts w:ascii="Times New Roman"/>
                <w:sz w:val="18"/>
              </w:rPr>
              <w:t>224,350,558.55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45" w:right="0"/>
              <w:jc w:val="left"/>
              <w:rPr>
                <w:rFonts w:ascii="Times New Roman" w:hAnsi="Times New Roman" w:cs="Times New Roman" w:eastAsia="Times New Roman" w:hint="default"/>
                <w:sz w:val="18"/>
                <w:szCs w:val="18"/>
              </w:rPr>
            </w:pPr>
            <w:r>
              <w:rPr>
                <w:rFonts w:ascii="Times New Roman"/>
                <w:sz w:val="18"/>
              </w:rPr>
              <w:t>14,489,159.55</w:t>
            </w:r>
          </w:p>
        </w:tc>
      </w:tr>
    </w:tbl>
    <w:p>
      <w:pPr>
        <w:spacing w:line="240" w:lineRule="auto" w:before="2"/>
        <w:rPr>
          <w:rFonts w:ascii="宋体" w:hAnsi="宋体" w:cs="宋体" w:eastAsia="宋体" w:hint="default"/>
          <w:sz w:val="19"/>
          <w:szCs w:val="19"/>
        </w:rPr>
      </w:pPr>
    </w:p>
    <w:p>
      <w:pPr>
        <w:pStyle w:val="Heading4"/>
        <w:spacing w:line="240" w:lineRule="auto" w:before="35"/>
        <w:ind w:right="1117"/>
        <w:jc w:val="left"/>
        <w:rPr>
          <w:b w:val="0"/>
          <w:bCs w:val="0"/>
        </w:rPr>
      </w:pPr>
      <w:bookmarkStart w:name="（3）设定提存计划列示" w:id="292"/>
      <w:bookmarkEnd w:id="292"/>
      <w:r>
        <w:rPr>
          <w:b w:val="0"/>
          <w:bCs w:val="0"/>
        </w:rPr>
      </w:r>
      <w:r>
        <w:rPr/>
        <w:t>（</w:t>
      </w:r>
      <w:r>
        <w:rPr>
          <w:rFonts w:ascii="Times New Roman" w:hAnsi="Times New Roman" w:cs="Times New Roman" w:eastAsia="Times New Roman" w:hint="default"/>
        </w:rPr>
        <w:t>3</w:t>
      </w:r>
      <w:r>
        <w:rPr/>
        <w:t>）设定提存计划列示</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1889"/>
        <w:gridCol w:w="1928"/>
        <w:gridCol w:w="1914"/>
        <w:gridCol w:w="1914"/>
        <w:gridCol w:w="1914"/>
      </w:tblGrid>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605"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、基本养老保险</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246,350.93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17,663,310.28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17,523,062.31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386,598.90</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、失业保险费</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14,755.41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606,099.24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606,328.74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14,525.91</w:t>
            </w:r>
          </w:p>
        </w:tc>
      </w:tr>
      <w:tr>
        <w:trPr>
          <w:trHeight w:val="403"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261,106.34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18,269,409.52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18,129,391.05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401,124.81</w:t>
            </w:r>
          </w:p>
        </w:tc>
      </w:tr>
    </w:tbl>
    <w:p>
      <w:pPr>
        <w:spacing w:before="51"/>
        <w:ind w:left="154" w:right="1117"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0"/>
        <w:rPr>
          <w:rFonts w:ascii="宋体" w:hAnsi="宋体" w:cs="宋体" w:eastAsia="宋体" w:hint="default"/>
          <w:sz w:val="26"/>
          <w:szCs w:val="26"/>
        </w:rPr>
      </w:pPr>
    </w:p>
    <w:p>
      <w:pPr>
        <w:pStyle w:val="Heading4"/>
        <w:spacing w:line="240" w:lineRule="auto"/>
        <w:ind w:right="1117"/>
        <w:jc w:val="left"/>
        <w:rPr>
          <w:b w:val="0"/>
          <w:bCs w:val="0"/>
        </w:rPr>
      </w:pPr>
      <w:bookmarkStart w:name="22、应交税费" w:id="293"/>
      <w:bookmarkEnd w:id="293"/>
      <w:r>
        <w:rPr>
          <w:b w:val="0"/>
          <w:bCs w:val="0"/>
        </w:rPr>
      </w:r>
      <w:r>
        <w:rPr>
          <w:rFonts w:ascii="Times New Roman" w:hAnsi="Times New Roman" w:cs="Times New Roman" w:eastAsia="Times New Roman" w:hint="default"/>
        </w:rPr>
        <w:t>22</w:t>
      </w:r>
      <w:r>
        <w:rPr/>
        <w:t>、应交税费</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增值税</w:t>
            </w:r>
          </w:p>
        </w:tc>
        <w:tc>
          <w:tcPr>
            <w:tcW w:w="319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31,979,636.18</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24,383,669.51</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企业所得税</w:t>
            </w:r>
          </w:p>
        </w:tc>
        <w:tc>
          <w:tcPr>
            <w:tcW w:w="319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10,857,348.63</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13,587,574.66</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个人所得税</w:t>
            </w:r>
          </w:p>
        </w:tc>
        <w:tc>
          <w:tcPr>
            <w:tcW w:w="319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749,855.71</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818,362.59</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2"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319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2,200,256.00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1,573,824.43</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房产税</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346,572.61</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346,572.61</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918,921.11</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681,049.78</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地方教育附加</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612,614.07</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459,809.14</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土地使用税</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38,637.30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38,637.30</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印花税</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60,521.86</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44,669.16</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47,764,363.47</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41,934,169.18</w:t>
            </w:r>
          </w:p>
        </w:tc>
      </w:tr>
    </w:tbl>
    <w:p>
      <w:pPr>
        <w:spacing w:before="51"/>
        <w:ind w:left="154" w:right="1117"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0"/>
        <w:rPr>
          <w:rFonts w:ascii="宋体" w:hAnsi="宋体" w:cs="宋体" w:eastAsia="宋体" w:hint="default"/>
          <w:sz w:val="26"/>
          <w:szCs w:val="26"/>
        </w:rPr>
      </w:pPr>
    </w:p>
    <w:p>
      <w:pPr>
        <w:pStyle w:val="Heading4"/>
        <w:spacing w:line="240" w:lineRule="auto"/>
        <w:ind w:right="1117"/>
        <w:jc w:val="left"/>
        <w:rPr>
          <w:b w:val="0"/>
          <w:bCs w:val="0"/>
        </w:rPr>
      </w:pPr>
      <w:bookmarkStart w:name="23、其他应付款" w:id="294"/>
      <w:bookmarkEnd w:id="294"/>
      <w:r>
        <w:rPr>
          <w:b w:val="0"/>
          <w:bCs w:val="0"/>
        </w:rPr>
      </w:r>
      <w:r>
        <w:rPr>
          <w:rFonts w:ascii="Times New Roman" w:hAnsi="Times New Roman" w:cs="Times New Roman" w:eastAsia="Times New Roman" w:hint="default"/>
        </w:rPr>
        <w:t>23</w:t>
      </w:r>
      <w:r>
        <w:rPr/>
        <w:t>、其他应付款</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4"/>
        <w:gridCol w:w="3206"/>
        <w:gridCol w:w="3189"/>
      </w:tblGrid>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3206" w:type="dxa"/>
            <w:tcBorders>
              <w:top w:val="single" w:sz="4" w:space="0" w:color="000000"/>
              <w:left w:val="single" w:sz="13" w:space="0" w:color="D2D2D2"/>
              <w:bottom w:val="single" w:sz="4" w:space="0" w:color="000000"/>
              <w:right w:val="single" w:sz="4" w:space="0" w:color="000000"/>
            </w:tcBorders>
          </w:tcPr>
          <w:p>
            <w:pP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317,324.70</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8,165,131.37</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80,990,373.87</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8,165,131.37</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81,307,698.57</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79" w:top="1060" w:bottom="1160" w:left="980" w:right="0"/>
        </w:sectPr>
      </w:pPr>
    </w:p>
    <w:p>
      <w:pPr>
        <w:spacing w:line="240" w:lineRule="auto" w:before="10"/>
        <w:rPr>
          <w:rFonts w:ascii="宋体" w:hAnsi="宋体" w:cs="宋体" w:eastAsia="宋体" w:hint="default"/>
          <w:sz w:val="24"/>
          <w:szCs w:val="24"/>
        </w:rPr>
      </w:pPr>
    </w:p>
    <w:p>
      <w:pPr>
        <w:pStyle w:val="Heading4"/>
        <w:spacing w:line="240" w:lineRule="auto" w:before="35"/>
        <w:ind w:right="1117"/>
        <w:jc w:val="left"/>
        <w:rPr>
          <w:b w:val="0"/>
          <w:bCs w:val="0"/>
        </w:rPr>
      </w:pPr>
      <w:bookmarkStart w:name="（1）应付利息" w:id="295"/>
      <w:bookmarkEnd w:id="295"/>
      <w:r>
        <w:rPr>
          <w:b w:val="0"/>
          <w:bCs w:val="0"/>
        </w:rPr>
      </w:r>
      <w:r>
        <w:rPr/>
        <w:t>（</w:t>
      </w:r>
      <w:r>
        <w:rPr>
          <w:rFonts w:ascii="Times New Roman" w:hAnsi="Times New Roman" w:cs="Times New Roman" w:eastAsia="Times New Roman" w:hint="default"/>
        </w:rPr>
        <w:t>1</w:t>
      </w:r>
      <w:r>
        <w:rPr/>
        <w:t>）应付利息</w:t>
      </w:r>
      <w:r>
        <w:rPr>
          <w:b w:val="0"/>
          <w:bCs w:val="0"/>
        </w:rPr>
      </w:r>
    </w:p>
    <w:p>
      <w:pPr>
        <w:spacing w:line="240" w:lineRule="auto" w:before="8"/>
        <w:rPr>
          <w:rFonts w:ascii="宋体" w:hAnsi="宋体" w:cs="宋体" w:eastAsia="宋体" w:hint="default"/>
          <w:b/>
          <w:bCs/>
          <w:sz w:val="26"/>
          <w:szCs w:val="26"/>
        </w:rPr>
      </w:pPr>
    </w:p>
    <w:p>
      <w:pPr>
        <w:spacing w:line="357" w:lineRule="auto" w:before="0"/>
        <w:ind w:left="154" w:right="8052" w:firstLine="0"/>
        <w:jc w:val="left"/>
        <w:rPr>
          <w:rFonts w:ascii="宋体" w:hAnsi="宋体" w:cs="宋体" w:eastAsia="宋体" w:hint="default"/>
          <w:sz w:val="18"/>
          <w:szCs w:val="18"/>
        </w:rPr>
      </w:pPr>
      <w:r>
        <w:rPr>
          <w:rFonts w:ascii="宋体" w:hAnsi="宋体" w:cs="宋体" w:eastAsia="宋体" w:hint="default"/>
          <w:sz w:val="18"/>
          <w:szCs w:val="18"/>
        </w:rPr>
        <w:t>重要的已逾期未支付的利息情况： 其他说明：</w:t>
      </w:r>
    </w:p>
    <w:p>
      <w:pPr>
        <w:spacing w:line="240" w:lineRule="auto" w:before="1"/>
        <w:rPr>
          <w:rFonts w:ascii="宋体" w:hAnsi="宋体" w:cs="宋体" w:eastAsia="宋体" w:hint="default"/>
          <w:sz w:val="20"/>
          <w:szCs w:val="20"/>
        </w:rPr>
      </w:pPr>
    </w:p>
    <w:p>
      <w:pPr>
        <w:pStyle w:val="Heading4"/>
        <w:spacing w:line="240" w:lineRule="auto"/>
        <w:ind w:right="1117"/>
        <w:jc w:val="left"/>
        <w:rPr>
          <w:b w:val="0"/>
          <w:bCs w:val="0"/>
        </w:rPr>
      </w:pPr>
      <w:bookmarkStart w:name="（2）应付股利" w:id="296"/>
      <w:bookmarkEnd w:id="296"/>
      <w:r>
        <w:rPr>
          <w:b w:val="0"/>
          <w:bCs w:val="0"/>
        </w:rPr>
      </w:r>
      <w:r>
        <w:rPr/>
        <w:t>（</w:t>
      </w:r>
      <w:r>
        <w:rPr>
          <w:rFonts w:ascii="Times New Roman" w:hAnsi="Times New Roman" w:cs="Times New Roman" w:eastAsia="Times New Roman" w:hint="default"/>
        </w:rPr>
        <w:t>2</w:t>
      </w:r>
      <w:r>
        <w:rPr/>
        <w:t>）应付股利</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4"/>
        <w:gridCol w:w="3206"/>
        <w:gridCol w:w="3189"/>
      </w:tblGrid>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普通股股利</w:t>
            </w:r>
          </w:p>
        </w:tc>
        <w:tc>
          <w:tcPr>
            <w:tcW w:w="3206" w:type="dxa"/>
            <w:tcBorders>
              <w:top w:val="single" w:sz="4" w:space="0" w:color="000000"/>
              <w:left w:val="single" w:sz="13" w:space="0" w:color="D2D2D2"/>
              <w:bottom w:val="single" w:sz="4" w:space="0" w:color="000000"/>
              <w:right w:val="single" w:sz="4" w:space="0" w:color="000000"/>
            </w:tcBorders>
          </w:tcPr>
          <w:p>
            <w:pP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317,324.70</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6" w:type="dxa"/>
            <w:tcBorders>
              <w:top w:val="single" w:sz="4" w:space="0" w:color="000000"/>
              <w:left w:val="single" w:sz="13" w:space="0" w:color="D2D2D2"/>
              <w:bottom w:val="single" w:sz="4" w:space="0" w:color="000000"/>
              <w:right w:val="single" w:sz="4" w:space="0" w:color="000000"/>
            </w:tcBorders>
          </w:tcPr>
          <w:p>
            <w:pP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317,324.70</w:t>
            </w:r>
          </w:p>
        </w:tc>
      </w:tr>
    </w:tbl>
    <w:p>
      <w:pPr>
        <w:spacing w:before="51"/>
        <w:ind w:left="154" w:right="1117" w:firstLine="0"/>
        <w:jc w:val="left"/>
        <w:rPr>
          <w:rFonts w:ascii="宋体" w:hAnsi="宋体" w:cs="宋体" w:eastAsia="宋体" w:hint="default"/>
          <w:sz w:val="18"/>
          <w:szCs w:val="18"/>
        </w:rPr>
      </w:pPr>
      <w:r>
        <w:rPr>
          <w:rFonts w:ascii="宋体" w:hAnsi="宋体" w:cs="宋体" w:eastAsia="宋体" w:hint="default"/>
          <w:sz w:val="18"/>
          <w:szCs w:val="18"/>
        </w:rPr>
        <w:t>其他说明，包括重要的超过</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年未支付的应付股利，应披露未支付原因：</w:t>
      </w:r>
    </w:p>
    <w:p>
      <w:pPr>
        <w:spacing w:line="240" w:lineRule="auto" w:before="10"/>
        <w:rPr>
          <w:rFonts w:ascii="宋体" w:hAnsi="宋体" w:cs="宋体" w:eastAsia="宋体" w:hint="default"/>
          <w:sz w:val="25"/>
          <w:szCs w:val="25"/>
        </w:rPr>
      </w:pPr>
    </w:p>
    <w:p>
      <w:pPr>
        <w:pStyle w:val="Heading4"/>
        <w:spacing w:line="240" w:lineRule="auto"/>
        <w:ind w:right="1117"/>
        <w:jc w:val="left"/>
        <w:rPr>
          <w:b w:val="0"/>
          <w:bCs w:val="0"/>
        </w:rPr>
      </w:pPr>
      <w:bookmarkStart w:name="（3）其他应付款" w:id="297"/>
      <w:bookmarkEnd w:id="297"/>
      <w:r>
        <w:rPr>
          <w:b w:val="0"/>
          <w:bCs w:val="0"/>
        </w:rPr>
      </w:r>
      <w:r>
        <w:rPr/>
        <w:t>（</w:t>
      </w:r>
      <w:r>
        <w:rPr>
          <w:rFonts w:ascii="Times New Roman" w:hAnsi="Times New Roman" w:cs="Times New Roman" w:eastAsia="Times New Roman" w:hint="default"/>
        </w:rPr>
        <w:t>3</w:t>
      </w:r>
      <w:r>
        <w:rPr/>
        <w:t>）其他应付款</w:t>
      </w:r>
      <w:r>
        <w:rPr>
          <w:b w:val="0"/>
          <w:bCs w:val="0"/>
        </w:rPr>
      </w:r>
    </w:p>
    <w:p>
      <w:pPr>
        <w:spacing w:line="240" w:lineRule="auto" w:before="4"/>
        <w:rPr>
          <w:rFonts w:ascii="宋体" w:hAnsi="宋体" w:cs="宋体" w:eastAsia="宋体" w:hint="default"/>
          <w:b/>
          <w:bCs/>
          <w:sz w:val="23"/>
          <w:szCs w:val="23"/>
        </w:rPr>
      </w:pPr>
    </w:p>
    <w:p>
      <w:pPr>
        <w:spacing w:before="44"/>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按款项性质列示其他应付款</w:t>
      </w:r>
    </w:p>
    <w:p>
      <w:pPr>
        <w:spacing w:before="102"/>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应付保证金</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2,262,263.52</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727,636.00</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应付代垫款项</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5,205,264.44</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2,077,701.46</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2" w:right="0"/>
              <w:jc w:val="left"/>
              <w:rPr>
                <w:rFonts w:ascii="宋体" w:hAnsi="宋体" w:cs="宋体" w:eastAsia="宋体" w:hint="default"/>
                <w:sz w:val="18"/>
                <w:szCs w:val="18"/>
              </w:rPr>
            </w:pPr>
            <w:r>
              <w:rPr>
                <w:rFonts w:ascii="宋体" w:hAnsi="宋体" w:cs="宋体" w:eastAsia="宋体" w:hint="default"/>
                <w:sz w:val="18"/>
                <w:szCs w:val="18"/>
              </w:rPr>
              <w:t>待付并购款项</w:t>
            </w:r>
          </w:p>
        </w:tc>
        <w:tc>
          <w:tcPr>
            <w:tcW w:w="3194" w:type="dxa"/>
            <w:tcBorders>
              <w:top w:val="single" w:sz="4" w:space="0" w:color="000000"/>
              <w:left w:val="single" w:sz="4" w:space="0" w:color="000000"/>
              <w:bottom w:val="single" w:sz="4" w:space="0" w:color="000000"/>
              <w:right w:val="single" w:sz="4" w:space="0" w:color="000000"/>
            </w:tcBorders>
          </w:tcPr>
          <w:p>
            <w:pP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8,000,000.00</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股权激励回购义务</w:t>
            </w:r>
          </w:p>
        </w:tc>
        <w:tc>
          <w:tcPr>
            <w:tcW w:w="3194" w:type="dxa"/>
            <w:tcBorders>
              <w:top w:val="single" w:sz="4" w:space="0" w:color="000000"/>
              <w:left w:val="single" w:sz="4" w:space="0" w:color="000000"/>
              <w:bottom w:val="single" w:sz="4" w:space="0" w:color="000000"/>
              <w:right w:val="single" w:sz="4" w:space="0" w:color="000000"/>
            </w:tcBorders>
          </w:tcPr>
          <w:p>
            <w:pP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69,528,553.80</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697,603.41</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656,482.61</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8,165,131.37</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80,990,373.87</w:t>
            </w:r>
          </w:p>
        </w:tc>
      </w:tr>
    </w:tbl>
    <w:p>
      <w:pPr>
        <w:spacing w:line="338" w:lineRule="auto" w:before="51"/>
        <w:ind w:left="154" w:right="769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账龄超过</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年的重要其他应付款</w:t>
      </w:r>
      <w:r>
        <w:rPr>
          <w:rFonts w:ascii="宋体" w:hAnsi="宋体" w:cs="宋体" w:eastAsia="宋体" w:hint="default"/>
          <w:w w:val="99"/>
          <w:sz w:val="18"/>
          <w:szCs w:val="18"/>
        </w:rPr>
        <w:t> </w:t>
      </w:r>
      <w:r>
        <w:rPr>
          <w:rFonts w:ascii="宋体" w:hAnsi="宋体" w:cs="宋体" w:eastAsia="宋体" w:hint="default"/>
          <w:sz w:val="18"/>
          <w:szCs w:val="18"/>
        </w:rPr>
        <w:t>其他说明</w:t>
      </w:r>
    </w:p>
    <w:p>
      <w:pPr>
        <w:spacing w:line="240" w:lineRule="auto" w:before="2"/>
        <w:rPr>
          <w:rFonts w:ascii="宋体" w:hAnsi="宋体" w:cs="宋体" w:eastAsia="宋体" w:hint="default"/>
          <w:sz w:val="21"/>
          <w:szCs w:val="21"/>
        </w:rPr>
      </w:pPr>
    </w:p>
    <w:p>
      <w:pPr>
        <w:pStyle w:val="Heading4"/>
        <w:spacing w:line="240" w:lineRule="auto"/>
        <w:ind w:right="1117"/>
        <w:jc w:val="left"/>
        <w:rPr>
          <w:b w:val="0"/>
          <w:bCs w:val="0"/>
        </w:rPr>
      </w:pPr>
      <w:bookmarkStart w:name="24、一年内到期的非流动负债" w:id="298"/>
      <w:bookmarkEnd w:id="298"/>
      <w:r>
        <w:rPr>
          <w:b w:val="0"/>
          <w:bCs w:val="0"/>
        </w:rPr>
      </w:r>
      <w:r>
        <w:rPr>
          <w:rFonts w:ascii="Times New Roman" w:hAnsi="Times New Roman" w:cs="Times New Roman" w:eastAsia="Times New Roman" w:hint="default"/>
        </w:rPr>
        <w:t>24</w:t>
      </w:r>
      <w:r>
        <w:rPr/>
        <w:t>、一年内到期的非流动负债</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4"/>
        <w:gridCol w:w="3206"/>
        <w:gridCol w:w="3189"/>
      </w:tblGrid>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一年内到期的长期借款</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25,278,400.00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46,053,400.01</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25,278,400.00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46,053,400.01</w:t>
            </w:r>
          </w:p>
        </w:tc>
      </w:tr>
    </w:tbl>
    <w:p>
      <w:pPr>
        <w:spacing w:before="51"/>
        <w:ind w:left="154" w:right="1117"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pStyle w:val="BodyText"/>
        <w:spacing w:line="240" w:lineRule="auto" w:before="90"/>
        <w:ind w:left="868" w:right="1117"/>
        <w:jc w:val="left"/>
      </w:pPr>
      <w:r>
        <w:rPr/>
        <w:t>详见附注长期借款。</w:t>
      </w:r>
    </w:p>
    <w:p>
      <w:pPr>
        <w:spacing w:after="0" w:line="240" w:lineRule="auto"/>
        <w:jc w:val="left"/>
        <w:sectPr>
          <w:pgSz w:w="11910" w:h="16840"/>
          <w:pgMar w:header="877" w:footer="979" w:top="1060" w:bottom="1160" w:left="980" w:right="0"/>
        </w:sectPr>
      </w:pPr>
    </w:p>
    <w:p>
      <w:pPr>
        <w:spacing w:line="240" w:lineRule="auto" w:before="10"/>
        <w:rPr>
          <w:rFonts w:ascii="宋体" w:hAnsi="宋体" w:cs="宋体" w:eastAsia="宋体" w:hint="default"/>
          <w:sz w:val="24"/>
          <w:szCs w:val="24"/>
        </w:rPr>
      </w:pPr>
    </w:p>
    <w:p>
      <w:pPr>
        <w:pStyle w:val="Heading4"/>
        <w:spacing w:line="240" w:lineRule="auto" w:before="35"/>
        <w:ind w:right="1117"/>
        <w:jc w:val="left"/>
        <w:rPr>
          <w:b w:val="0"/>
          <w:bCs w:val="0"/>
        </w:rPr>
      </w:pPr>
      <w:bookmarkStart w:name="25、长期借款" w:id="299"/>
      <w:bookmarkEnd w:id="299"/>
      <w:r>
        <w:rPr>
          <w:b w:val="0"/>
          <w:bCs w:val="0"/>
        </w:rPr>
      </w:r>
      <w:r>
        <w:rPr>
          <w:rFonts w:ascii="Times New Roman" w:hAnsi="Times New Roman" w:cs="Times New Roman" w:eastAsia="Times New Roman" w:hint="default"/>
        </w:rPr>
        <w:t>25</w:t>
      </w:r>
      <w:r>
        <w:rPr/>
        <w:t>、长期借款</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1117"/>
        <w:jc w:val="left"/>
        <w:rPr>
          <w:b w:val="0"/>
          <w:bCs w:val="0"/>
        </w:rPr>
      </w:pPr>
      <w:bookmarkStart w:name="（1）长期借款分类" w:id="300"/>
      <w:bookmarkEnd w:id="300"/>
      <w:r>
        <w:rPr>
          <w:b w:val="0"/>
          <w:bCs w:val="0"/>
        </w:rPr>
      </w:r>
      <w:r>
        <w:rPr/>
        <w:t>（</w:t>
      </w:r>
      <w:r>
        <w:rPr>
          <w:rFonts w:ascii="Times New Roman" w:hAnsi="Times New Roman" w:cs="Times New Roman" w:eastAsia="Times New Roman" w:hint="default"/>
        </w:rPr>
        <w:t>1</w:t>
      </w:r>
      <w:r>
        <w:rPr/>
        <w:t>）长期借款分类</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164"/>
        <w:gridCol w:w="3206"/>
        <w:gridCol w:w="3189"/>
      </w:tblGrid>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质押借款</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43,871,500.00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69,149,900.00</w:t>
            </w:r>
          </w:p>
        </w:tc>
      </w:tr>
      <w:tr>
        <w:trPr>
          <w:trHeight w:val="403"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43,871,500.00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69,149,900.00</w:t>
            </w:r>
          </w:p>
        </w:tc>
      </w:tr>
    </w:tbl>
    <w:p>
      <w:pPr>
        <w:spacing w:before="51"/>
        <w:ind w:left="154" w:right="1117" w:firstLine="0"/>
        <w:jc w:val="left"/>
        <w:rPr>
          <w:rFonts w:ascii="宋体" w:hAnsi="宋体" w:cs="宋体" w:eastAsia="宋体" w:hint="default"/>
          <w:sz w:val="18"/>
          <w:szCs w:val="18"/>
        </w:rPr>
      </w:pPr>
      <w:r>
        <w:rPr>
          <w:rFonts w:ascii="宋体" w:hAnsi="宋体" w:cs="宋体" w:eastAsia="宋体" w:hint="default"/>
          <w:sz w:val="18"/>
          <w:szCs w:val="18"/>
        </w:rPr>
        <w:t>长期借款分类的说明：</w:t>
      </w:r>
    </w:p>
    <w:p>
      <w:pPr>
        <w:spacing w:line="240" w:lineRule="auto" w:before="10"/>
        <w:rPr>
          <w:rFonts w:ascii="宋体" w:hAnsi="宋体" w:cs="宋体" w:eastAsia="宋体" w:hint="default"/>
          <w:sz w:val="12"/>
          <w:szCs w:val="12"/>
        </w:rPr>
      </w:pPr>
    </w:p>
    <w:p>
      <w:pPr>
        <w:pStyle w:val="BodyText"/>
        <w:spacing w:line="386" w:lineRule="auto" w:before="0"/>
        <w:ind w:right="0" w:firstLine="423"/>
        <w:jc w:val="left"/>
      </w:pPr>
      <w:r>
        <w:rPr>
          <w:rFonts w:ascii="Times New Roman" w:hAnsi="Times New Roman" w:cs="Times New Roman" w:eastAsia="Times New Roman" w:hint="default"/>
        </w:rPr>
        <w:t>1</w:t>
      </w:r>
      <w:r>
        <w:rPr/>
        <w:t>、</w:t>
      </w:r>
      <w:r>
        <w:rPr>
          <w:rFonts w:ascii="Times New Roman" w:hAnsi="Times New Roman" w:cs="Times New Roman" w:eastAsia="Times New Roman" w:hint="default"/>
        </w:rPr>
        <w:t>2015</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25</w:t>
      </w:r>
      <w:r>
        <w:rPr/>
        <w:t>日，公司以子公司上海树维信息科技有限公司</w:t>
      </w:r>
      <w:r>
        <w:rPr>
          <w:rFonts w:ascii="Times New Roman" w:hAnsi="Times New Roman" w:cs="Times New Roman" w:eastAsia="Times New Roman" w:hint="default"/>
        </w:rPr>
        <w:t>100%</w:t>
      </w:r>
      <w:r>
        <w:rPr/>
        <w:t>股权作为质押与招商银行股份有 限公司郑州分行（以下简称</w:t>
      </w:r>
      <w:r>
        <w:rPr>
          <w:rFonts w:ascii="Times New Roman" w:hAnsi="Times New Roman" w:cs="Times New Roman" w:eastAsia="Times New Roman" w:hint="default"/>
        </w:rPr>
        <w:t>“</w:t>
      </w:r>
      <w:r>
        <w:rPr/>
        <w:t>招商银行郑州分行</w:t>
      </w:r>
      <w:r>
        <w:rPr>
          <w:rFonts w:ascii="Times New Roman" w:hAnsi="Times New Roman" w:cs="Times New Roman" w:eastAsia="Times New Roman" w:hint="default"/>
        </w:rPr>
        <w:t>”</w:t>
      </w:r>
      <w:r>
        <w:rPr/>
        <w:t>）于签订了编号为</w:t>
      </w:r>
      <w:r>
        <w:rPr>
          <w:rFonts w:ascii="Times New Roman" w:hAnsi="Times New Roman" w:cs="Times New Roman" w:eastAsia="Times New Roman" w:hint="default"/>
        </w:rPr>
        <w:t>“2015</w:t>
      </w:r>
      <w:r>
        <w:rPr/>
        <w:t>年</w:t>
      </w:r>
      <w:r>
        <w:rPr>
          <w:rFonts w:ascii="Times New Roman" w:hAnsi="Times New Roman" w:cs="Times New Roman" w:eastAsia="Times New Roman" w:hint="default"/>
        </w:rPr>
        <w:t>3725</w:t>
      </w:r>
      <w:r>
        <w:rPr/>
        <w:t>信字第</w:t>
      </w:r>
      <w:r>
        <w:rPr>
          <w:rFonts w:ascii="Times New Roman" w:hAnsi="Times New Roman" w:cs="Times New Roman" w:eastAsia="Times New Roman" w:hint="default"/>
        </w:rPr>
        <w:t>042</w:t>
      </w:r>
      <w:r>
        <w:rPr/>
        <w:t>号</w:t>
      </w:r>
      <w:r>
        <w:rPr>
          <w:rFonts w:ascii="Times New Roman" w:hAnsi="Times New Roman" w:cs="Times New Roman" w:eastAsia="Times New Roman" w:hint="default"/>
        </w:rPr>
        <w:t>”</w:t>
      </w:r>
      <w:r>
        <w:rPr/>
        <w:t>的授信协议，</w:t>
      </w:r>
      <w:r>
        <w:rPr>
          <w:spacing w:val="-87"/>
        </w:rPr>
        <w:t> </w:t>
      </w:r>
      <w:r>
        <w:rPr>
          <w:spacing w:val="-87"/>
        </w:rPr>
      </w:r>
      <w:r>
        <w:rPr>
          <w:spacing w:val="-2"/>
        </w:rPr>
        <w:t>授信额度</w:t>
      </w:r>
      <w:r>
        <w:rPr>
          <w:rFonts w:ascii="Times New Roman" w:hAnsi="Times New Roman" w:cs="Times New Roman" w:eastAsia="Times New Roman" w:hint="default"/>
          <w:spacing w:val="-2"/>
        </w:rPr>
        <w:t>9,000</w:t>
      </w:r>
      <w:r>
        <w:rPr>
          <w:spacing w:val="-2"/>
        </w:rPr>
        <w:t>万元，授信期间</w:t>
      </w:r>
      <w:r>
        <w:rPr>
          <w:rFonts w:ascii="Times New Roman" w:hAnsi="Times New Roman" w:cs="Times New Roman" w:eastAsia="Times New Roman" w:hint="default"/>
          <w:spacing w:val="-2"/>
        </w:rPr>
        <w:t>36</w:t>
      </w:r>
      <w:r>
        <w:rPr>
          <w:spacing w:val="-2"/>
        </w:rPr>
        <w:t>个月，自</w:t>
      </w:r>
      <w:r>
        <w:rPr>
          <w:rFonts w:ascii="Times New Roman" w:hAnsi="Times New Roman" w:cs="Times New Roman" w:eastAsia="Times New Roman" w:hint="default"/>
          <w:spacing w:val="-2"/>
        </w:rPr>
        <w:t>2015</w:t>
      </w:r>
      <w:r>
        <w:rPr>
          <w:spacing w:val="-2"/>
        </w:rPr>
        <w:t>年</w:t>
      </w:r>
      <w:r>
        <w:rPr>
          <w:rFonts w:ascii="Times New Roman" w:hAnsi="Times New Roman" w:cs="Times New Roman" w:eastAsia="Times New Roman" w:hint="default"/>
          <w:spacing w:val="-2"/>
        </w:rPr>
        <w:t>12</w:t>
      </w:r>
      <w:r>
        <w:rPr>
          <w:spacing w:val="-2"/>
        </w:rPr>
        <w:t>月</w:t>
      </w:r>
      <w:r>
        <w:rPr>
          <w:rFonts w:ascii="Times New Roman" w:hAnsi="Times New Roman" w:cs="Times New Roman" w:eastAsia="Times New Roman" w:hint="default"/>
          <w:spacing w:val="-2"/>
        </w:rPr>
        <w:t>25</w:t>
      </w:r>
      <w:r>
        <w:rPr>
          <w:spacing w:val="-2"/>
        </w:rPr>
        <w:t>日至</w:t>
      </w:r>
      <w:r>
        <w:rPr>
          <w:rFonts w:ascii="Times New Roman" w:hAnsi="Times New Roman" w:cs="Times New Roman" w:eastAsia="Times New Roman" w:hint="default"/>
          <w:spacing w:val="-2"/>
        </w:rPr>
        <w:t>2018</w:t>
      </w:r>
      <w:r>
        <w:rPr>
          <w:spacing w:val="-2"/>
        </w:rPr>
        <w:t>年</w:t>
      </w:r>
      <w:r>
        <w:rPr>
          <w:rFonts w:ascii="Times New Roman" w:hAnsi="Times New Roman" w:cs="Times New Roman" w:eastAsia="Times New Roman" w:hint="default"/>
          <w:spacing w:val="-2"/>
        </w:rPr>
        <w:t>12</w:t>
      </w:r>
      <w:r>
        <w:rPr>
          <w:spacing w:val="-2"/>
        </w:rPr>
        <w:t>月</w:t>
      </w:r>
      <w:r>
        <w:rPr>
          <w:rFonts w:ascii="Times New Roman" w:hAnsi="Times New Roman" w:cs="Times New Roman" w:eastAsia="Times New Roman" w:hint="default"/>
          <w:spacing w:val="-2"/>
        </w:rPr>
        <w:t>25</w:t>
      </w:r>
      <w:r>
        <w:rPr>
          <w:spacing w:val="-2"/>
        </w:rPr>
        <w:t>日，同时第一大股东及法人代表</w:t>
      </w:r>
      <w:r>
        <w:rPr>
          <w:spacing w:val="-78"/>
        </w:rPr>
        <w:t> </w:t>
      </w:r>
      <w:r>
        <w:rPr>
          <w:spacing w:val="-78"/>
        </w:rPr>
      </w:r>
      <w:r>
        <w:rPr/>
        <w:t>杨维国对此借款额度提供保证担保。</w:t>
      </w:r>
    </w:p>
    <w:p>
      <w:pPr>
        <w:pStyle w:val="BodyText"/>
        <w:spacing w:line="386" w:lineRule="auto" w:before="65"/>
        <w:ind w:right="1117" w:firstLine="423"/>
        <w:jc w:val="left"/>
      </w:pPr>
      <w:r>
        <w:rPr/>
        <w:t>①、</w:t>
      </w:r>
      <w:r>
        <w:rPr>
          <w:rFonts w:ascii="Times New Roman" w:hAnsi="Times New Roman" w:cs="Times New Roman" w:eastAsia="Times New Roman" w:hint="default"/>
        </w:rPr>
        <w:t>2015</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日，公司与招商银行郑州分行签订了编号为</w:t>
      </w:r>
      <w:r>
        <w:rPr>
          <w:rFonts w:ascii="Times New Roman" w:hAnsi="Times New Roman" w:cs="Times New Roman" w:eastAsia="Times New Roman" w:hint="default"/>
        </w:rPr>
        <w:t>“2015</w:t>
      </w:r>
      <w:r>
        <w:rPr/>
        <w:t>年</w:t>
      </w:r>
      <w:r>
        <w:rPr>
          <w:rFonts w:ascii="Times New Roman" w:hAnsi="Times New Roman" w:cs="Times New Roman" w:eastAsia="Times New Roman" w:hint="default"/>
        </w:rPr>
        <w:t>3725</w:t>
      </w:r>
      <w:r>
        <w:rPr/>
        <w:t>并购字第</w:t>
      </w:r>
      <w:r>
        <w:rPr>
          <w:rFonts w:ascii="Times New Roman" w:hAnsi="Times New Roman" w:cs="Times New Roman" w:eastAsia="Times New Roman" w:hint="default"/>
        </w:rPr>
        <w:t>001</w:t>
      </w:r>
      <w:r>
        <w:rPr/>
        <w:t>号</w:t>
      </w:r>
      <w:r>
        <w:rPr>
          <w:rFonts w:ascii="Times New Roman" w:hAnsi="Times New Roman" w:cs="Times New Roman" w:eastAsia="Times New Roman" w:hint="default"/>
        </w:rPr>
        <w:t>”</w:t>
      </w:r>
      <w:r>
        <w:rPr/>
        <w:t>的并购贷 </w:t>
      </w:r>
      <w:r>
        <w:rPr>
          <w:spacing w:val="-4"/>
        </w:rPr>
        <w:t>款合同，借款金额为</w:t>
      </w:r>
      <w:r>
        <w:rPr>
          <w:rFonts w:ascii="Times New Roman" w:hAnsi="Times New Roman" w:cs="Times New Roman" w:eastAsia="Times New Roman" w:hint="default"/>
          <w:spacing w:val="-4"/>
        </w:rPr>
        <w:t>2,600</w:t>
      </w:r>
      <w:r>
        <w:rPr>
          <w:spacing w:val="-4"/>
        </w:rPr>
        <w:t>万元整，借款期限自</w:t>
      </w:r>
      <w:r>
        <w:rPr>
          <w:rFonts w:ascii="Times New Roman" w:hAnsi="Times New Roman" w:cs="Times New Roman" w:eastAsia="Times New Roman" w:hint="default"/>
          <w:spacing w:val="-4"/>
        </w:rPr>
        <w:t>2015</w:t>
      </w:r>
      <w:r>
        <w:rPr>
          <w:spacing w:val="-4"/>
        </w:rPr>
        <w:t>年</w:t>
      </w:r>
      <w:r>
        <w:rPr>
          <w:rFonts w:ascii="Times New Roman" w:hAnsi="Times New Roman" w:cs="Times New Roman" w:eastAsia="Times New Roman" w:hint="default"/>
          <w:spacing w:val="-4"/>
        </w:rPr>
        <w:t>12</w:t>
      </w:r>
      <w:r>
        <w:rPr>
          <w:spacing w:val="-4"/>
        </w:rPr>
        <w:t>月</w:t>
      </w:r>
      <w:r>
        <w:rPr>
          <w:rFonts w:ascii="Times New Roman" w:hAnsi="Times New Roman" w:cs="Times New Roman" w:eastAsia="Times New Roman" w:hint="default"/>
          <w:spacing w:val="-4"/>
        </w:rPr>
        <w:t>31</w:t>
      </w:r>
      <w:r>
        <w:rPr>
          <w:spacing w:val="-4"/>
        </w:rPr>
        <w:t>日至</w:t>
      </w:r>
      <w:r>
        <w:rPr>
          <w:rFonts w:ascii="Times New Roman" w:hAnsi="Times New Roman" w:cs="Times New Roman" w:eastAsia="Times New Roman" w:hint="default"/>
          <w:spacing w:val="-4"/>
        </w:rPr>
        <w:t>2018</w:t>
      </w:r>
      <w:r>
        <w:rPr>
          <w:spacing w:val="-4"/>
        </w:rPr>
        <w:t>年</w:t>
      </w:r>
      <w:r>
        <w:rPr>
          <w:rFonts w:ascii="Times New Roman" w:hAnsi="Times New Roman" w:cs="Times New Roman" w:eastAsia="Times New Roman" w:hint="default"/>
          <w:spacing w:val="-4"/>
        </w:rPr>
        <w:t>12</w:t>
      </w:r>
      <w:r>
        <w:rPr>
          <w:spacing w:val="-4"/>
        </w:rPr>
        <w:t>月</w:t>
      </w:r>
      <w:r>
        <w:rPr>
          <w:rFonts w:ascii="Times New Roman" w:hAnsi="Times New Roman" w:cs="Times New Roman" w:eastAsia="Times New Roman" w:hint="default"/>
          <w:spacing w:val="-4"/>
        </w:rPr>
        <w:t>25</w:t>
      </w:r>
      <w:r>
        <w:rPr>
          <w:spacing w:val="-4"/>
        </w:rPr>
        <w:t>日，借款年利率为</w:t>
      </w:r>
      <w:r>
        <w:rPr>
          <w:rFonts w:ascii="Times New Roman" w:hAnsi="Times New Roman" w:cs="Times New Roman" w:eastAsia="Times New Roman" w:hint="default"/>
          <w:spacing w:val="-4"/>
        </w:rPr>
        <w:t>4.7500%</w:t>
      </w:r>
      <w:r>
        <w:rPr>
          <w:spacing w:val="-4"/>
        </w:rPr>
        <w:t>，</w:t>
      </w:r>
      <w:r>
        <w:rPr>
          <w:spacing w:val="-68"/>
        </w:rPr>
        <w:t> </w:t>
      </w:r>
      <w:r>
        <w:rPr/>
        <w:t>每</w:t>
      </w:r>
      <w:r>
        <w:rPr>
          <w:rFonts w:ascii="Times New Roman" w:hAnsi="Times New Roman" w:cs="Times New Roman" w:eastAsia="Times New Roman" w:hint="default"/>
        </w:rPr>
        <w:t>6</w:t>
      </w:r>
      <w:r>
        <w:rPr/>
        <w:t>个月还款一次，</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25</w:t>
      </w:r>
      <w:r>
        <w:rPr/>
        <w:t>日公司已还款完毕；</w:t>
      </w:r>
    </w:p>
    <w:p>
      <w:pPr>
        <w:pStyle w:val="BodyText"/>
        <w:spacing w:line="386" w:lineRule="auto" w:before="35"/>
        <w:ind w:right="1131" w:firstLine="423"/>
        <w:jc w:val="both"/>
      </w:pPr>
      <w:r>
        <w:rPr>
          <w:spacing w:val="-2"/>
        </w:rPr>
        <w:t>②、</w:t>
      </w:r>
      <w:r>
        <w:rPr>
          <w:rFonts w:ascii="Times New Roman" w:hAnsi="Times New Roman" w:cs="Times New Roman" w:eastAsia="Times New Roman" w:hint="default"/>
          <w:spacing w:val="-2"/>
        </w:rPr>
        <w:t>2016</w:t>
      </w:r>
      <w:r>
        <w:rPr>
          <w:spacing w:val="-2"/>
        </w:rPr>
        <w:t>年</w:t>
      </w:r>
      <w:r>
        <w:rPr>
          <w:rFonts w:ascii="Times New Roman" w:hAnsi="Times New Roman" w:cs="Times New Roman" w:eastAsia="Times New Roman" w:hint="default"/>
          <w:spacing w:val="-2"/>
        </w:rPr>
        <w:t>5</w:t>
      </w:r>
      <w:r>
        <w:rPr>
          <w:spacing w:val="-2"/>
        </w:rPr>
        <w:t>月</w:t>
      </w:r>
      <w:r>
        <w:rPr>
          <w:rFonts w:ascii="Times New Roman" w:hAnsi="Times New Roman" w:cs="Times New Roman" w:eastAsia="Times New Roman" w:hint="default"/>
          <w:spacing w:val="-2"/>
        </w:rPr>
        <w:t>13</w:t>
      </w:r>
      <w:r>
        <w:rPr>
          <w:spacing w:val="-2"/>
        </w:rPr>
        <w:t>日，公司与招商银行郑州分行签订了编号为</w:t>
      </w:r>
      <w:r>
        <w:rPr>
          <w:rFonts w:ascii="Times New Roman" w:hAnsi="Times New Roman" w:cs="Times New Roman" w:eastAsia="Times New Roman" w:hint="default"/>
          <w:spacing w:val="-2"/>
        </w:rPr>
        <w:t>“2016</w:t>
      </w:r>
      <w:r>
        <w:rPr>
          <w:spacing w:val="-2"/>
        </w:rPr>
        <w:t>年</w:t>
      </w:r>
      <w:r>
        <w:rPr>
          <w:rFonts w:ascii="Times New Roman" w:hAnsi="Times New Roman" w:cs="Times New Roman" w:eastAsia="Times New Roman" w:hint="default"/>
          <w:spacing w:val="-2"/>
        </w:rPr>
        <w:t>GS3706</w:t>
      </w:r>
      <w:r>
        <w:rPr>
          <w:spacing w:val="-2"/>
        </w:rPr>
        <w:t>并购字第</w:t>
      </w:r>
      <w:r>
        <w:rPr>
          <w:rFonts w:ascii="Times New Roman" w:hAnsi="Times New Roman" w:cs="Times New Roman" w:eastAsia="Times New Roman" w:hint="default"/>
          <w:spacing w:val="-2"/>
        </w:rPr>
        <w:t>001</w:t>
      </w:r>
      <w:r>
        <w:rPr>
          <w:spacing w:val="-2"/>
        </w:rPr>
        <w:t>号</w:t>
      </w:r>
      <w:r>
        <w:rPr>
          <w:rFonts w:ascii="Times New Roman" w:hAnsi="Times New Roman" w:cs="Times New Roman" w:eastAsia="Times New Roman" w:hint="default"/>
          <w:spacing w:val="-2"/>
        </w:rPr>
        <w:t>”</w:t>
      </w:r>
      <w:r>
        <w:rPr>
          <w:spacing w:val="-2"/>
        </w:rPr>
        <w:t>的并购贷</w:t>
      </w:r>
      <w:r>
        <w:rPr/>
        <w:t> </w:t>
      </w:r>
      <w:r>
        <w:rPr>
          <w:spacing w:val="-2"/>
        </w:rPr>
        <w:t>款合同，借款金额</w:t>
      </w:r>
      <w:r>
        <w:rPr>
          <w:rFonts w:ascii="Times New Roman" w:hAnsi="Times New Roman" w:cs="Times New Roman" w:eastAsia="Times New Roman" w:hint="default"/>
          <w:spacing w:val="-2"/>
        </w:rPr>
        <w:t>4,665</w:t>
      </w:r>
      <w:r>
        <w:rPr>
          <w:spacing w:val="-2"/>
        </w:rPr>
        <w:t>万元整，借款期限自</w:t>
      </w:r>
      <w:r>
        <w:rPr>
          <w:rFonts w:ascii="Times New Roman" w:hAnsi="Times New Roman" w:cs="Times New Roman" w:eastAsia="Times New Roman" w:hint="default"/>
          <w:spacing w:val="-2"/>
        </w:rPr>
        <w:t>2016</w:t>
      </w:r>
      <w:r>
        <w:rPr>
          <w:spacing w:val="-2"/>
        </w:rPr>
        <w:t>年</w:t>
      </w:r>
      <w:r>
        <w:rPr>
          <w:rFonts w:ascii="Times New Roman" w:hAnsi="Times New Roman" w:cs="Times New Roman" w:eastAsia="Times New Roman" w:hint="default"/>
          <w:spacing w:val="-2"/>
        </w:rPr>
        <w:t>5</w:t>
      </w:r>
      <w:r>
        <w:rPr>
          <w:spacing w:val="-2"/>
        </w:rPr>
        <w:t>月</w:t>
      </w:r>
      <w:r>
        <w:rPr>
          <w:rFonts w:ascii="Times New Roman" w:hAnsi="Times New Roman" w:cs="Times New Roman" w:eastAsia="Times New Roman" w:hint="default"/>
          <w:spacing w:val="-2"/>
        </w:rPr>
        <w:t>13</w:t>
      </w:r>
      <w:r>
        <w:rPr>
          <w:spacing w:val="-2"/>
        </w:rPr>
        <w:t>日至</w:t>
      </w:r>
      <w:r>
        <w:rPr>
          <w:rFonts w:ascii="Times New Roman" w:hAnsi="Times New Roman" w:cs="Times New Roman" w:eastAsia="Times New Roman" w:hint="default"/>
          <w:spacing w:val="-2"/>
        </w:rPr>
        <w:t>2019</w:t>
      </w:r>
      <w:r>
        <w:rPr>
          <w:spacing w:val="-2"/>
        </w:rPr>
        <w:t>年</w:t>
      </w:r>
      <w:r>
        <w:rPr>
          <w:rFonts w:ascii="Times New Roman" w:hAnsi="Times New Roman" w:cs="Times New Roman" w:eastAsia="Times New Roman" w:hint="default"/>
          <w:spacing w:val="-2"/>
        </w:rPr>
        <w:t>5</w:t>
      </w:r>
      <w:r>
        <w:rPr>
          <w:spacing w:val="-2"/>
        </w:rPr>
        <w:t>月</w:t>
      </w:r>
      <w:r>
        <w:rPr>
          <w:rFonts w:ascii="Times New Roman" w:hAnsi="Times New Roman" w:cs="Times New Roman" w:eastAsia="Times New Roman" w:hint="default"/>
          <w:spacing w:val="-2"/>
        </w:rPr>
        <w:t>13</w:t>
      </w:r>
      <w:r>
        <w:rPr>
          <w:spacing w:val="-2"/>
        </w:rPr>
        <w:t>日，借款年利率为</w:t>
      </w:r>
      <w:r>
        <w:rPr>
          <w:rFonts w:ascii="Times New Roman" w:hAnsi="Times New Roman" w:cs="Times New Roman" w:eastAsia="Times New Roman" w:hint="default"/>
          <w:spacing w:val="-2"/>
        </w:rPr>
        <w:t>4.7500%</w:t>
      </w:r>
      <w:r>
        <w:rPr>
          <w:spacing w:val="-2"/>
        </w:rPr>
        <w:t>，每</w:t>
      </w:r>
      <w:r>
        <w:rPr>
          <w:rFonts w:ascii="Times New Roman" w:hAnsi="Times New Roman" w:cs="Times New Roman" w:eastAsia="Times New Roman" w:hint="default"/>
          <w:spacing w:val="-2"/>
        </w:rPr>
        <w:t>6</w:t>
      </w:r>
      <w:r>
        <w:rPr>
          <w:rFonts w:ascii="Times New Roman" w:hAnsi="Times New Roman" w:cs="Times New Roman" w:eastAsia="Times New Roman" w:hint="default"/>
          <w:spacing w:val="-38"/>
        </w:rPr>
        <w:t> </w:t>
      </w:r>
      <w:r>
        <w:rPr/>
        <w:t>个月还款一次，最后一期</w:t>
      </w:r>
      <w:r>
        <w:rPr>
          <w:rFonts w:ascii="Times New Roman" w:hAnsi="Times New Roman" w:cs="Times New Roman" w:eastAsia="Times New Roman" w:hint="default"/>
        </w:rPr>
        <w:t>777.50</w:t>
      </w:r>
      <w:r>
        <w:rPr/>
        <w:t>万元将于</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5</w:t>
      </w:r>
      <w:r>
        <w:rPr/>
        <w:t>月</w:t>
      </w:r>
      <w:r>
        <w:rPr>
          <w:rFonts w:ascii="Times New Roman" w:hAnsi="Times New Roman" w:cs="Times New Roman" w:eastAsia="Times New Roman" w:hint="default"/>
        </w:rPr>
        <w:t>13</w:t>
      </w:r>
      <w:r>
        <w:rPr/>
        <w:t>日到期，转入一年内到期的非流动负债；</w:t>
      </w:r>
    </w:p>
    <w:p>
      <w:pPr>
        <w:pStyle w:val="BodyText"/>
        <w:spacing w:line="386" w:lineRule="auto" w:before="35"/>
        <w:ind w:right="1117" w:firstLine="423"/>
        <w:jc w:val="left"/>
      </w:pPr>
      <w:r>
        <w:rPr>
          <w:spacing w:val="-2"/>
        </w:rPr>
        <w:t>③、</w:t>
      </w:r>
      <w:r>
        <w:rPr>
          <w:rFonts w:ascii="Times New Roman" w:hAnsi="Times New Roman" w:cs="Times New Roman" w:eastAsia="Times New Roman" w:hint="default"/>
          <w:spacing w:val="-2"/>
        </w:rPr>
        <w:t>2017</w:t>
      </w:r>
      <w:r>
        <w:rPr>
          <w:spacing w:val="-2"/>
        </w:rPr>
        <w:t>年</w:t>
      </w:r>
      <w:r>
        <w:rPr>
          <w:rFonts w:ascii="Times New Roman" w:hAnsi="Times New Roman" w:cs="Times New Roman" w:eastAsia="Times New Roman" w:hint="default"/>
          <w:spacing w:val="-2"/>
        </w:rPr>
        <w:t>4</w:t>
      </w:r>
      <w:r>
        <w:rPr>
          <w:spacing w:val="-2"/>
        </w:rPr>
        <w:t>月</w:t>
      </w:r>
      <w:r>
        <w:rPr>
          <w:rFonts w:ascii="Times New Roman" w:hAnsi="Times New Roman" w:cs="Times New Roman" w:eastAsia="Times New Roman" w:hint="default"/>
          <w:spacing w:val="-2"/>
        </w:rPr>
        <w:t>27</w:t>
      </w:r>
      <w:r>
        <w:rPr>
          <w:spacing w:val="-2"/>
        </w:rPr>
        <w:t>日，公司与招商银行郑州分行签订了编号为</w:t>
      </w:r>
      <w:r>
        <w:rPr>
          <w:rFonts w:ascii="Times New Roman" w:hAnsi="Times New Roman" w:cs="Times New Roman" w:eastAsia="Times New Roman" w:hint="default"/>
          <w:spacing w:val="-2"/>
        </w:rPr>
        <w:t>“2017</w:t>
      </w:r>
      <w:r>
        <w:rPr>
          <w:spacing w:val="-2"/>
        </w:rPr>
        <w:t>年</w:t>
      </w:r>
      <w:r>
        <w:rPr>
          <w:rFonts w:ascii="Times New Roman" w:hAnsi="Times New Roman" w:cs="Times New Roman" w:eastAsia="Times New Roman" w:hint="default"/>
          <w:spacing w:val="-2"/>
        </w:rPr>
        <w:t>GS3706</w:t>
      </w:r>
      <w:r>
        <w:rPr>
          <w:spacing w:val="-2"/>
        </w:rPr>
        <w:t>并购字第</w:t>
      </w:r>
      <w:r>
        <w:rPr>
          <w:rFonts w:ascii="Times New Roman" w:hAnsi="Times New Roman" w:cs="Times New Roman" w:eastAsia="Times New Roman" w:hint="default"/>
          <w:spacing w:val="-2"/>
        </w:rPr>
        <w:t>001</w:t>
      </w:r>
      <w:r>
        <w:rPr>
          <w:spacing w:val="-2"/>
        </w:rPr>
        <w:t>号</w:t>
      </w:r>
      <w:r>
        <w:rPr>
          <w:rFonts w:ascii="Times New Roman" w:hAnsi="Times New Roman" w:cs="Times New Roman" w:eastAsia="Times New Roman" w:hint="default"/>
          <w:spacing w:val="-2"/>
        </w:rPr>
        <w:t>”</w:t>
      </w:r>
      <w:r>
        <w:rPr>
          <w:spacing w:val="-2"/>
        </w:rPr>
        <w:t>的并购贷</w:t>
      </w:r>
      <w:r>
        <w:rPr/>
        <w:t> 款合同，借款金额为</w:t>
      </w:r>
      <w:r>
        <w:rPr>
          <w:rFonts w:ascii="Times New Roman" w:hAnsi="Times New Roman" w:cs="Times New Roman" w:eastAsia="Times New Roman" w:hint="default"/>
        </w:rPr>
        <w:t>1,735</w:t>
      </w:r>
      <w:r>
        <w:rPr/>
        <w:t>万元整，借款期限自</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27</w:t>
      </w:r>
      <w:r>
        <w:rPr/>
        <w:t>日至</w:t>
      </w:r>
      <w:r>
        <w:rPr>
          <w:rFonts w:ascii="Times New Roman" w:hAnsi="Times New Roman" w:cs="Times New Roman" w:eastAsia="Times New Roman" w:hint="default"/>
        </w:rPr>
        <w:t>2020</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26</w:t>
      </w:r>
      <w:r>
        <w:rPr/>
        <w:t>日，借款利率基准利率上浮 </w:t>
      </w:r>
      <w:r>
        <w:rPr>
          <w:rFonts w:ascii="Times New Roman" w:hAnsi="Times New Roman" w:cs="Times New Roman" w:eastAsia="Times New Roman" w:hint="default"/>
          <w:spacing w:val="-1"/>
        </w:rPr>
        <w:t>5.00%</w:t>
      </w:r>
      <w:r>
        <w:rPr>
          <w:spacing w:val="-1"/>
        </w:rPr>
        <w:t>，每</w:t>
      </w:r>
      <w:r>
        <w:rPr>
          <w:rFonts w:ascii="Times New Roman" w:hAnsi="Times New Roman" w:cs="Times New Roman" w:eastAsia="Times New Roman" w:hint="default"/>
          <w:spacing w:val="-1"/>
        </w:rPr>
        <w:t>6</w:t>
      </w:r>
      <w:r>
        <w:rPr>
          <w:spacing w:val="-1"/>
        </w:rPr>
        <w:t>个月还款一次，其中第四期</w:t>
      </w:r>
      <w:r>
        <w:rPr>
          <w:rFonts w:ascii="Times New Roman" w:hAnsi="Times New Roman" w:cs="Times New Roman" w:eastAsia="Times New Roman" w:hint="default"/>
          <w:spacing w:val="-1"/>
        </w:rPr>
        <w:t>289.17</w:t>
      </w:r>
      <w:r>
        <w:rPr>
          <w:spacing w:val="-1"/>
        </w:rPr>
        <w:t>万元将于</w:t>
      </w:r>
      <w:r>
        <w:rPr>
          <w:rFonts w:ascii="Times New Roman" w:hAnsi="Times New Roman" w:cs="Times New Roman" w:eastAsia="Times New Roman" w:hint="default"/>
          <w:spacing w:val="-1"/>
        </w:rPr>
        <w:t>2019</w:t>
      </w:r>
      <w:r>
        <w:rPr>
          <w:spacing w:val="-1"/>
        </w:rPr>
        <w:t>年</w:t>
      </w:r>
      <w:r>
        <w:rPr>
          <w:rFonts w:ascii="Times New Roman" w:hAnsi="Times New Roman" w:cs="Times New Roman" w:eastAsia="Times New Roman" w:hint="default"/>
          <w:spacing w:val="-1"/>
        </w:rPr>
        <w:t>4</w:t>
      </w:r>
      <w:r>
        <w:rPr>
          <w:spacing w:val="-1"/>
        </w:rPr>
        <w:t>月</w:t>
      </w:r>
      <w:r>
        <w:rPr>
          <w:rFonts w:ascii="Times New Roman" w:hAnsi="Times New Roman" w:cs="Times New Roman" w:eastAsia="Times New Roman" w:hint="default"/>
          <w:spacing w:val="-1"/>
        </w:rPr>
        <w:t>27</w:t>
      </w:r>
      <w:r>
        <w:rPr>
          <w:spacing w:val="-1"/>
        </w:rPr>
        <w:t>日到期，第五期</w:t>
      </w:r>
      <w:r>
        <w:rPr>
          <w:rFonts w:ascii="Times New Roman" w:hAnsi="Times New Roman" w:cs="Times New Roman" w:eastAsia="Times New Roman" w:hint="default"/>
          <w:spacing w:val="-1"/>
        </w:rPr>
        <w:t>289.17</w:t>
      </w:r>
      <w:r>
        <w:rPr>
          <w:spacing w:val="-1"/>
        </w:rPr>
        <w:t>万元将于</w:t>
      </w:r>
      <w:r>
        <w:rPr>
          <w:rFonts w:ascii="Times New Roman" w:hAnsi="Times New Roman" w:cs="Times New Roman" w:eastAsia="Times New Roman" w:hint="default"/>
          <w:spacing w:val="-1"/>
        </w:rPr>
        <w:t>2019</w:t>
      </w:r>
      <w:r>
        <w:rPr>
          <w:spacing w:val="-1"/>
        </w:rPr>
        <w:t>年</w:t>
      </w:r>
    </w:p>
    <w:p>
      <w:pPr>
        <w:pStyle w:val="BodyText"/>
        <w:spacing w:line="240" w:lineRule="auto" w:before="35"/>
        <w:ind w:right="1117"/>
        <w:jc w:val="left"/>
      </w:pPr>
      <w:r>
        <w:rPr>
          <w:rFonts w:ascii="Times New Roman" w:hAnsi="Times New Roman" w:cs="Times New Roman" w:eastAsia="Times New Roman" w:hint="default"/>
        </w:rPr>
        <w:t>10</w:t>
      </w:r>
      <w:r>
        <w:rPr/>
        <w:t>月</w:t>
      </w:r>
      <w:r>
        <w:rPr>
          <w:rFonts w:ascii="Times New Roman" w:hAnsi="Times New Roman" w:cs="Times New Roman" w:eastAsia="Times New Roman" w:hint="default"/>
        </w:rPr>
        <w:t>27</w:t>
      </w:r>
      <w:r>
        <w:rPr/>
        <w:t>日到期，共计</w:t>
      </w:r>
      <w:r>
        <w:rPr>
          <w:rFonts w:ascii="Times New Roman" w:hAnsi="Times New Roman" w:cs="Times New Roman" w:eastAsia="Times New Roman" w:hint="default"/>
        </w:rPr>
        <w:t>578.34</w:t>
      </w:r>
      <w:r>
        <w:rPr/>
        <w:t>万元转入一年内到期的非流动负债。</w:t>
      </w:r>
    </w:p>
    <w:p>
      <w:pPr>
        <w:pStyle w:val="BodyText"/>
        <w:spacing w:line="386" w:lineRule="auto" w:before="177"/>
        <w:ind w:right="1022" w:firstLine="423"/>
        <w:jc w:val="left"/>
      </w:pPr>
      <w:r>
        <w:rPr>
          <w:rFonts w:ascii="Times New Roman" w:hAnsi="Times New Roman" w:cs="Times New Roman" w:eastAsia="Times New Roman" w:hint="default"/>
        </w:rPr>
        <w:t>2</w:t>
      </w:r>
      <w:r>
        <w:rPr/>
        <w:t>、</w:t>
      </w:r>
      <w:r>
        <w:rPr>
          <w:rFonts w:ascii="Times New Roman" w:hAnsi="Times New Roman" w:cs="Times New Roman" w:eastAsia="Times New Roman" w:hint="default"/>
        </w:rPr>
        <w:t>2016</w:t>
      </w:r>
      <w:r>
        <w:rPr/>
        <w:t>年</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7</w:t>
      </w:r>
      <w:r>
        <w:rPr/>
        <w:t>日，公司以子公司北京迪科远望科技有限公司</w:t>
      </w:r>
      <w:r>
        <w:rPr>
          <w:rFonts w:ascii="Times New Roman" w:hAnsi="Times New Roman" w:cs="Times New Roman" w:eastAsia="Times New Roman" w:hint="default"/>
        </w:rPr>
        <w:t>100%</w:t>
      </w:r>
      <w:r>
        <w:rPr/>
        <w:t>股权作为质押与中国工商银行股份 有限公司郑州南阳路支行（以下简称</w:t>
      </w:r>
      <w:r>
        <w:rPr>
          <w:rFonts w:ascii="Times New Roman" w:hAnsi="Times New Roman" w:cs="Times New Roman" w:eastAsia="Times New Roman" w:hint="default"/>
        </w:rPr>
        <w:t>“</w:t>
      </w:r>
      <w:r>
        <w:rPr/>
        <w:t>工商银行南阳路支行</w:t>
      </w:r>
      <w:r>
        <w:rPr>
          <w:rFonts w:ascii="Times New Roman" w:hAnsi="Times New Roman" w:cs="Times New Roman" w:eastAsia="Times New Roman" w:hint="default"/>
        </w:rPr>
        <w:t>”</w:t>
      </w:r>
      <w:r>
        <w:rPr/>
        <w:t>）签订了编号为</w:t>
      </w:r>
      <w:r>
        <w:rPr>
          <w:rFonts w:ascii="Times New Roman" w:hAnsi="Times New Roman" w:cs="Times New Roman" w:eastAsia="Times New Roman" w:hint="default"/>
        </w:rPr>
        <w:t>“2016</w:t>
      </w:r>
      <w:r>
        <w:rPr/>
        <w:t>年郑工银南阳路并（借）</w:t>
      </w:r>
      <w:r>
        <w:rPr>
          <w:spacing w:val="-95"/>
        </w:rPr>
        <w:t> </w:t>
      </w:r>
      <w:r>
        <w:rPr>
          <w:spacing w:val="-95"/>
        </w:rPr>
      </w:r>
      <w:r>
        <w:rPr/>
        <w:t>字第</w:t>
      </w:r>
      <w:r>
        <w:rPr>
          <w:rFonts w:ascii="Times New Roman" w:hAnsi="Times New Roman" w:cs="Times New Roman" w:eastAsia="Times New Roman" w:hint="default"/>
        </w:rPr>
        <w:t>001</w:t>
      </w:r>
      <w:r>
        <w:rPr/>
        <w:t>号</w:t>
      </w:r>
      <w:r>
        <w:rPr>
          <w:rFonts w:ascii="Times New Roman" w:hAnsi="Times New Roman" w:cs="Times New Roman" w:eastAsia="Times New Roman" w:hint="default"/>
        </w:rPr>
        <w:t>”</w:t>
      </w:r>
      <w:r>
        <w:rPr/>
        <w:t>的并购借款合同，金额</w:t>
      </w:r>
      <w:r>
        <w:rPr>
          <w:rFonts w:ascii="Times New Roman" w:hAnsi="Times New Roman" w:cs="Times New Roman" w:eastAsia="Times New Roman" w:hint="default"/>
        </w:rPr>
        <w:t>9,800.00</w:t>
      </w:r>
      <w:r>
        <w:rPr/>
        <w:t>万元，借款期限</w:t>
      </w:r>
      <w:r>
        <w:rPr>
          <w:rFonts w:ascii="Times New Roman" w:hAnsi="Times New Roman" w:cs="Times New Roman" w:eastAsia="Times New Roman" w:hint="default"/>
        </w:rPr>
        <w:t>84</w:t>
      </w:r>
      <w:r>
        <w:rPr/>
        <w:t>个月，自</w:t>
      </w:r>
      <w:r>
        <w:rPr>
          <w:rFonts w:ascii="Times New Roman" w:hAnsi="Times New Roman" w:cs="Times New Roman" w:eastAsia="Times New Roman" w:hint="default"/>
        </w:rPr>
        <w:t>2016</w:t>
      </w:r>
      <w:r>
        <w:rPr/>
        <w:t>年</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11</w:t>
      </w:r>
      <w:r>
        <w:rPr/>
        <w:t>日至</w:t>
      </w:r>
      <w:r>
        <w:rPr>
          <w:rFonts w:ascii="Times New Roman" w:hAnsi="Times New Roman" w:cs="Times New Roman" w:eastAsia="Times New Roman" w:hint="default"/>
        </w:rPr>
        <w:t>2023</w:t>
      </w:r>
      <w:r>
        <w:rPr/>
        <w:t>年</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12</w:t>
      </w:r>
      <w:r>
        <w:rPr/>
        <w:t>日， 利率为基准利率，同时第一大股东及法人代表杨维国对此借款提供保证担保；</w:t>
      </w:r>
    </w:p>
    <w:p>
      <w:pPr>
        <w:pStyle w:val="BodyText"/>
        <w:spacing w:line="386" w:lineRule="auto" w:before="65"/>
        <w:ind w:right="1131" w:firstLine="423"/>
        <w:jc w:val="both"/>
      </w:pPr>
      <w:r>
        <w:rPr>
          <w:rFonts w:ascii="Times New Roman" w:hAnsi="Times New Roman" w:cs="Times New Roman" w:eastAsia="Times New Roman" w:hint="default"/>
          <w:spacing w:val="-3"/>
        </w:rPr>
        <w:t>2016</w:t>
      </w:r>
      <w:r>
        <w:rPr>
          <w:spacing w:val="-3"/>
        </w:rPr>
        <w:t>年</w:t>
      </w:r>
      <w:r>
        <w:rPr>
          <w:rFonts w:ascii="Times New Roman" w:hAnsi="Times New Roman" w:cs="Times New Roman" w:eastAsia="Times New Roman" w:hint="default"/>
          <w:spacing w:val="-3"/>
        </w:rPr>
        <w:t>1</w:t>
      </w:r>
      <w:r>
        <w:rPr>
          <w:spacing w:val="-3"/>
        </w:rPr>
        <w:t>月</w:t>
      </w:r>
      <w:r>
        <w:rPr>
          <w:rFonts w:ascii="Times New Roman" w:hAnsi="Times New Roman" w:cs="Times New Roman" w:eastAsia="Times New Roman" w:hint="default"/>
          <w:spacing w:val="-3"/>
        </w:rPr>
        <w:t>14</w:t>
      </w:r>
      <w:r>
        <w:rPr>
          <w:spacing w:val="-3"/>
        </w:rPr>
        <w:t>日，双方签订补充协议，首次提款</w:t>
      </w:r>
      <w:r>
        <w:rPr>
          <w:rFonts w:ascii="Times New Roman" w:hAnsi="Times New Roman" w:cs="Times New Roman" w:eastAsia="Times New Roman" w:hint="default"/>
          <w:spacing w:val="-3"/>
        </w:rPr>
        <w:t>8,200.00</w:t>
      </w:r>
      <w:r>
        <w:rPr>
          <w:spacing w:val="-3"/>
        </w:rPr>
        <w:t>万元，约定自首次提款日起每</w:t>
      </w:r>
      <w:r>
        <w:rPr>
          <w:rFonts w:ascii="Times New Roman" w:hAnsi="Times New Roman" w:cs="Times New Roman" w:eastAsia="Times New Roman" w:hint="default"/>
          <w:spacing w:val="-3"/>
        </w:rPr>
        <w:t>6</w:t>
      </w:r>
      <w:r>
        <w:rPr>
          <w:spacing w:val="-3"/>
        </w:rPr>
        <w:t>个月还款一次，</w:t>
      </w:r>
      <w:r>
        <w:rPr/>
        <w:t> </w:t>
      </w:r>
      <w:r>
        <w:rPr>
          <w:spacing w:val="-1"/>
        </w:rPr>
        <w:t>其中第六期</w:t>
      </w:r>
      <w:r>
        <w:rPr>
          <w:rFonts w:ascii="Times New Roman" w:hAnsi="Times New Roman" w:cs="Times New Roman" w:eastAsia="Times New Roman" w:hint="default"/>
          <w:spacing w:val="-1"/>
        </w:rPr>
        <w:t>586.00</w:t>
      </w:r>
      <w:r>
        <w:rPr>
          <w:spacing w:val="-1"/>
        </w:rPr>
        <w:t>万元将于</w:t>
      </w:r>
      <w:r>
        <w:rPr>
          <w:rFonts w:ascii="Times New Roman" w:hAnsi="Times New Roman" w:cs="Times New Roman" w:eastAsia="Times New Roman" w:hint="default"/>
          <w:spacing w:val="-1"/>
        </w:rPr>
        <w:t>2019</w:t>
      </w:r>
      <w:r>
        <w:rPr>
          <w:spacing w:val="-1"/>
        </w:rPr>
        <w:t>年</w:t>
      </w:r>
      <w:r>
        <w:rPr>
          <w:rFonts w:ascii="Times New Roman" w:hAnsi="Times New Roman" w:cs="Times New Roman" w:eastAsia="Times New Roman" w:hint="default"/>
          <w:spacing w:val="-1"/>
        </w:rPr>
        <w:t>1</w:t>
      </w:r>
      <w:r>
        <w:rPr>
          <w:spacing w:val="-1"/>
        </w:rPr>
        <w:t>月</w:t>
      </w:r>
      <w:r>
        <w:rPr>
          <w:rFonts w:ascii="Times New Roman" w:hAnsi="Times New Roman" w:cs="Times New Roman" w:eastAsia="Times New Roman" w:hint="default"/>
          <w:spacing w:val="-1"/>
        </w:rPr>
        <w:t>12</w:t>
      </w:r>
      <w:r>
        <w:rPr>
          <w:spacing w:val="-1"/>
        </w:rPr>
        <w:t>日到期，第七期</w:t>
      </w:r>
      <w:r>
        <w:rPr>
          <w:rFonts w:ascii="Times New Roman" w:hAnsi="Times New Roman" w:cs="Times New Roman" w:eastAsia="Times New Roman" w:hint="default"/>
          <w:spacing w:val="-1"/>
        </w:rPr>
        <w:t>586.00</w:t>
      </w:r>
      <w:r>
        <w:rPr>
          <w:spacing w:val="-1"/>
        </w:rPr>
        <w:t>万元将于</w:t>
      </w:r>
      <w:r>
        <w:rPr>
          <w:rFonts w:ascii="Times New Roman" w:hAnsi="Times New Roman" w:cs="Times New Roman" w:eastAsia="Times New Roman" w:hint="default"/>
          <w:spacing w:val="-1"/>
        </w:rPr>
        <w:t>2019</w:t>
      </w:r>
      <w:r>
        <w:rPr>
          <w:spacing w:val="-1"/>
        </w:rPr>
        <w:t>年</w:t>
      </w:r>
      <w:r>
        <w:rPr>
          <w:rFonts w:ascii="Times New Roman" w:hAnsi="Times New Roman" w:cs="Times New Roman" w:eastAsia="Times New Roman" w:hint="default"/>
          <w:spacing w:val="-1"/>
        </w:rPr>
        <w:t>7</w:t>
      </w:r>
      <w:r>
        <w:rPr>
          <w:spacing w:val="-1"/>
        </w:rPr>
        <w:t>月</w:t>
      </w:r>
      <w:r>
        <w:rPr>
          <w:rFonts w:ascii="Times New Roman" w:hAnsi="Times New Roman" w:cs="Times New Roman" w:eastAsia="Times New Roman" w:hint="default"/>
          <w:spacing w:val="-1"/>
        </w:rPr>
        <w:t>12</w:t>
      </w:r>
      <w:r>
        <w:rPr>
          <w:spacing w:val="-1"/>
        </w:rPr>
        <w:t>日到期，共计</w:t>
      </w:r>
      <w:r>
        <w:rPr>
          <w:rFonts w:ascii="Times New Roman" w:hAnsi="Times New Roman" w:cs="Times New Roman" w:eastAsia="Times New Roman" w:hint="default"/>
          <w:spacing w:val="-1"/>
        </w:rPr>
        <w:t>1,172.00</w:t>
      </w:r>
      <w:r>
        <w:rPr>
          <w:rFonts w:ascii="Times New Roman" w:hAnsi="Times New Roman" w:cs="Times New Roman" w:eastAsia="Times New Roman" w:hint="default"/>
          <w:spacing w:val="-22"/>
        </w:rPr>
        <w:t> </w:t>
      </w:r>
      <w:r>
        <w:rPr>
          <w:rFonts w:ascii="Times New Roman" w:hAnsi="Times New Roman" w:cs="Times New Roman" w:eastAsia="Times New Roman" w:hint="default"/>
          <w:spacing w:val="-22"/>
        </w:rPr>
      </w:r>
      <w:r>
        <w:rPr/>
        <w:t>万元转入一年内到期的非流动负债。</w:t>
      </w:r>
    </w:p>
    <w:p>
      <w:pPr>
        <w:pStyle w:val="BodyText"/>
        <w:spacing w:line="386" w:lineRule="auto" w:before="65"/>
        <w:ind w:right="1206" w:firstLine="423"/>
        <w:jc w:val="left"/>
      </w:pPr>
      <w:r>
        <w:rPr>
          <w:rFonts w:ascii="Times New Roman" w:hAnsi="Times New Roman" w:cs="Times New Roman" w:eastAsia="Times New Roman" w:hint="default"/>
        </w:rPr>
        <w:t>3</w:t>
      </w:r>
      <w:r>
        <w:rPr/>
        <w:t>、综上，共计</w:t>
      </w:r>
      <w:r>
        <w:rPr>
          <w:rFonts w:ascii="Times New Roman" w:hAnsi="Times New Roman" w:cs="Times New Roman" w:eastAsia="Times New Roman" w:hint="default"/>
        </w:rPr>
        <w:t>2,527.84</w:t>
      </w:r>
      <w:r>
        <w:rPr/>
        <w:t>万元的一年内到期的长期借款转入一年内到期的非流动负债，详见</w:t>
      </w:r>
      <w:r>
        <w:rPr>
          <w:rFonts w:ascii="Times New Roman" w:hAnsi="Times New Roman" w:cs="Times New Roman" w:eastAsia="Times New Roman" w:hint="default"/>
        </w:rPr>
        <w:t>“</w:t>
      </w:r>
      <w:r>
        <w:rPr/>
        <w:t>一年内到 期的非流动负债</w:t>
      </w:r>
      <w:r>
        <w:rPr>
          <w:rFonts w:ascii="Times New Roman" w:hAnsi="Times New Roman" w:cs="Times New Roman" w:eastAsia="Times New Roman" w:hint="default"/>
        </w:rPr>
        <w:t>”</w:t>
      </w:r>
      <w:r>
        <w:rPr/>
        <w:t>。</w:t>
      </w:r>
    </w:p>
    <w:p>
      <w:pPr>
        <w:spacing w:after="0" w:line="386" w:lineRule="auto"/>
        <w:jc w:val="left"/>
        <w:sectPr>
          <w:pgSz w:w="11910" w:h="16840"/>
          <w:pgMar w:header="877" w:footer="979" w:top="1060" w:bottom="1160" w:left="980" w:right="0"/>
        </w:sectPr>
      </w:pPr>
    </w:p>
    <w:p>
      <w:pPr>
        <w:spacing w:line="240" w:lineRule="auto" w:before="13"/>
        <w:rPr>
          <w:rFonts w:ascii="宋体" w:hAnsi="宋体" w:cs="宋体" w:eastAsia="宋体" w:hint="default"/>
          <w:sz w:val="25"/>
          <w:szCs w:val="25"/>
        </w:rPr>
      </w:pPr>
    </w:p>
    <w:p>
      <w:pPr>
        <w:spacing w:before="44"/>
        <w:ind w:left="154" w:right="1117" w:firstLine="0"/>
        <w:jc w:val="left"/>
        <w:rPr>
          <w:rFonts w:ascii="宋体" w:hAnsi="宋体" w:cs="宋体" w:eastAsia="宋体" w:hint="default"/>
          <w:sz w:val="18"/>
          <w:szCs w:val="18"/>
        </w:rPr>
      </w:pPr>
      <w:r>
        <w:rPr>
          <w:rFonts w:ascii="宋体" w:hAnsi="宋体" w:cs="宋体" w:eastAsia="宋体" w:hint="default"/>
          <w:sz w:val="18"/>
          <w:szCs w:val="18"/>
        </w:rPr>
        <w:t>其他说明，包括利率区间：</w:t>
      </w:r>
    </w:p>
    <w:p>
      <w:pPr>
        <w:spacing w:line="240" w:lineRule="auto" w:before="10"/>
        <w:rPr>
          <w:rFonts w:ascii="宋体" w:hAnsi="宋体" w:cs="宋体" w:eastAsia="宋体" w:hint="default"/>
          <w:sz w:val="26"/>
          <w:szCs w:val="26"/>
        </w:rPr>
      </w:pPr>
    </w:p>
    <w:p>
      <w:pPr>
        <w:pStyle w:val="Heading4"/>
        <w:spacing w:line="240" w:lineRule="auto"/>
        <w:ind w:right="1117"/>
        <w:jc w:val="left"/>
        <w:rPr>
          <w:b w:val="0"/>
          <w:bCs w:val="0"/>
        </w:rPr>
      </w:pPr>
      <w:bookmarkStart w:name="26、递延收益" w:id="301"/>
      <w:bookmarkEnd w:id="301"/>
      <w:r>
        <w:rPr>
          <w:b w:val="0"/>
          <w:bCs w:val="0"/>
        </w:rPr>
      </w:r>
      <w:r>
        <w:rPr>
          <w:rFonts w:ascii="Times New Roman" w:hAnsi="Times New Roman" w:cs="Times New Roman" w:eastAsia="Times New Roman" w:hint="default"/>
        </w:rPr>
        <w:t>26</w:t>
      </w:r>
      <w:r>
        <w:rPr/>
        <w:t>、递延收益</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583"/>
        <w:gridCol w:w="1607"/>
        <w:gridCol w:w="1595"/>
        <w:gridCol w:w="1594"/>
        <w:gridCol w:w="1594"/>
        <w:gridCol w:w="1595"/>
      </w:tblGrid>
      <w:tr>
        <w:trPr>
          <w:trHeight w:val="401" w:hRule="exact"/>
        </w:trPr>
        <w:tc>
          <w:tcPr>
            <w:tcW w:w="15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60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44"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33"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32"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31"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形成原因</w:t>
            </w:r>
          </w:p>
        </w:tc>
      </w:tr>
      <w:tr>
        <w:trPr>
          <w:trHeight w:val="402" w:hRule="exact"/>
        </w:trPr>
        <w:tc>
          <w:tcPr>
            <w:tcW w:w="15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政府补助</w:t>
            </w:r>
          </w:p>
        </w:tc>
        <w:tc>
          <w:tcPr>
            <w:tcW w:w="160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18,928,075.00</w:t>
            </w: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1,475,241.67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17,452,833.33</w:t>
            </w:r>
          </w:p>
        </w:tc>
        <w:tc>
          <w:tcPr>
            <w:tcW w:w="159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5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60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18,928,075.00</w:t>
            </w: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1,475,241.67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17,452,833.33</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left="1" w:right="0"/>
              <w:jc w:val="center"/>
              <w:rPr>
                <w:rFonts w:ascii="Times New Roman" w:hAnsi="Times New Roman" w:cs="Times New Roman" w:eastAsia="Times New Roman" w:hint="default"/>
                <w:sz w:val="18"/>
                <w:szCs w:val="18"/>
              </w:rPr>
            </w:pPr>
            <w:r>
              <w:rPr>
                <w:rFonts w:ascii="Times New Roman"/>
                <w:sz w:val="18"/>
              </w:rPr>
              <w:t>--</w:t>
            </w:r>
          </w:p>
        </w:tc>
      </w:tr>
    </w:tbl>
    <w:p>
      <w:pPr>
        <w:spacing w:before="51"/>
        <w:ind w:left="154" w:right="1117" w:firstLine="0"/>
        <w:jc w:val="left"/>
        <w:rPr>
          <w:rFonts w:ascii="宋体" w:hAnsi="宋体" w:cs="宋体" w:eastAsia="宋体" w:hint="default"/>
          <w:sz w:val="18"/>
          <w:szCs w:val="18"/>
        </w:rPr>
      </w:pPr>
      <w:r>
        <w:rPr>
          <w:rFonts w:ascii="宋体" w:hAnsi="宋体" w:cs="宋体" w:eastAsia="宋体" w:hint="default"/>
          <w:sz w:val="18"/>
          <w:szCs w:val="18"/>
        </w:rPr>
        <w:t>涉及政府补助的项目：</w:t>
      </w:r>
    </w:p>
    <w:p>
      <w:pPr>
        <w:spacing w:before="116"/>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064"/>
        <w:gridCol w:w="1064"/>
        <w:gridCol w:w="1063"/>
        <w:gridCol w:w="1064"/>
        <w:gridCol w:w="1063"/>
        <w:gridCol w:w="1063"/>
        <w:gridCol w:w="1064"/>
        <w:gridCol w:w="1062"/>
        <w:gridCol w:w="1063"/>
      </w:tblGrid>
      <w:tr>
        <w:trPr>
          <w:trHeight w:val="1026" w:hRule="exact"/>
        </w:trPr>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负债项目</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66"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56" w:right="74" w:hanging="180"/>
              <w:jc w:val="left"/>
              <w:rPr>
                <w:rFonts w:ascii="宋体" w:hAnsi="宋体" w:cs="宋体" w:eastAsia="宋体" w:hint="default"/>
                <w:sz w:val="18"/>
                <w:szCs w:val="18"/>
              </w:rPr>
            </w:pPr>
            <w:r>
              <w:rPr>
                <w:rFonts w:ascii="宋体" w:hAnsi="宋体" w:cs="宋体" w:eastAsia="宋体" w:hint="default"/>
                <w:sz w:val="18"/>
                <w:szCs w:val="18"/>
              </w:rPr>
              <w:t>本期新增补 助金额</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75" w:right="76"/>
              <w:jc w:val="center"/>
              <w:rPr>
                <w:rFonts w:ascii="宋体" w:hAnsi="宋体" w:cs="宋体" w:eastAsia="宋体" w:hint="default"/>
                <w:sz w:val="18"/>
                <w:szCs w:val="18"/>
              </w:rPr>
            </w:pPr>
            <w:r>
              <w:rPr>
                <w:rFonts w:ascii="宋体" w:hAnsi="宋体" w:cs="宋体" w:eastAsia="宋体" w:hint="default"/>
                <w:sz w:val="18"/>
                <w:szCs w:val="18"/>
              </w:rPr>
              <w:t>本期计入营 业外收入金 额</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75" w:right="77"/>
              <w:jc w:val="left"/>
              <w:rPr>
                <w:rFonts w:ascii="宋体" w:hAnsi="宋体" w:cs="宋体" w:eastAsia="宋体" w:hint="default"/>
                <w:sz w:val="18"/>
                <w:szCs w:val="18"/>
              </w:rPr>
            </w:pPr>
            <w:r>
              <w:rPr>
                <w:rFonts w:ascii="宋体" w:hAnsi="宋体" w:cs="宋体" w:eastAsia="宋体" w:hint="default"/>
                <w:sz w:val="18"/>
                <w:szCs w:val="18"/>
              </w:rPr>
              <w:t>本期计入其 他收益金额</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75" w:right="77"/>
              <w:jc w:val="left"/>
              <w:rPr>
                <w:rFonts w:ascii="宋体" w:hAnsi="宋体" w:cs="宋体" w:eastAsia="宋体" w:hint="default"/>
                <w:sz w:val="18"/>
                <w:szCs w:val="18"/>
              </w:rPr>
            </w:pPr>
            <w:r>
              <w:rPr>
                <w:rFonts w:ascii="宋体" w:hAnsi="宋体" w:cs="宋体" w:eastAsia="宋体" w:hint="default"/>
                <w:sz w:val="18"/>
                <w:szCs w:val="18"/>
              </w:rPr>
              <w:t>本期冲减成 本费用金额</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65" w:right="0"/>
              <w:jc w:val="left"/>
              <w:rPr>
                <w:rFonts w:ascii="宋体" w:hAnsi="宋体" w:cs="宋体" w:eastAsia="宋体" w:hint="default"/>
                <w:sz w:val="18"/>
                <w:szCs w:val="18"/>
              </w:rPr>
            </w:pPr>
            <w:r>
              <w:rPr>
                <w:rFonts w:ascii="宋体" w:hAnsi="宋体" w:cs="宋体" w:eastAsia="宋体" w:hint="default"/>
                <w:sz w:val="18"/>
                <w:szCs w:val="18"/>
              </w:rPr>
              <w:t>其他变动</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65"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00" w:lineRule="auto"/>
              <w:ind w:left="76" w:right="51" w:hanging="26"/>
              <w:jc w:val="left"/>
              <w:rPr>
                <w:rFonts w:ascii="宋体" w:hAnsi="宋体" w:cs="宋体" w:eastAsia="宋体" w:hint="default"/>
                <w:sz w:val="18"/>
                <w:szCs w:val="18"/>
              </w:rPr>
            </w:pPr>
            <w:r>
              <w:rPr>
                <w:rFonts w:ascii="宋体" w:hAnsi="宋体" w:cs="宋体" w:eastAsia="宋体" w:hint="default"/>
                <w:sz w:val="18"/>
                <w:szCs w:val="18"/>
              </w:rPr>
              <w:t>与资产相关</w:t>
            </w:r>
            <w:r>
              <w:rPr>
                <w:rFonts w:ascii="Times New Roman" w:hAnsi="Times New Roman" w:cs="Times New Roman" w:eastAsia="Times New Roman" w:hint="default"/>
                <w:sz w:val="18"/>
                <w:szCs w:val="18"/>
              </w:rPr>
              <w:t>/ </w:t>
            </w:r>
            <w:r>
              <w:rPr>
                <w:rFonts w:ascii="宋体" w:hAnsi="宋体" w:cs="宋体" w:eastAsia="宋体" w:hint="default"/>
                <w:sz w:val="18"/>
                <w:szCs w:val="18"/>
              </w:rPr>
              <w:t>与收益相关</w:t>
            </w:r>
          </w:p>
        </w:tc>
      </w:tr>
      <w:tr>
        <w:trPr>
          <w:trHeight w:val="1026" w:hRule="exact"/>
        </w:trPr>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1"/>
              <w:ind w:left="22" w:right="41"/>
              <w:jc w:val="left"/>
              <w:rPr>
                <w:rFonts w:ascii="宋体" w:hAnsi="宋体" w:cs="宋体" w:eastAsia="宋体" w:hint="default"/>
                <w:sz w:val="18"/>
                <w:szCs w:val="18"/>
              </w:rPr>
            </w:pPr>
            <w:r>
              <w:rPr>
                <w:rFonts w:ascii="宋体" w:hAnsi="宋体" w:cs="宋体" w:eastAsia="宋体" w:hint="default"/>
                <w:sz w:val="18"/>
                <w:szCs w:val="18"/>
              </w:rPr>
              <w:t>郑州</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 度信息化发 展专项资金</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20,000.00</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20,000.00</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3" w:right="0"/>
              <w:jc w:val="left"/>
              <w:rPr>
                <w:rFonts w:ascii="宋体" w:hAnsi="宋体" w:cs="宋体" w:eastAsia="宋体" w:hint="default"/>
                <w:sz w:val="18"/>
                <w:szCs w:val="18"/>
              </w:rPr>
            </w:pPr>
            <w:r>
              <w:rPr>
                <w:rFonts w:ascii="宋体" w:hAnsi="宋体" w:cs="宋体" w:eastAsia="宋体" w:hint="default"/>
                <w:sz w:val="18"/>
                <w:szCs w:val="18"/>
              </w:rPr>
              <w:t>与资产相关</w:t>
            </w:r>
          </w:p>
        </w:tc>
      </w:tr>
      <w:tr>
        <w:trPr>
          <w:trHeight w:val="1338" w:hRule="exact"/>
        </w:trPr>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51"/>
              <w:ind w:left="22" w:right="34"/>
              <w:jc w:val="left"/>
              <w:rPr>
                <w:rFonts w:ascii="宋体" w:hAnsi="宋体" w:cs="宋体" w:eastAsia="宋体" w:hint="default"/>
                <w:sz w:val="18"/>
                <w:szCs w:val="18"/>
              </w:rPr>
            </w:pPr>
            <w:r>
              <w:rPr>
                <w:rFonts w:ascii="宋体" w:hAnsi="宋体" w:cs="宋体" w:eastAsia="宋体" w:hint="default"/>
                <w:sz w:val="18"/>
                <w:szCs w:val="18"/>
              </w:rPr>
              <w:t>智能卡</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RFID</w:t>
            </w:r>
            <w:r>
              <w:rPr>
                <w:rFonts w:ascii="Times New Roman" w:hAnsi="Times New Roman" w:cs="Times New Roman" w:eastAsia="Times New Roman" w:hint="default"/>
                <w:w w:val="99"/>
                <w:sz w:val="18"/>
                <w:szCs w:val="18"/>
              </w:rPr>
              <w:t> </w:t>
            </w:r>
            <w:r>
              <w:rPr>
                <w:rFonts w:ascii="宋体" w:hAnsi="宋体" w:cs="宋体" w:eastAsia="宋体" w:hint="default"/>
                <w:sz w:val="18"/>
                <w:szCs w:val="18"/>
              </w:rPr>
              <w:t>支付与识别 产品产业化 应用</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266,666.67</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200,000.00</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66,666.67</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与资产相关</w:t>
            </w:r>
          </w:p>
        </w:tc>
      </w:tr>
      <w:tr>
        <w:trPr>
          <w:trHeight w:val="1026" w:hRule="exact"/>
        </w:trPr>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29"/>
              <w:jc w:val="left"/>
              <w:rPr>
                <w:rFonts w:ascii="宋体" w:hAnsi="宋体" w:cs="宋体" w:eastAsia="宋体" w:hint="default"/>
                <w:sz w:val="18"/>
                <w:szCs w:val="18"/>
              </w:rPr>
            </w:pPr>
            <w:r>
              <w:rPr>
                <w:rFonts w:ascii="宋体" w:hAnsi="宋体" w:cs="宋体" w:eastAsia="宋体" w:hint="default"/>
                <w:sz w:val="18"/>
                <w:szCs w:val="18"/>
              </w:rPr>
              <w:t>政府奖励车 一辆（豫 </w:t>
            </w:r>
            <w:r>
              <w:rPr>
                <w:rFonts w:ascii="Times New Roman" w:hAnsi="Times New Roman" w:cs="Times New Roman" w:eastAsia="Times New Roman" w:hint="default"/>
                <w:sz w:val="18"/>
                <w:szCs w:val="18"/>
              </w:rPr>
              <w:t>A521GX</w:t>
            </w:r>
            <w:r>
              <w:rPr>
                <w:rFonts w:ascii="宋体" w:hAnsi="宋体" w:cs="宋体" w:eastAsia="宋体" w:hint="default"/>
                <w:sz w:val="18"/>
                <w:szCs w:val="18"/>
              </w:rPr>
              <w:t>）</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69,075.00</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69,075.00</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3" w:right="0"/>
              <w:jc w:val="left"/>
              <w:rPr>
                <w:rFonts w:ascii="宋体" w:hAnsi="宋体" w:cs="宋体" w:eastAsia="宋体" w:hint="default"/>
                <w:sz w:val="18"/>
                <w:szCs w:val="18"/>
              </w:rPr>
            </w:pPr>
            <w:r>
              <w:rPr>
                <w:rFonts w:ascii="宋体" w:hAnsi="宋体" w:cs="宋体" w:eastAsia="宋体" w:hint="default"/>
                <w:sz w:val="18"/>
                <w:szCs w:val="18"/>
              </w:rPr>
              <w:t>与资产相关</w:t>
            </w:r>
          </w:p>
        </w:tc>
      </w:tr>
      <w:tr>
        <w:trPr>
          <w:trHeight w:val="1650" w:hRule="exact"/>
        </w:trPr>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2" w:right="84"/>
              <w:jc w:val="both"/>
              <w:rPr>
                <w:rFonts w:ascii="宋体" w:hAnsi="宋体" w:cs="宋体" w:eastAsia="宋体" w:hint="default"/>
                <w:sz w:val="18"/>
                <w:szCs w:val="18"/>
              </w:rPr>
            </w:pPr>
            <w:r>
              <w:rPr>
                <w:rFonts w:ascii="宋体" w:hAnsi="宋体" w:cs="宋体" w:eastAsia="宋体" w:hint="default"/>
                <w:sz w:val="18"/>
                <w:szCs w:val="18"/>
              </w:rPr>
              <w:t>基于金融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IC </w:t>
            </w:r>
            <w:r>
              <w:rPr>
                <w:rFonts w:ascii="宋体" w:hAnsi="宋体" w:cs="宋体" w:eastAsia="宋体" w:hint="default"/>
                <w:sz w:val="18"/>
                <w:szCs w:val="18"/>
              </w:rPr>
              <w:t>卡的移动支 付信息化服 务平台与终 端项目</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989,000.00</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494,500.00</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494,500.00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与资产相关</w:t>
            </w:r>
          </w:p>
        </w:tc>
      </w:tr>
      <w:tr>
        <w:trPr>
          <w:trHeight w:val="3834" w:hRule="exact"/>
        </w:trPr>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1"/>
              <w:ind w:left="22" w:right="23"/>
              <w:jc w:val="left"/>
              <w:rPr>
                <w:rFonts w:ascii="宋体" w:hAnsi="宋体" w:cs="宋体" w:eastAsia="宋体" w:hint="default"/>
                <w:sz w:val="18"/>
                <w:szCs w:val="18"/>
              </w:rPr>
            </w:pPr>
            <w:r>
              <w:rPr>
                <w:rFonts w:ascii="宋体" w:hAnsi="宋体" w:cs="宋体" w:eastAsia="宋体" w:hint="default"/>
                <w:sz w:val="18"/>
                <w:szCs w:val="18"/>
              </w:rPr>
              <w:t>年产</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套金 融支付系统 及</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万台终 </w:t>
            </w:r>
            <w:r>
              <w:rPr>
                <w:rFonts w:ascii="宋体" w:hAnsi="宋体" w:cs="宋体" w:eastAsia="宋体" w:hint="default"/>
                <w:spacing w:val="-10"/>
                <w:sz w:val="18"/>
                <w:szCs w:val="18"/>
              </w:rPr>
              <w:t>端项目（</w:t>
            </w:r>
            <w:r>
              <w:rPr>
                <w:rFonts w:ascii="Times New Roman" w:hAnsi="Times New Roman" w:cs="Times New Roman" w:eastAsia="Times New Roman" w:hint="default"/>
                <w:spacing w:val="-10"/>
                <w:sz w:val="18"/>
                <w:szCs w:val="18"/>
              </w:rPr>
              <w:t>2013</w:t>
            </w:r>
            <w:r>
              <w:rPr>
                <w:rFonts w:ascii="Times New Roman" w:hAnsi="Times New Roman" w:cs="Times New Roman" w:eastAsia="Times New Roman" w:hint="default"/>
                <w:spacing w:val="-39"/>
                <w:sz w:val="18"/>
                <w:szCs w:val="18"/>
              </w:rPr>
              <w:t> </w:t>
            </w:r>
            <w:r>
              <w:rPr>
                <w:rFonts w:ascii="宋体" w:hAnsi="宋体" w:cs="宋体" w:eastAsia="宋体" w:hint="default"/>
                <w:sz w:val="18"/>
                <w:szCs w:val="18"/>
              </w:rPr>
              <w:t>年度郑州市 信息化发展 专项资金）</w:t>
            </w:r>
          </w:p>
          <w:p>
            <w:pPr>
              <w:pStyle w:val="TableParagraph"/>
              <w:spacing w:line="314" w:lineRule="auto" w:before="24"/>
              <w:ind w:left="22" w:right="55"/>
              <w:jc w:val="left"/>
              <w:rPr>
                <w:rFonts w:ascii="Times New Roman" w:hAnsi="Times New Roman" w:cs="Times New Roman" w:eastAsia="Times New Roman" w:hint="default"/>
                <w:sz w:val="18"/>
                <w:szCs w:val="18"/>
              </w:rPr>
            </w:pPr>
            <w:r>
              <w:rPr>
                <w:rFonts w:ascii="宋体" w:hAnsi="宋体" w:cs="宋体" w:eastAsia="宋体" w:hint="default"/>
                <w:sz w:val="18"/>
                <w:szCs w:val="18"/>
              </w:rPr>
              <w:t>（郑州市信 息化发展专 项资金</w:t>
            </w:r>
            <w:r>
              <w:rPr>
                <w:rFonts w:ascii="Times New Roman" w:hAnsi="Times New Roman" w:cs="Times New Roman" w:eastAsia="Times New Roman" w:hint="default"/>
                <w:sz w:val="18"/>
                <w:szCs w:val="18"/>
              </w:rPr>
              <w:t>"</w:t>
            </w:r>
            <w:r>
              <w:rPr>
                <w:rFonts w:ascii="宋体" w:hAnsi="宋体" w:cs="宋体" w:eastAsia="宋体" w:hint="default"/>
                <w:sz w:val="18"/>
                <w:szCs w:val="18"/>
              </w:rPr>
              <w:t>金融 支付系统及 终端项目</w:t>
            </w:r>
            <w:r>
              <w:rPr>
                <w:rFonts w:ascii="Times New Roman" w:hAnsi="Times New Roman" w:cs="Times New Roman" w:eastAsia="Times New Roman" w:hint="default"/>
                <w:sz w:val="18"/>
                <w:szCs w:val="18"/>
              </w:rPr>
              <w:t>"</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8"/>
              <w:ind w:right="20"/>
              <w:jc w:val="right"/>
              <w:rPr>
                <w:rFonts w:ascii="Times New Roman" w:hAnsi="Times New Roman" w:cs="Times New Roman" w:eastAsia="Times New Roman" w:hint="default"/>
                <w:sz w:val="18"/>
                <w:szCs w:val="18"/>
              </w:rPr>
            </w:pPr>
            <w:r>
              <w:rPr>
                <w:rFonts w:ascii="Times New Roman"/>
                <w:sz w:val="18"/>
              </w:rPr>
              <w:t>888,333.33</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8"/>
              <w:ind w:right="21"/>
              <w:jc w:val="right"/>
              <w:rPr>
                <w:rFonts w:ascii="Times New Roman" w:hAnsi="Times New Roman" w:cs="Times New Roman" w:eastAsia="Times New Roman" w:hint="default"/>
                <w:sz w:val="18"/>
                <w:szCs w:val="18"/>
              </w:rPr>
            </w:pPr>
            <w:r>
              <w:rPr>
                <w:rFonts w:ascii="Times New Roman"/>
                <w:sz w:val="18"/>
              </w:rPr>
              <w:t>260,000.00</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8"/>
              <w:ind w:right="20"/>
              <w:jc w:val="right"/>
              <w:rPr>
                <w:rFonts w:ascii="Times New Roman" w:hAnsi="Times New Roman" w:cs="Times New Roman" w:eastAsia="Times New Roman" w:hint="default"/>
                <w:sz w:val="18"/>
                <w:szCs w:val="18"/>
              </w:rPr>
            </w:pPr>
            <w:r>
              <w:rPr>
                <w:rFonts w:ascii="Times New Roman"/>
                <w:sz w:val="18"/>
              </w:rPr>
              <w:t>628,333.33</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8"/>
              <w:ind w:left="23" w:right="0"/>
              <w:jc w:val="left"/>
              <w:rPr>
                <w:rFonts w:ascii="宋体" w:hAnsi="宋体" w:cs="宋体" w:eastAsia="宋体" w:hint="default"/>
                <w:sz w:val="18"/>
                <w:szCs w:val="18"/>
              </w:rPr>
            </w:pPr>
            <w:r>
              <w:rPr>
                <w:rFonts w:ascii="宋体" w:hAnsi="宋体" w:cs="宋体" w:eastAsia="宋体" w:hint="default"/>
                <w:sz w:val="18"/>
                <w:szCs w:val="18"/>
              </w:rPr>
              <w:t>与资产相关</w:t>
            </w:r>
          </w:p>
        </w:tc>
      </w:tr>
      <w:tr>
        <w:trPr>
          <w:trHeight w:val="402" w:hRule="exact"/>
        </w:trPr>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61"/>
              <w:jc w:val="center"/>
              <w:rPr>
                <w:rFonts w:ascii="Times New Roman" w:hAnsi="Times New Roman" w:cs="Times New Roman" w:eastAsia="Times New Roman" w:hint="default"/>
                <w:sz w:val="18"/>
                <w:szCs w:val="18"/>
              </w:rPr>
            </w:pPr>
            <w:r>
              <w:rPr>
                <w:rFonts w:ascii="宋体" w:hAnsi="宋体" w:cs="宋体" w:eastAsia="宋体" w:hint="default"/>
                <w:sz w:val="18"/>
                <w:szCs w:val="18"/>
              </w:rPr>
              <w:t>基于金融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IC</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2,975,000.00</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2,975,000.00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与资产相关</w:t>
            </w:r>
          </w:p>
        </w:tc>
      </w:tr>
    </w:tbl>
    <w:p>
      <w:pPr>
        <w:spacing w:after="0" w:line="240" w:lineRule="auto"/>
        <w:jc w:val="left"/>
        <w:rPr>
          <w:rFonts w:ascii="宋体" w:hAnsi="宋体" w:cs="宋体" w:eastAsia="宋体" w:hint="default"/>
          <w:sz w:val="18"/>
          <w:szCs w:val="18"/>
        </w:rPr>
        <w:sectPr>
          <w:pgSz w:w="11910" w:h="16840"/>
          <w:pgMar w:header="877" w:footer="979" w:top="1060" w:bottom="1160" w:left="980" w:right="0"/>
        </w:sectPr>
      </w:pPr>
    </w:p>
    <w:p>
      <w:pPr>
        <w:spacing w:line="240" w:lineRule="auto" w:before="0"/>
        <w:rPr>
          <w:rFonts w:ascii="Times New Roman" w:hAnsi="Times New Roman" w:cs="Times New Roman" w:eastAsia="Times New Roman" w:hint="default"/>
          <w:sz w:val="20"/>
          <w:szCs w:val="20"/>
        </w:rPr>
      </w:pPr>
      <w:r>
        <w:rPr/>
        <w:pict>
          <v:group style="position:absolute;margin-left:110.120003pt;margin-top:301.939972pt;width:52.75pt;height:46.8pt;mso-position-horizontal-relative:page;mso-position-vertical-relative:page;z-index:-1221352" coordorigin="2202,6039" coordsize="1055,936">
            <v:shape style="position:absolute;left:2202;top:6039;width:1055;height:936" coordorigin="2202,6039" coordsize="1055,936" path="m2202,6975l3257,6975,3257,6039,2202,6039,2202,6975xe" filled="true" fillcolor="#ffffff" stroked="false">
              <v:path arrowok="t"/>
              <v:fill type="solid"/>
            </v:shape>
            <w10:wrap type="none"/>
          </v:group>
        </w:pict>
      </w: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064"/>
        <w:gridCol w:w="1064"/>
        <w:gridCol w:w="1063"/>
        <w:gridCol w:w="1064"/>
        <w:gridCol w:w="1063"/>
        <w:gridCol w:w="1063"/>
        <w:gridCol w:w="1064"/>
        <w:gridCol w:w="1062"/>
        <w:gridCol w:w="1063"/>
      </w:tblGrid>
      <w:tr>
        <w:trPr>
          <w:trHeight w:val="1923" w:hRule="exact"/>
        </w:trPr>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22" w:right="129"/>
              <w:jc w:val="both"/>
              <w:rPr>
                <w:rFonts w:ascii="宋体" w:hAnsi="宋体" w:cs="宋体" w:eastAsia="宋体" w:hint="default"/>
                <w:sz w:val="18"/>
                <w:szCs w:val="18"/>
              </w:rPr>
            </w:pPr>
            <w:r>
              <w:rPr>
                <w:rFonts w:ascii="宋体" w:hAnsi="宋体" w:cs="宋体" w:eastAsia="宋体" w:hint="default"/>
                <w:sz w:val="18"/>
                <w:szCs w:val="18"/>
              </w:rPr>
              <w:t>卡智能终端 产业化项目</w:t>
            </w:r>
          </w:p>
          <w:p>
            <w:pPr>
              <w:pStyle w:val="TableParagraph"/>
              <w:spacing w:line="312" w:lineRule="auto" w:before="19"/>
              <w:ind w:left="22" w:right="84"/>
              <w:jc w:val="both"/>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年省 先进制造业 专项引导资 金）</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29"/>
              <w:jc w:val="both"/>
              <w:rPr>
                <w:rFonts w:ascii="宋体" w:hAnsi="宋体" w:cs="宋体" w:eastAsia="宋体" w:hint="default"/>
                <w:sz w:val="18"/>
                <w:szCs w:val="18"/>
              </w:rPr>
            </w:pPr>
            <w:r>
              <w:rPr>
                <w:rFonts w:ascii="宋体" w:hAnsi="宋体" w:cs="宋体" w:eastAsia="宋体" w:hint="default"/>
                <w:sz w:val="18"/>
                <w:szCs w:val="18"/>
              </w:rPr>
              <w:t>重大科技专 项基于电信 运营的小额 支付</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0"/>
              <w:jc w:val="right"/>
              <w:rPr>
                <w:rFonts w:ascii="Times New Roman" w:hAnsi="Times New Roman" w:cs="Times New Roman" w:eastAsia="Times New Roman" w:hint="default"/>
                <w:sz w:val="18"/>
                <w:szCs w:val="18"/>
              </w:rPr>
            </w:pPr>
            <w:r>
              <w:rPr>
                <w:rFonts w:ascii="Times New Roman"/>
                <w:spacing w:val="-1"/>
                <w:sz w:val="18"/>
              </w:rPr>
              <w:t>1,000,000.00</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0"/>
              <w:jc w:val="right"/>
              <w:rPr>
                <w:rFonts w:ascii="Times New Roman" w:hAnsi="Times New Roman" w:cs="Times New Roman" w:eastAsia="Times New Roman" w:hint="default"/>
                <w:sz w:val="18"/>
                <w:szCs w:val="18"/>
              </w:rPr>
            </w:pPr>
            <w:r>
              <w:rPr>
                <w:rFonts w:ascii="Times New Roman"/>
                <w:spacing w:val="-1"/>
                <w:sz w:val="18"/>
              </w:rPr>
              <w:t>1,000,000.00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3" w:right="0"/>
              <w:jc w:val="left"/>
              <w:rPr>
                <w:rFonts w:ascii="宋体" w:hAnsi="宋体" w:cs="宋体" w:eastAsia="宋体" w:hint="default"/>
                <w:sz w:val="18"/>
                <w:szCs w:val="18"/>
              </w:rPr>
            </w:pPr>
            <w:r>
              <w:rPr>
                <w:rFonts w:ascii="宋体" w:hAnsi="宋体" w:cs="宋体" w:eastAsia="宋体" w:hint="default"/>
                <w:sz w:val="18"/>
                <w:szCs w:val="18"/>
              </w:rPr>
              <w:t>与资产相关</w:t>
            </w:r>
          </w:p>
        </w:tc>
      </w:tr>
      <w:tr>
        <w:trPr>
          <w:trHeight w:val="2274" w:hRule="exact"/>
        </w:trPr>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29"/>
              <w:jc w:val="both"/>
              <w:rPr>
                <w:rFonts w:ascii="宋体" w:hAnsi="宋体" w:cs="宋体" w:eastAsia="宋体" w:hint="default"/>
                <w:sz w:val="18"/>
                <w:szCs w:val="18"/>
              </w:rPr>
            </w:pPr>
            <w:r>
              <w:rPr>
                <w:rFonts w:ascii="宋体" w:hAnsi="宋体" w:cs="宋体" w:eastAsia="宋体" w:hint="default"/>
                <w:sz w:val="18"/>
                <w:szCs w:val="18"/>
              </w:rPr>
              <w:t>基于物联网 应用的系列 智能终端与</w:t>
            </w:r>
          </w:p>
          <w:p>
            <w:pPr>
              <w:pStyle w:val="TableParagraph"/>
              <w:spacing w:line="312" w:lineRule="auto" w:before="19"/>
              <w:ind w:left="22" w:right="-49"/>
              <w:jc w:val="left"/>
              <w:rPr>
                <w:rFonts w:ascii="宋体" w:hAnsi="宋体" w:cs="宋体" w:eastAsia="宋体" w:hint="default"/>
                <w:sz w:val="18"/>
                <w:szCs w:val="18"/>
              </w:rPr>
            </w:pPr>
            <w:r>
              <w:rPr>
                <w:rFonts w:ascii="宋体" w:hAnsi="宋体" w:cs="宋体" w:eastAsia="宋体" w:hint="default"/>
                <w:sz w:val="18"/>
                <w:szCs w:val="18"/>
              </w:rPr>
              <w:t>（高新区财 政局</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 物联网发展 专项资金款）</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1,000,000.00</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1,000,000.00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23" w:right="0"/>
              <w:jc w:val="left"/>
              <w:rPr>
                <w:rFonts w:ascii="宋体" w:hAnsi="宋体" w:cs="宋体" w:eastAsia="宋体" w:hint="default"/>
                <w:sz w:val="18"/>
                <w:szCs w:val="18"/>
              </w:rPr>
            </w:pPr>
            <w:r>
              <w:rPr>
                <w:rFonts w:ascii="宋体" w:hAnsi="宋体" w:cs="宋体" w:eastAsia="宋体" w:hint="default"/>
                <w:sz w:val="18"/>
                <w:szCs w:val="18"/>
              </w:rPr>
              <w:t>与资产相关</w:t>
            </w:r>
          </w:p>
        </w:tc>
      </w:tr>
      <w:tr>
        <w:trPr>
          <w:trHeight w:val="2586" w:hRule="exact"/>
        </w:trPr>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51"/>
              <w:ind w:left="22" w:right="93"/>
              <w:jc w:val="both"/>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年度高 新技术开发 区技术研究 与开发经费</w:t>
            </w:r>
          </w:p>
          <w:p>
            <w:pPr>
              <w:pStyle w:val="TableParagraph"/>
              <w:spacing w:line="319" w:lineRule="auto" w:before="23"/>
              <w:ind w:left="22" w:right="129"/>
              <w:jc w:val="both"/>
              <w:rPr>
                <w:rFonts w:ascii="宋体" w:hAnsi="宋体" w:cs="宋体" w:eastAsia="宋体" w:hint="default"/>
                <w:sz w:val="18"/>
                <w:szCs w:val="18"/>
              </w:rPr>
            </w:pPr>
            <w:r>
              <w:rPr>
                <w:rFonts w:ascii="宋体" w:hAnsi="宋体" w:cs="宋体" w:eastAsia="宋体" w:hint="default"/>
                <w:sz w:val="18"/>
                <w:szCs w:val="18"/>
              </w:rPr>
              <w:t>（郑州市财 政局产业技 术创新专项 资金）</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8"/>
              <w:ind w:right="20"/>
              <w:jc w:val="right"/>
              <w:rPr>
                <w:rFonts w:ascii="Times New Roman" w:hAnsi="Times New Roman" w:cs="Times New Roman" w:eastAsia="Times New Roman" w:hint="default"/>
                <w:sz w:val="18"/>
                <w:szCs w:val="18"/>
              </w:rPr>
            </w:pPr>
            <w:r>
              <w:rPr>
                <w:rFonts w:ascii="Times New Roman"/>
                <w:sz w:val="18"/>
              </w:rPr>
              <w:t>500,000.00</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8"/>
              <w:ind w:right="20"/>
              <w:jc w:val="right"/>
              <w:rPr>
                <w:rFonts w:ascii="Times New Roman" w:hAnsi="Times New Roman" w:cs="Times New Roman" w:eastAsia="Times New Roman" w:hint="default"/>
                <w:sz w:val="18"/>
                <w:szCs w:val="18"/>
              </w:rPr>
            </w:pPr>
            <w:r>
              <w:rPr>
                <w:rFonts w:ascii="Times New Roman"/>
                <w:sz w:val="18"/>
              </w:rPr>
              <w:t>500,000.00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23" w:right="0"/>
              <w:jc w:val="left"/>
              <w:rPr>
                <w:rFonts w:ascii="宋体" w:hAnsi="宋体" w:cs="宋体" w:eastAsia="宋体" w:hint="default"/>
                <w:sz w:val="18"/>
                <w:szCs w:val="18"/>
              </w:rPr>
            </w:pPr>
            <w:r>
              <w:rPr>
                <w:rFonts w:ascii="宋体" w:hAnsi="宋体" w:cs="宋体" w:eastAsia="宋体" w:hint="default"/>
                <w:sz w:val="18"/>
                <w:szCs w:val="18"/>
              </w:rPr>
              <w:t>与资产相关</w:t>
            </w:r>
          </w:p>
        </w:tc>
      </w:tr>
      <w:tr>
        <w:trPr>
          <w:trHeight w:val="1338" w:hRule="exact"/>
        </w:trPr>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29"/>
              <w:jc w:val="both"/>
              <w:rPr>
                <w:rFonts w:ascii="宋体" w:hAnsi="宋体" w:cs="宋体" w:eastAsia="宋体" w:hint="default"/>
                <w:sz w:val="18"/>
                <w:szCs w:val="18"/>
              </w:rPr>
            </w:pPr>
            <w:r>
              <w:rPr>
                <w:rFonts w:ascii="宋体" w:hAnsi="宋体" w:cs="宋体" w:eastAsia="宋体" w:hint="default"/>
                <w:sz w:val="18"/>
                <w:szCs w:val="18"/>
              </w:rPr>
              <w:t>物联网通信 与组网关键 技术的研究 及应用</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0"/>
              <w:jc w:val="right"/>
              <w:rPr>
                <w:rFonts w:ascii="Times New Roman" w:hAnsi="Times New Roman" w:cs="Times New Roman" w:eastAsia="Times New Roman" w:hint="default"/>
                <w:sz w:val="18"/>
                <w:szCs w:val="18"/>
              </w:rPr>
            </w:pPr>
            <w:r>
              <w:rPr>
                <w:rFonts w:ascii="Times New Roman"/>
                <w:sz w:val="18"/>
              </w:rPr>
              <w:t>700,000.00</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0"/>
              <w:jc w:val="right"/>
              <w:rPr>
                <w:rFonts w:ascii="Times New Roman" w:hAnsi="Times New Roman" w:cs="Times New Roman" w:eastAsia="Times New Roman" w:hint="default"/>
                <w:sz w:val="18"/>
                <w:szCs w:val="18"/>
              </w:rPr>
            </w:pPr>
            <w:r>
              <w:rPr>
                <w:rFonts w:ascii="Times New Roman"/>
                <w:sz w:val="18"/>
              </w:rPr>
              <w:t>700,000.00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3" w:right="0"/>
              <w:jc w:val="left"/>
              <w:rPr>
                <w:rFonts w:ascii="宋体" w:hAnsi="宋体" w:cs="宋体" w:eastAsia="宋体" w:hint="default"/>
                <w:sz w:val="18"/>
                <w:szCs w:val="18"/>
              </w:rPr>
            </w:pPr>
            <w:r>
              <w:rPr>
                <w:rFonts w:ascii="宋体" w:hAnsi="宋体" w:cs="宋体" w:eastAsia="宋体" w:hint="default"/>
                <w:sz w:val="18"/>
                <w:szCs w:val="18"/>
              </w:rPr>
              <w:t>与资产相关</w:t>
            </w:r>
          </w:p>
        </w:tc>
      </w:tr>
      <w:tr>
        <w:trPr>
          <w:trHeight w:val="1650" w:hRule="exact"/>
        </w:trPr>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2" w:right="41"/>
              <w:jc w:val="left"/>
              <w:rPr>
                <w:rFonts w:ascii="宋体" w:hAnsi="宋体" w:cs="宋体" w:eastAsia="宋体" w:hint="default"/>
                <w:sz w:val="18"/>
                <w:szCs w:val="18"/>
              </w:rPr>
            </w:pPr>
            <w:r>
              <w:rPr>
                <w:rFonts w:ascii="宋体" w:hAnsi="宋体" w:cs="宋体" w:eastAsia="宋体" w:hint="default"/>
                <w:sz w:val="18"/>
                <w:szCs w:val="18"/>
              </w:rPr>
              <w:t>基于云架构 的金融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IC</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卡 公共服务运 营平台及终 端项目</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1,000,000.00</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1,000,000.00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与资产相关</w:t>
            </w:r>
          </w:p>
        </w:tc>
      </w:tr>
      <w:tr>
        <w:trPr>
          <w:trHeight w:val="714" w:hRule="exact"/>
        </w:trPr>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29"/>
              <w:jc w:val="left"/>
              <w:rPr>
                <w:rFonts w:ascii="宋体" w:hAnsi="宋体" w:cs="宋体" w:eastAsia="宋体" w:hint="default"/>
                <w:sz w:val="18"/>
                <w:szCs w:val="18"/>
              </w:rPr>
            </w:pPr>
            <w:r>
              <w:rPr>
                <w:rFonts w:ascii="宋体" w:hAnsi="宋体" w:cs="宋体" w:eastAsia="宋体" w:hint="default"/>
                <w:sz w:val="18"/>
                <w:szCs w:val="18"/>
              </w:rPr>
              <w:t>驾校综合管 理系统研发</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200,000.00</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200,000.00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与资产相关</w:t>
            </w:r>
          </w:p>
        </w:tc>
      </w:tr>
      <w:tr>
        <w:trPr>
          <w:trHeight w:val="1650" w:hRule="exact"/>
        </w:trPr>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29"/>
              <w:jc w:val="both"/>
              <w:rPr>
                <w:rFonts w:ascii="宋体" w:hAnsi="宋体" w:cs="宋体" w:eastAsia="宋体" w:hint="default"/>
                <w:sz w:val="18"/>
                <w:szCs w:val="18"/>
              </w:rPr>
            </w:pPr>
            <w:r>
              <w:rPr>
                <w:rFonts w:ascii="宋体" w:hAnsi="宋体" w:cs="宋体" w:eastAsia="宋体" w:hint="default"/>
                <w:sz w:val="18"/>
                <w:szCs w:val="18"/>
              </w:rPr>
              <w:t>基于远距离 射频识别技 术的终端产 品研究与开 发</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6"/>
                <w:szCs w:val="26"/>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1,000,000.00</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6"/>
                <w:szCs w:val="26"/>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1,000,000.00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2"/>
                <w:szCs w:val="22"/>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与资产相关</w:t>
            </w:r>
          </w:p>
        </w:tc>
      </w:tr>
      <w:tr>
        <w:trPr>
          <w:trHeight w:val="402" w:hRule="exact"/>
        </w:trPr>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22" w:right="0"/>
              <w:jc w:val="left"/>
              <w:rPr>
                <w:rFonts w:ascii="宋体" w:hAnsi="宋体" w:cs="宋体" w:eastAsia="宋体" w:hint="default"/>
                <w:sz w:val="18"/>
                <w:szCs w:val="18"/>
              </w:rPr>
            </w:pPr>
            <w:r>
              <w:rPr>
                <w:rFonts w:ascii="宋体" w:hAnsi="宋体" w:cs="宋体" w:eastAsia="宋体" w:hint="default"/>
                <w:sz w:val="18"/>
                <w:szCs w:val="18"/>
              </w:rPr>
              <w:t>基于</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NFC</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技</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300,000.00</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300,000.00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与资产相关</w:t>
            </w:r>
          </w:p>
        </w:tc>
      </w:tr>
    </w:tbl>
    <w:p>
      <w:pPr>
        <w:spacing w:after="0" w:line="240" w:lineRule="auto"/>
        <w:jc w:val="left"/>
        <w:rPr>
          <w:rFonts w:ascii="宋体" w:hAnsi="宋体" w:cs="宋体" w:eastAsia="宋体" w:hint="default"/>
          <w:sz w:val="18"/>
          <w:szCs w:val="18"/>
        </w:rPr>
        <w:sectPr>
          <w:pgSz w:w="11910" w:h="16840"/>
          <w:pgMar w:header="87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064"/>
        <w:gridCol w:w="1064"/>
        <w:gridCol w:w="1063"/>
        <w:gridCol w:w="1064"/>
        <w:gridCol w:w="1063"/>
        <w:gridCol w:w="1063"/>
        <w:gridCol w:w="1064"/>
        <w:gridCol w:w="1062"/>
        <w:gridCol w:w="1063"/>
      </w:tblGrid>
      <w:tr>
        <w:trPr>
          <w:trHeight w:val="1298" w:hRule="exact"/>
        </w:trPr>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10"/>
              <w:ind w:left="22" w:right="84"/>
              <w:jc w:val="both"/>
              <w:rPr>
                <w:rFonts w:ascii="宋体" w:hAnsi="宋体" w:cs="宋体" w:eastAsia="宋体" w:hint="default"/>
                <w:sz w:val="18"/>
                <w:szCs w:val="18"/>
              </w:rPr>
            </w:pPr>
            <w:r>
              <w:rPr>
                <w:rFonts w:ascii="宋体" w:hAnsi="宋体" w:cs="宋体" w:eastAsia="宋体" w:hint="default"/>
                <w:sz w:val="18"/>
                <w:szCs w:val="18"/>
              </w:rPr>
              <w:t>术的金融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IC </w:t>
            </w:r>
            <w:r>
              <w:rPr>
                <w:rFonts w:ascii="宋体" w:hAnsi="宋体" w:cs="宋体" w:eastAsia="宋体" w:hint="default"/>
                <w:sz w:val="18"/>
                <w:szCs w:val="18"/>
              </w:rPr>
              <w:t>卡移动支付 综合应用系 统</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3522" w:hRule="exact"/>
        </w:trPr>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51"/>
              <w:ind w:left="22" w:right="22"/>
              <w:jc w:val="left"/>
              <w:rPr>
                <w:rFonts w:ascii="宋体" w:hAnsi="宋体" w:cs="宋体" w:eastAsia="宋体" w:hint="default"/>
                <w:sz w:val="18"/>
                <w:szCs w:val="18"/>
              </w:rPr>
            </w:pPr>
            <w:r>
              <w:rPr>
                <w:rFonts w:ascii="宋体" w:hAnsi="宋体" w:cs="宋体" w:eastAsia="宋体" w:hint="default"/>
                <w:sz w:val="18"/>
                <w:szCs w:val="18"/>
              </w:rPr>
              <w:t>教科文处 </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年郑州 市第二批科 技计划项目 </w:t>
            </w:r>
            <w:r>
              <w:rPr>
                <w:rFonts w:ascii="宋体" w:hAnsi="宋体" w:cs="宋体" w:eastAsia="宋体" w:hint="default"/>
                <w:spacing w:val="-13"/>
                <w:sz w:val="18"/>
                <w:szCs w:val="18"/>
              </w:rPr>
              <w:t>经费（郑州市</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科技计划经 费</w:t>
            </w:r>
            <w:r>
              <w:rPr>
                <w:rFonts w:ascii="Times New Roman" w:hAnsi="Times New Roman" w:cs="Times New Roman" w:eastAsia="Times New Roman" w:hint="default"/>
                <w:sz w:val="18"/>
                <w:szCs w:val="18"/>
              </w:rPr>
              <w:t>"</w:t>
            </w:r>
            <w:r>
              <w:rPr>
                <w:rFonts w:ascii="宋体" w:hAnsi="宋体" w:cs="宋体" w:eastAsia="宋体" w:hint="default"/>
                <w:sz w:val="18"/>
                <w:szCs w:val="18"/>
              </w:rPr>
              <w:t>基于物联 网与金融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IC </w:t>
            </w:r>
            <w:r>
              <w:rPr>
                <w:rFonts w:ascii="宋体" w:hAnsi="宋体" w:cs="宋体" w:eastAsia="宋体" w:hint="default"/>
                <w:sz w:val="18"/>
                <w:szCs w:val="18"/>
              </w:rPr>
              <w:t>卡的智能终 端产业化项 目</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3,000,000.00</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62" w:right="0"/>
              <w:jc w:val="center"/>
              <w:rPr>
                <w:rFonts w:ascii="Times New Roman" w:hAnsi="Times New Roman" w:cs="Times New Roman" w:eastAsia="Times New Roman" w:hint="default"/>
                <w:sz w:val="18"/>
                <w:szCs w:val="18"/>
              </w:rPr>
            </w:pPr>
            <w:r>
              <w:rPr>
                <w:rFonts w:ascii="Times New Roman"/>
                <w:sz w:val="18"/>
              </w:rPr>
              <w:t>3,000,000.00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与资产相关</w:t>
            </w:r>
          </w:p>
        </w:tc>
      </w:tr>
      <w:tr>
        <w:trPr>
          <w:trHeight w:val="3210" w:hRule="exact"/>
        </w:trPr>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51"/>
              <w:ind w:left="22" w:right="49"/>
              <w:jc w:val="left"/>
              <w:rPr>
                <w:rFonts w:ascii="宋体" w:hAnsi="宋体" w:cs="宋体" w:eastAsia="宋体" w:hint="default"/>
                <w:sz w:val="18"/>
                <w:szCs w:val="18"/>
              </w:rPr>
            </w:pPr>
            <w:r>
              <w:rPr>
                <w:rFonts w:ascii="宋体" w:hAnsi="宋体" w:cs="宋体" w:eastAsia="宋体" w:hint="default"/>
                <w:sz w:val="18"/>
                <w:szCs w:val="18"/>
              </w:rPr>
              <w:t>基于</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NFC</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技 术的金融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IC </w:t>
            </w:r>
            <w:r>
              <w:rPr>
                <w:rFonts w:ascii="宋体" w:hAnsi="宋体" w:cs="宋体" w:eastAsia="宋体" w:hint="default"/>
                <w:sz w:val="18"/>
                <w:szCs w:val="18"/>
              </w:rPr>
              <w:t>卡移动支付 综合应用系 统研发及产 业化（</w:t>
            </w:r>
            <w:r>
              <w:rPr>
                <w:rFonts w:ascii="Times New Roman" w:hAnsi="Times New Roman" w:cs="Times New Roman" w:eastAsia="Times New Roman" w:hint="default"/>
                <w:sz w:val="18"/>
                <w:szCs w:val="18"/>
              </w:rPr>
              <w:t>2014 </w:t>
            </w:r>
            <w:r>
              <w:rPr>
                <w:rFonts w:ascii="宋体" w:hAnsi="宋体" w:cs="宋体" w:eastAsia="宋体" w:hint="default"/>
                <w:sz w:val="18"/>
                <w:szCs w:val="18"/>
              </w:rPr>
              <w:t>年河南省扶 持企业自主 创新资金项 目）</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0"/>
              <w:ind w:right="0"/>
              <w:jc w:val="left"/>
              <w:rPr>
                <w:rFonts w:ascii="Times New Roman" w:hAnsi="Times New Roman" w:cs="Times New Roman" w:eastAsia="Times New Roman" w:hint="default"/>
                <w:sz w:val="22"/>
                <w:szCs w:val="2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3,700,000.00</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0"/>
              <w:ind w:right="0"/>
              <w:jc w:val="left"/>
              <w:rPr>
                <w:rFonts w:ascii="Times New Roman" w:hAnsi="Times New Roman" w:cs="Times New Roman" w:eastAsia="Times New Roman" w:hint="default"/>
                <w:sz w:val="22"/>
                <w:szCs w:val="2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431,666.67</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0"/>
              <w:ind w:right="0"/>
              <w:jc w:val="left"/>
              <w:rPr>
                <w:rFonts w:ascii="Times New Roman" w:hAnsi="Times New Roman" w:cs="Times New Roman" w:eastAsia="Times New Roman" w:hint="default"/>
                <w:sz w:val="22"/>
                <w:szCs w:val="22"/>
              </w:rPr>
            </w:pPr>
          </w:p>
          <w:p>
            <w:pPr>
              <w:pStyle w:val="TableParagraph"/>
              <w:spacing w:line="240" w:lineRule="auto"/>
              <w:ind w:left="62" w:right="0"/>
              <w:jc w:val="center"/>
              <w:rPr>
                <w:rFonts w:ascii="Times New Roman" w:hAnsi="Times New Roman" w:cs="Times New Roman" w:eastAsia="Times New Roman" w:hint="default"/>
                <w:sz w:val="18"/>
                <w:szCs w:val="18"/>
              </w:rPr>
            </w:pPr>
            <w:r>
              <w:rPr>
                <w:rFonts w:ascii="Times New Roman"/>
                <w:sz w:val="18"/>
              </w:rPr>
              <w:t>3,268,333.33</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与资产相关</w:t>
            </w:r>
          </w:p>
        </w:tc>
      </w:tr>
      <w:tr>
        <w:trPr>
          <w:trHeight w:val="1338" w:hRule="exact"/>
        </w:trPr>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29"/>
              <w:jc w:val="both"/>
              <w:rPr>
                <w:rFonts w:ascii="Times New Roman" w:hAnsi="Times New Roman" w:cs="Times New Roman" w:eastAsia="Times New Roman" w:hint="default"/>
                <w:sz w:val="18"/>
                <w:szCs w:val="18"/>
              </w:rPr>
            </w:pPr>
            <w:r>
              <w:rPr>
                <w:rFonts w:ascii="宋体" w:hAnsi="宋体" w:cs="宋体" w:eastAsia="宋体" w:hint="default"/>
                <w:sz w:val="18"/>
                <w:szCs w:val="18"/>
              </w:rPr>
              <w:t>基于大数据 行为分析系 统的移动校 园</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App</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0"/>
              <w:jc w:val="right"/>
              <w:rPr>
                <w:rFonts w:ascii="Times New Roman" w:hAnsi="Times New Roman" w:cs="Times New Roman" w:eastAsia="Times New Roman" w:hint="default"/>
                <w:sz w:val="18"/>
                <w:szCs w:val="18"/>
              </w:rPr>
            </w:pPr>
            <w:r>
              <w:rPr>
                <w:rFonts w:ascii="Times New Roman"/>
                <w:spacing w:val="-1"/>
                <w:sz w:val="18"/>
              </w:rPr>
              <w:t>1,320,000.00</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left="62" w:right="0"/>
              <w:jc w:val="center"/>
              <w:rPr>
                <w:rFonts w:ascii="Times New Roman" w:hAnsi="Times New Roman" w:cs="Times New Roman" w:eastAsia="Times New Roman" w:hint="default"/>
                <w:sz w:val="18"/>
                <w:szCs w:val="18"/>
              </w:rPr>
            </w:pPr>
            <w:r>
              <w:rPr>
                <w:rFonts w:ascii="Times New Roman"/>
                <w:sz w:val="18"/>
              </w:rPr>
              <w:t>1,320,000.00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3" w:right="0"/>
              <w:jc w:val="left"/>
              <w:rPr>
                <w:rFonts w:ascii="宋体" w:hAnsi="宋体" w:cs="宋体" w:eastAsia="宋体" w:hint="default"/>
                <w:sz w:val="18"/>
                <w:szCs w:val="18"/>
              </w:rPr>
            </w:pPr>
            <w:r>
              <w:rPr>
                <w:rFonts w:ascii="宋体" w:hAnsi="宋体" w:cs="宋体" w:eastAsia="宋体" w:hint="default"/>
                <w:sz w:val="18"/>
                <w:szCs w:val="18"/>
              </w:rPr>
              <w:t>与资产相关</w:t>
            </w:r>
          </w:p>
        </w:tc>
      </w:tr>
      <w:tr>
        <w:trPr>
          <w:trHeight w:val="714" w:hRule="exact"/>
        </w:trPr>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18,928,075.0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1,475,241.67</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17,452,833.3</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3</w:t>
            </w:r>
          </w:p>
        </w:tc>
        <w:tc>
          <w:tcPr>
            <w:tcW w:w="1063" w:type="dxa"/>
            <w:tcBorders>
              <w:top w:val="single" w:sz="4" w:space="0" w:color="000000"/>
              <w:left w:val="single" w:sz="4" w:space="0" w:color="000000"/>
              <w:bottom w:val="single" w:sz="4" w:space="0" w:color="000000"/>
              <w:right w:val="single" w:sz="4" w:space="0" w:color="000000"/>
            </w:tcBorders>
          </w:tcPr>
          <w:p>
            <w:pPr/>
          </w:p>
        </w:tc>
      </w:tr>
    </w:tbl>
    <w:p>
      <w:pPr>
        <w:spacing w:before="51"/>
        <w:ind w:left="154" w:right="1117"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18"/>
          <w:szCs w:val="18"/>
        </w:rPr>
      </w:pPr>
    </w:p>
    <w:p>
      <w:pPr>
        <w:pStyle w:val="BodyText"/>
        <w:spacing w:line="386" w:lineRule="auto" w:before="0"/>
        <w:ind w:right="1141" w:firstLine="423"/>
        <w:jc w:val="left"/>
      </w:pPr>
      <w:r>
        <w:rPr>
          <w:rFonts w:ascii="Times New Roman" w:hAnsi="Times New Roman" w:cs="Times New Roman" w:eastAsia="Times New Roman" w:hint="default"/>
        </w:rPr>
        <w:t>1</w:t>
      </w:r>
      <w:r>
        <w:rPr/>
        <w:t>、郑州</w:t>
      </w:r>
      <w:r>
        <w:rPr>
          <w:rFonts w:ascii="Times New Roman" w:hAnsi="Times New Roman" w:cs="Times New Roman" w:eastAsia="Times New Roman" w:hint="default"/>
        </w:rPr>
        <w:t>2009</w:t>
      </w:r>
      <w:r>
        <w:rPr/>
        <w:t>年度信息化发展专项资金所开展的项目已验收合格，按照</w:t>
      </w:r>
      <w:r>
        <w:rPr>
          <w:rFonts w:ascii="Times New Roman" w:hAnsi="Times New Roman" w:cs="Times New Roman" w:eastAsia="Times New Roman" w:hint="default"/>
        </w:rPr>
        <w:t>5</w:t>
      </w:r>
      <w:r>
        <w:rPr/>
        <w:t>年摊销，本年摊销额</w:t>
      </w:r>
      <w:r>
        <w:rPr>
          <w:rFonts w:ascii="Times New Roman" w:hAnsi="Times New Roman" w:cs="Times New Roman" w:eastAsia="Times New Roman" w:hint="default"/>
        </w:rPr>
        <w:t>2.00</w:t>
      </w:r>
      <w:r>
        <w:rPr/>
        <w:t>万， 累计摊销</w:t>
      </w:r>
      <w:r>
        <w:rPr>
          <w:rFonts w:ascii="Times New Roman" w:hAnsi="Times New Roman" w:cs="Times New Roman" w:eastAsia="Times New Roman" w:hint="default"/>
        </w:rPr>
        <w:t>20.00</w:t>
      </w:r>
      <w:r>
        <w:rPr/>
        <w:t>万，期末无余额；</w:t>
      </w:r>
    </w:p>
    <w:p>
      <w:pPr>
        <w:pStyle w:val="BodyText"/>
        <w:spacing w:line="240" w:lineRule="auto" w:before="35"/>
        <w:ind w:left="577" w:right="1117"/>
        <w:jc w:val="left"/>
        <w:rPr>
          <w:rFonts w:ascii="Times New Roman" w:hAnsi="Times New Roman" w:cs="Times New Roman" w:eastAsia="Times New Roman" w:hint="default"/>
        </w:rPr>
      </w:pPr>
      <w:r>
        <w:rPr>
          <w:rFonts w:ascii="Times New Roman" w:hAnsi="Times New Roman" w:cs="Times New Roman" w:eastAsia="Times New Roman" w:hint="default"/>
        </w:rPr>
        <w:t>2</w:t>
      </w:r>
      <w:r>
        <w:rPr/>
        <w:t>、</w:t>
      </w:r>
      <w:r>
        <w:rPr>
          <w:rFonts w:ascii="Times New Roman" w:hAnsi="Times New Roman" w:cs="Times New Roman" w:eastAsia="Times New Roman" w:hint="default"/>
        </w:rPr>
        <w:t>2011</w:t>
      </w:r>
      <w:r>
        <w:rPr/>
        <w:t>年郑州市第三批技术研究与开发经费项目：智能卡</w:t>
      </w:r>
      <w:r>
        <w:rPr>
          <w:rFonts w:ascii="Times New Roman" w:hAnsi="Times New Roman" w:cs="Times New Roman" w:eastAsia="Times New Roman" w:hint="default"/>
        </w:rPr>
        <w:t>RFID</w:t>
      </w:r>
      <w:r>
        <w:rPr/>
        <w:t>支付与识别产品产业化已于</w:t>
      </w:r>
      <w:r>
        <w:rPr>
          <w:rFonts w:ascii="Times New Roman" w:hAnsi="Times New Roman" w:cs="Times New Roman" w:eastAsia="Times New Roman" w:hint="default"/>
        </w:rPr>
        <w:t>2014</w:t>
      </w:r>
      <w:r>
        <w:rPr/>
        <w:t>年</w:t>
      </w:r>
      <w:r>
        <w:rPr>
          <w:rFonts w:ascii="Times New Roman" w:hAnsi="Times New Roman" w:cs="Times New Roman" w:eastAsia="Times New Roman" w:hint="default"/>
        </w:rPr>
        <w:t>4</w:t>
      </w:r>
    </w:p>
    <w:p>
      <w:pPr>
        <w:pStyle w:val="BodyText"/>
        <w:spacing w:line="240" w:lineRule="auto" w:before="177"/>
        <w:ind w:right="1117"/>
        <w:jc w:val="left"/>
      </w:pPr>
      <w:r>
        <w:rPr/>
        <w:t>月验收合格并开始摊销，按照</w:t>
      </w:r>
      <w:r>
        <w:rPr>
          <w:rFonts w:ascii="Times New Roman" w:hAnsi="Times New Roman" w:cs="Times New Roman" w:eastAsia="Times New Roman" w:hint="default"/>
        </w:rPr>
        <w:t>5</w:t>
      </w:r>
      <w:r>
        <w:rPr/>
        <w:t>年摊销，本年摊销额</w:t>
      </w:r>
      <w:r>
        <w:rPr>
          <w:rFonts w:ascii="Times New Roman" w:hAnsi="Times New Roman" w:cs="Times New Roman" w:eastAsia="Times New Roman" w:hint="default"/>
        </w:rPr>
        <w:t>20.00</w:t>
      </w:r>
      <w:r>
        <w:rPr/>
        <w:t>万，期末余额</w:t>
      </w:r>
      <w:r>
        <w:rPr>
          <w:rFonts w:ascii="Times New Roman" w:hAnsi="Times New Roman" w:cs="Times New Roman" w:eastAsia="Times New Roman" w:hint="default"/>
        </w:rPr>
        <w:t>6.67</w:t>
      </w:r>
      <w:r>
        <w:rPr/>
        <w:t>万；</w:t>
      </w:r>
    </w:p>
    <w:p>
      <w:pPr>
        <w:pStyle w:val="BodyText"/>
        <w:spacing w:line="386" w:lineRule="auto" w:before="177"/>
        <w:ind w:right="1211" w:firstLine="423"/>
        <w:jc w:val="left"/>
      </w:pPr>
      <w:r>
        <w:rPr>
          <w:rFonts w:ascii="Times New Roman" w:hAnsi="Times New Roman" w:cs="Times New Roman" w:eastAsia="Times New Roman" w:hint="default"/>
        </w:rPr>
        <w:t>3</w:t>
      </w:r>
      <w:r>
        <w:rPr/>
        <w:t>、高新区管委会奖励车辆（豫</w:t>
      </w:r>
      <w:r>
        <w:rPr>
          <w:rFonts w:ascii="Times New Roman" w:hAnsi="Times New Roman" w:cs="Times New Roman" w:eastAsia="Times New Roman" w:hint="default"/>
        </w:rPr>
        <w:t>A521GX</w:t>
      </w:r>
      <w:r>
        <w:rPr/>
        <w:t>）原值</w:t>
      </w:r>
      <w:r>
        <w:rPr>
          <w:rFonts w:ascii="Times New Roman" w:hAnsi="Times New Roman" w:cs="Times New Roman" w:eastAsia="Times New Roman" w:hint="default"/>
        </w:rPr>
        <w:t>18.42</w:t>
      </w:r>
      <w:r>
        <w:rPr/>
        <w:t>万，按照</w:t>
      </w:r>
      <w:r>
        <w:rPr>
          <w:rFonts w:ascii="Times New Roman" w:hAnsi="Times New Roman" w:cs="Times New Roman" w:eastAsia="Times New Roman" w:hint="default"/>
        </w:rPr>
        <w:t>10</w:t>
      </w:r>
      <w:r>
        <w:rPr/>
        <w:t>年摊销，本年摊销</w:t>
      </w:r>
      <w:r>
        <w:rPr>
          <w:rFonts w:ascii="Times New Roman" w:hAnsi="Times New Roman" w:cs="Times New Roman" w:eastAsia="Times New Roman" w:hint="default"/>
        </w:rPr>
        <w:t>6.91</w:t>
      </w:r>
      <w:r>
        <w:rPr/>
        <w:t>万元</w:t>
      </w:r>
      <w:r>
        <w:rPr>
          <w:rFonts w:ascii="Times New Roman" w:hAnsi="Times New Roman" w:cs="Times New Roman" w:eastAsia="Times New Roman" w:hint="default"/>
        </w:rPr>
        <w:t>,</w:t>
      </w:r>
      <w:r>
        <w:rPr/>
        <w:t>累计摊销 额</w:t>
      </w:r>
      <w:r>
        <w:rPr>
          <w:rFonts w:ascii="Times New Roman" w:hAnsi="Times New Roman" w:cs="Times New Roman" w:eastAsia="Times New Roman" w:hint="default"/>
        </w:rPr>
        <w:t>18.42</w:t>
      </w:r>
      <w:r>
        <w:rPr/>
        <w:t>万元</w:t>
      </w:r>
      <w:r>
        <w:rPr>
          <w:rFonts w:ascii="Times New Roman" w:hAnsi="Times New Roman" w:cs="Times New Roman" w:eastAsia="Times New Roman" w:hint="default"/>
        </w:rPr>
        <w:t>,</w:t>
      </w:r>
      <w:r>
        <w:rPr/>
        <w:t>期末无余额；</w:t>
      </w:r>
    </w:p>
    <w:p>
      <w:pPr>
        <w:spacing w:after="0" w:line="386" w:lineRule="auto"/>
        <w:jc w:val="left"/>
        <w:sectPr>
          <w:pgSz w:w="11910" w:h="16840"/>
          <w:pgMar w:header="877" w:footer="979" w:top="1060" w:bottom="1160" w:left="980" w:right="0"/>
        </w:sectPr>
      </w:pPr>
    </w:p>
    <w:p>
      <w:pPr>
        <w:spacing w:line="240" w:lineRule="auto" w:before="0"/>
        <w:rPr>
          <w:rFonts w:ascii="宋体" w:hAnsi="宋体" w:cs="宋体" w:eastAsia="宋体" w:hint="default"/>
          <w:sz w:val="20"/>
          <w:szCs w:val="20"/>
        </w:rPr>
      </w:pPr>
    </w:p>
    <w:p>
      <w:pPr>
        <w:pStyle w:val="BodyText"/>
        <w:spacing w:line="386" w:lineRule="auto" w:before="174"/>
        <w:ind w:right="1211" w:firstLine="423"/>
        <w:jc w:val="both"/>
      </w:pPr>
      <w:r>
        <w:rPr>
          <w:rFonts w:ascii="Times New Roman" w:hAnsi="Times New Roman" w:cs="Times New Roman" w:eastAsia="Times New Roman" w:hint="default"/>
        </w:rPr>
        <w:t>4</w:t>
      </w:r>
      <w:r>
        <w:rPr/>
        <w:t>、河南省财政厅高新技术产业化专项资金：基于金融</w:t>
      </w:r>
      <w:r>
        <w:rPr>
          <w:rFonts w:ascii="Times New Roman" w:hAnsi="Times New Roman" w:cs="Times New Roman" w:eastAsia="Times New Roman" w:hint="default"/>
        </w:rPr>
        <w:t>IC</w:t>
      </w:r>
      <w:r>
        <w:rPr/>
        <w:t>卡的移动支付信息化服务平台与终端项目原 值</w:t>
      </w:r>
      <w:r>
        <w:rPr>
          <w:rFonts w:ascii="Times New Roman" w:hAnsi="Times New Roman" w:cs="Times New Roman" w:eastAsia="Times New Roman" w:hint="default"/>
        </w:rPr>
        <w:t>161.00</w:t>
      </w:r>
      <w:r>
        <w:rPr/>
        <w:t>万，按照</w:t>
      </w:r>
      <w:r>
        <w:rPr>
          <w:rFonts w:ascii="Times New Roman" w:hAnsi="Times New Roman" w:cs="Times New Roman" w:eastAsia="Times New Roman" w:hint="default"/>
        </w:rPr>
        <w:t>5</w:t>
      </w:r>
      <w:r>
        <w:rPr/>
        <w:t>年摊销，本年摊销</w:t>
      </w:r>
      <w:r>
        <w:rPr>
          <w:rFonts w:ascii="Times New Roman" w:hAnsi="Times New Roman" w:cs="Times New Roman" w:eastAsia="Times New Roman" w:hint="default"/>
        </w:rPr>
        <w:t>32.20</w:t>
      </w:r>
      <w:r>
        <w:rPr/>
        <w:t>万元；</w:t>
      </w:r>
      <w:r>
        <w:rPr>
          <w:rFonts w:ascii="Times New Roman" w:hAnsi="Times New Roman" w:cs="Times New Roman" w:eastAsia="Times New Roman" w:hint="default"/>
        </w:rPr>
        <w:t>2016</w:t>
      </w:r>
      <w:r>
        <w:rPr/>
        <w:t>年</w:t>
      </w:r>
      <w:r>
        <w:rPr>
          <w:rFonts w:ascii="Times New Roman" w:hAnsi="Times New Roman" w:cs="Times New Roman" w:eastAsia="Times New Roman" w:hint="default"/>
        </w:rPr>
        <w:t>11</w:t>
      </w:r>
      <w:r>
        <w:rPr/>
        <w:t>月收到郑州高新技术产业开发区财政国库集中 支付中心拨付的河南省高新技术化项目后补资金</w:t>
      </w:r>
      <w:r>
        <w:rPr>
          <w:rFonts w:ascii="Times New Roman" w:hAnsi="Times New Roman" w:cs="Times New Roman" w:eastAsia="Times New Roman" w:hint="default"/>
        </w:rPr>
        <w:t>102</w:t>
      </w:r>
      <w:r>
        <w:rPr/>
        <w:t>号</w:t>
      </w:r>
      <w:r>
        <w:rPr>
          <w:rFonts w:ascii="Times New Roman" w:hAnsi="Times New Roman" w:cs="Times New Roman" w:eastAsia="Times New Roman" w:hint="default"/>
        </w:rPr>
        <w:t>69.00</w:t>
      </w:r>
      <w:r>
        <w:rPr/>
        <w:t>万元，按照</w:t>
      </w:r>
      <w:r>
        <w:rPr>
          <w:rFonts w:ascii="Times New Roman" w:hAnsi="Times New Roman" w:cs="Times New Roman" w:eastAsia="Times New Roman" w:hint="default"/>
        </w:rPr>
        <w:t>4</w:t>
      </w:r>
      <w:r>
        <w:rPr/>
        <w:t>年摊销，本年摊销</w:t>
      </w:r>
      <w:r>
        <w:rPr>
          <w:rFonts w:ascii="Times New Roman" w:hAnsi="Times New Roman" w:cs="Times New Roman" w:eastAsia="Times New Roman" w:hint="default"/>
        </w:rPr>
        <w:t>17.25</w:t>
      </w:r>
      <w:r>
        <w:rPr/>
        <w:t>万元；该 项目期末余额</w:t>
      </w:r>
      <w:r>
        <w:rPr>
          <w:rFonts w:ascii="Times New Roman" w:hAnsi="Times New Roman" w:cs="Times New Roman" w:eastAsia="Times New Roman" w:hint="default"/>
        </w:rPr>
        <w:t>49.45</w:t>
      </w:r>
      <w:r>
        <w:rPr/>
        <w:t>万元；</w:t>
      </w:r>
    </w:p>
    <w:p>
      <w:pPr>
        <w:pStyle w:val="BodyText"/>
        <w:spacing w:line="386" w:lineRule="auto" w:before="35"/>
        <w:ind w:right="1117" w:firstLine="423"/>
        <w:jc w:val="left"/>
      </w:pPr>
      <w:r>
        <w:rPr>
          <w:rFonts w:ascii="Times New Roman" w:hAnsi="Times New Roman" w:cs="Times New Roman" w:eastAsia="Times New Roman" w:hint="default"/>
        </w:rPr>
        <w:t>5</w:t>
      </w:r>
      <w:r>
        <w:rPr/>
        <w:t>、金融支付系统及终端项目：于</w:t>
      </w:r>
      <w:r>
        <w:rPr>
          <w:rFonts w:ascii="Times New Roman" w:hAnsi="Times New Roman" w:cs="Times New Roman" w:eastAsia="Times New Roman" w:hint="default"/>
        </w:rPr>
        <w:t>2015</w:t>
      </w:r>
      <w:r>
        <w:rPr/>
        <w:t>年</w:t>
      </w:r>
      <w:r>
        <w:rPr>
          <w:rFonts w:ascii="Times New Roman" w:hAnsi="Times New Roman" w:cs="Times New Roman" w:eastAsia="Times New Roman" w:hint="default"/>
        </w:rPr>
        <w:t>3</w:t>
      </w:r>
      <w:r>
        <w:rPr/>
        <w:t>月</w:t>
      </w:r>
      <w:r>
        <w:rPr>
          <w:rFonts w:ascii="Times New Roman" w:hAnsi="Times New Roman" w:cs="Times New Roman" w:eastAsia="Times New Roman" w:hint="default"/>
        </w:rPr>
        <w:t>31</w:t>
      </w:r>
      <w:r>
        <w:rPr/>
        <w:t>日和</w:t>
      </w:r>
      <w:r>
        <w:rPr>
          <w:rFonts w:ascii="Times New Roman" w:hAnsi="Times New Roman" w:cs="Times New Roman" w:eastAsia="Times New Roman" w:hint="default"/>
        </w:rPr>
        <w:t>2015</w:t>
      </w:r>
      <w:r>
        <w:rPr/>
        <w:t>年</w:t>
      </w:r>
      <w:r>
        <w:rPr>
          <w:rFonts w:ascii="Times New Roman" w:hAnsi="Times New Roman" w:cs="Times New Roman" w:eastAsia="Times New Roman" w:hint="default"/>
        </w:rPr>
        <w:t>9</w:t>
      </w:r>
      <w:r>
        <w:rPr/>
        <w:t>月</w:t>
      </w:r>
      <w:r>
        <w:rPr>
          <w:rFonts w:ascii="Times New Roman" w:hAnsi="Times New Roman" w:cs="Times New Roman" w:eastAsia="Times New Roman" w:hint="default"/>
        </w:rPr>
        <w:t>24</w:t>
      </w:r>
      <w:r>
        <w:rPr/>
        <w:t>日收到国家金库河南省分库拔付的共 </w:t>
      </w:r>
      <w:r>
        <w:rPr>
          <w:spacing w:val="-1"/>
        </w:rPr>
        <w:t>计</w:t>
      </w:r>
      <w:r>
        <w:rPr>
          <w:rFonts w:ascii="Times New Roman" w:hAnsi="Times New Roman" w:cs="Times New Roman" w:eastAsia="Times New Roman" w:hint="default"/>
          <w:spacing w:val="-1"/>
        </w:rPr>
        <w:t>130.00</w:t>
      </w:r>
      <w:r>
        <w:rPr>
          <w:spacing w:val="-1"/>
        </w:rPr>
        <w:t>万元的政府补助，于</w:t>
      </w:r>
      <w:r>
        <w:rPr>
          <w:rFonts w:ascii="Times New Roman" w:hAnsi="Times New Roman" w:cs="Times New Roman" w:eastAsia="Times New Roman" w:hint="default"/>
          <w:spacing w:val="-1"/>
        </w:rPr>
        <w:t>2016</w:t>
      </w:r>
      <w:r>
        <w:rPr>
          <w:spacing w:val="-1"/>
        </w:rPr>
        <w:t>年</w:t>
      </w:r>
      <w:r>
        <w:rPr>
          <w:rFonts w:ascii="Times New Roman" w:hAnsi="Times New Roman" w:cs="Times New Roman" w:eastAsia="Times New Roman" w:hint="default"/>
          <w:spacing w:val="-1"/>
        </w:rPr>
        <w:t>5</w:t>
      </w:r>
      <w:r>
        <w:rPr>
          <w:spacing w:val="-1"/>
        </w:rPr>
        <w:t>月验收合格开始摊销，按照</w:t>
      </w:r>
      <w:r>
        <w:rPr>
          <w:rFonts w:ascii="Times New Roman" w:hAnsi="Times New Roman" w:cs="Times New Roman" w:eastAsia="Times New Roman" w:hint="default"/>
          <w:spacing w:val="-1"/>
        </w:rPr>
        <w:t>5</w:t>
      </w:r>
      <w:r>
        <w:rPr>
          <w:spacing w:val="-1"/>
        </w:rPr>
        <w:t>年摊销，本年摊销</w:t>
      </w:r>
      <w:r>
        <w:rPr>
          <w:rFonts w:ascii="Times New Roman" w:hAnsi="Times New Roman" w:cs="Times New Roman" w:eastAsia="Times New Roman" w:hint="default"/>
          <w:spacing w:val="-1"/>
        </w:rPr>
        <w:t>26.00</w:t>
      </w:r>
      <w:r>
        <w:rPr>
          <w:spacing w:val="-1"/>
        </w:rPr>
        <w:t>万元，累计摊销</w:t>
      </w:r>
      <w:r>
        <w:rPr>
          <w:spacing w:val="-81"/>
        </w:rPr>
        <w:t> </w:t>
      </w:r>
      <w:r>
        <w:rPr>
          <w:spacing w:val="-81"/>
        </w:rPr>
      </w:r>
      <w:r>
        <w:rPr>
          <w:rFonts w:ascii="Times New Roman" w:hAnsi="Times New Roman" w:cs="Times New Roman" w:eastAsia="Times New Roman" w:hint="default"/>
        </w:rPr>
        <w:t>67.17</w:t>
      </w:r>
      <w:r>
        <w:rPr/>
        <w:t>万元，期末余额</w:t>
      </w:r>
      <w:r>
        <w:rPr>
          <w:rFonts w:ascii="Times New Roman" w:hAnsi="Times New Roman" w:cs="Times New Roman" w:eastAsia="Times New Roman" w:hint="default"/>
        </w:rPr>
        <w:t>62.83</w:t>
      </w:r>
      <w:r>
        <w:rPr/>
        <w:t>万元；</w:t>
      </w:r>
    </w:p>
    <w:p>
      <w:pPr>
        <w:pStyle w:val="BodyText"/>
        <w:spacing w:line="386" w:lineRule="auto" w:before="35"/>
        <w:ind w:right="1205" w:firstLine="423"/>
        <w:jc w:val="left"/>
      </w:pPr>
      <w:r>
        <w:rPr>
          <w:rFonts w:ascii="Times New Roman" w:hAnsi="Times New Roman" w:cs="Times New Roman" w:eastAsia="Times New Roman" w:hint="default"/>
        </w:rPr>
        <w:t>6</w:t>
      </w:r>
      <w:r>
        <w:rPr/>
        <w:t>、基于</w:t>
      </w:r>
      <w:r>
        <w:rPr>
          <w:rFonts w:ascii="Times New Roman" w:hAnsi="Times New Roman" w:cs="Times New Roman" w:eastAsia="Times New Roman" w:hint="default"/>
        </w:rPr>
        <w:t>NFC</w:t>
      </w:r>
      <w:r>
        <w:rPr/>
        <w:t>技术的金融</w:t>
      </w:r>
      <w:r>
        <w:rPr>
          <w:rFonts w:ascii="Times New Roman" w:hAnsi="Times New Roman" w:cs="Times New Roman" w:eastAsia="Times New Roman" w:hint="default"/>
        </w:rPr>
        <w:t>IC</w:t>
      </w:r>
      <w:r>
        <w:rPr/>
        <w:t>卡移动支付综合应用系统研发及产业化（</w:t>
      </w:r>
      <w:r>
        <w:rPr>
          <w:rFonts w:ascii="Times New Roman" w:hAnsi="Times New Roman" w:cs="Times New Roman" w:eastAsia="Times New Roman" w:hint="default"/>
        </w:rPr>
        <w:t>2014</w:t>
      </w:r>
      <w:r>
        <w:rPr/>
        <w:t>年河南省扶持企业自主创新 资金项目）：原值</w:t>
      </w:r>
      <w:r>
        <w:rPr>
          <w:rFonts w:ascii="Times New Roman" w:hAnsi="Times New Roman" w:cs="Times New Roman" w:eastAsia="Times New Roman" w:hint="default"/>
        </w:rPr>
        <w:t>370</w:t>
      </w:r>
      <w:r>
        <w:rPr/>
        <w:t>万，按照</w:t>
      </w:r>
      <w:r>
        <w:rPr>
          <w:rFonts w:ascii="Times New Roman" w:hAnsi="Times New Roman" w:cs="Times New Roman" w:eastAsia="Times New Roman" w:hint="default"/>
        </w:rPr>
        <w:t>5</w:t>
      </w:r>
      <w:r>
        <w:rPr/>
        <w:t>年摊销，本年摊销</w:t>
      </w:r>
      <w:r>
        <w:rPr>
          <w:rFonts w:ascii="Times New Roman" w:hAnsi="Times New Roman" w:cs="Times New Roman" w:eastAsia="Times New Roman" w:hint="default"/>
        </w:rPr>
        <w:t>43.17</w:t>
      </w:r>
      <w:r>
        <w:rPr/>
        <w:t>万元，期末余额</w:t>
      </w:r>
      <w:r>
        <w:rPr>
          <w:rFonts w:ascii="Times New Roman" w:hAnsi="Times New Roman" w:cs="Times New Roman" w:eastAsia="Times New Roman" w:hint="default"/>
        </w:rPr>
        <w:t>326.83</w:t>
      </w:r>
      <w:r>
        <w:rPr/>
        <w:t>万元。</w:t>
      </w:r>
    </w:p>
    <w:p>
      <w:pPr>
        <w:spacing w:line="240" w:lineRule="auto" w:before="10"/>
        <w:rPr>
          <w:rFonts w:ascii="宋体" w:hAnsi="宋体" w:cs="宋体" w:eastAsia="宋体" w:hint="default"/>
          <w:sz w:val="19"/>
          <w:szCs w:val="19"/>
        </w:rPr>
      </w:pPr>
    </w:p>
    <w:p>
      <w:pPr>
        <w:pStyle w:val="Heading4"/>
        <w:spacing w:line="240" w:lineRule="auto"/>
        <w:ind w:right="1117"/>
        <w:jc w:val="left"/>
        <w:rPr>
          <w:b w:val="0"/>
          <w:bCs w:val="0"/>
        </w:rPr>
      </w:pPr>
      <w:bookmarkStart w:name="27、股本" w:id="302"/>
      <w:bookmarkEnd w:id="302"/>
      <w:r>
        <w:rPr>
          <w:b w:val="0"/>
          <w:bCs w:val="0"/>
        </w:rPr>
      </w:r>
      <w:r>
        <w:rPr>
          <w:rFonts w:ascii="Times New Roman" w:hAnsi="Times New Roman" w:cs="Times New Roman" w:eastAsia="Times New Roman" w:hint="default"/>
        </w:rPr>
        <w:t>27</w:t>
      </w:r>
      <w:r>
        <w:rPr/>
        <w:t>、股本</w:t>
      </w:r>
      <w:r>
        <w:rPr>
          <w:b w:val="0"/>
          <w:bCs w:val="0"/>
        </w:rPr>
      </w:r>
    </w:p>
    <w:p>
      <w:pPr>
        <w:spacing w:line="240" w:lineRule="auto" w:before="8"/>
        <w:rPr>
          <w:rFonts w:ascii="宋体" w:hAnsi="宋体" w:cs="宋体" w:eastAsia="宋体" w:hint="default"/>
          <w:b/>
          <w:bCs/>
          <w:sz w:val="26"/>
          <w:szCs w:val="26"/>
        </w:rPr>
      </w:pPr>
    </w:p>
    <w:p>
      <w:pPr>
        <w:spacing w:before="0"/>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0"/>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184"/>
        <w:gridCol w:w="1208"/>
        <w:gridCol w:w="1184"/>
        <w:gridCol w:w="1197"/>
        <w:gridCol w:w="1195"/>
        <w:gridCol w:w="1197"/>
        <w:gridCol w:w="1184"/>
        <w:gridCol w:w="1207"/>
      </w:tblGrid>
      <w:tr>
        <w:trPr>
          <w:trHeight w:val="206" w:hRule="exact"/>
        </w:trPr>
        <w:tc>
          <w:tcPr>
            <w:tcW w:w="1184" w:type="dxa"/>
            <w:tcBorders>
              <w:top w:val="single" w:sz="4" w:space="0" w:color="000000"/>
              <w:left w:val="single" w:sz="4" w:space="0" w:color="000000"/>
              <w:bottom w:val="nil" w:sz="6" w:space="0" w:color="auto"/>
              <w:right w:val="single" w:sz="4" w:space="0" w:color="000000"/>
            </w:tcBorders>
            <w:shd w:val="clear" w:color="auto" w:fill="D2D2D2"/>
          </w:tcPr>
          <w:p>
            <w:pPr/>
          </w:p>
        </w:tc>
        <w:tc>
          <w:tcPr>
            <w:tcW w:w="1208" w:type="dxa"/>
            <w:tcBorders>
              <w:top w:val="single" w:sz="4" w:space="0" w:color="000000"/>
              <w:left w:val="single" w:sz="4" w:space="0" w:color="000000"/>
              <w:bottom w:val="nil" w:sz="6" w:space="0" w:color="auto"/>
              <w:right w:val="single" w:sz="4" w:space="0" w:color="000000"/>
            </w:tcBorders>
            <w:shd w:val="clear" w:color="auto" w:fill="D2D2D2"/>
          </w:tcPr>
          <w:p>
            <w:pPr/>
          </w:p>
        </w:tc>
        <w:tc>
          <w:tcPr>
            <w:tcW w:w="5958" w:type="dxa"/>
            <w:gridSpan w:val="5"/>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本次变动增减（</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207"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96" w:hRule="exact"/>
        </w:trPr>
        <w:tc>
          <w:tcPr>
            <w:tcW w:w="1184" w:type="dxa"/>
            <w:vMerge w:val="restart"/>
            <w:tcBorders>
              <w:top w:val="nil" w:sz="6" w:space="0" w:color="auto"/>
              <w:left w:val="single" w:sz="4" w:space="0" w:color="000000"/>
              <w:right w:val="single" w:sz="4" w:space="0" w:color="000000"/>
            </w:tcBorders>
            <w:shd w:val="clear" w:color="auto" w:fill="D2D2D2"/>
          </w:tcPr>
          <w:p>
            <w:pPr/>
          </w:p>
        </w:tc>
        <w:tc>
          <w:tcPr>
            <w:tcW w:w="120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232"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5958" w:type="dxa"/>
            <w:gridSpan w:val="5"/>
            <w:vMerge/>
            <w:tcBorders>
              <w:left w:val="single" w:sz="4" w:space="0" w:color="000000"/>
              <w:bottom w:val="single" w:sz="4" w:space="0" w:color="000000"/>
              <w:right w:val="single" w:sz="4" w:space="0" w:color="000000"/>
            </w:tcBorders>
            <w:shd w:val="clear" w:color="auto" w:fill="D2D2D2"/>
          </w:tcPr>
          <w:p>
            <w:pPr/>
          </w:p>
        </w:tc>
        <w:tc>
          <w:tcPr>
            <w:tcW w:w="120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244"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196" w:hRule="exact"/>
        </w:trPr>
        <w:tc>
          <w:tcPr>
            <w:tcW w:w="1184" w:type="dxa"/>
            <w:vMerge/>
            <w:tcBorders>
              <w:left w:val="single" w:sz="4" w:space="0" w:color="000000"/>
              <w:bottom w:val="nil" w:sz="6" w:space="0" w:color="auto"/>
              <w:right w:val="single" w:sz="4" w:space="0" w:color="000000"/>
            </w:tcBorders>
            <w:shd w:val="clear" w:color="auto" w:fill="D2D2D2"/>
          </w:tcPr>
          <w:p>
            <w:pPr/>
          </w:p>
        </w:tc>
        <w:tc>
          <w:tcPr>
            <w:tcW w:w="1208" w:type="dxa"/>
            <w:vMerge/>
            <w:tcBorders>
              <w:left w:val="single" w:sz="4" w:space="0" w:color="000000"/>
              <w:bottom w:val="nil" w:sz="6" w:space="0" w:color="auto"/>
              <w:right w:val="single" w:sz="4" w:space="0" w:color="000000"/>
            </w:tcBorders>
            <w:shd w:val="clear" w:color="auto" w:fill="D2D2D2"/>
          </w:tcPr>
          <w:p>
            <w:pPr/>
          </w:p>
        </w:tc>
        <w:tc>
          <w:tcPr>
            <w:tcW w:w="118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222" w:right="0"/>
              <w:jc w:val="left"/>
              <w:rPr>
                <w:rFonts w:ascii="宋体" w:hAnsi="宋体" w:cs="宋体" w:eastAsia="宋体" w:hint="default"/>
                <w:sz w:val="18"/>
                <w:szCs w:val="18"/>
              </w:rPr>
            </w:pPr>
            <w:r>
              <w:rPr>
                <w:rFonts w:ascii="宋体" w:hAnsi="宋体" w:cs="宋体" w:eastAsia="宋体" w:hint="default"/>
                <w:sz w:val="18"/>
                <w:szCs w:val="18"/>
              </w:rPr>
              <w:t>发行新股</w:t>
            </w:r>
          </w:p>
        </w:tc>
        <w:tc>
          <w:tcPr>
            <w:tcW w:w="11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送股</w:t>
            </w:r>
          </w:p>
        </w:tc>
        <w:tc>
          <w:tcPr>
            <w:tcW w:w="119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142" w:right="0"/>
              <w:jc w:val="left"/>
              <w:rPr>
                <w:rFonts w:ascii="宋体" w:hAnsi="宋体" w:cs="宋体" w:eastAsia="宋体" w:hint="default"/>
                <w:sz w:val="18"/>
                <w:szCs w:val="18"/>
              </w:rPr>
            </w:pPr>
            <w:r>
              <w:rPr>
                <w:rFonts w:ascii="宋体" w:hAnsi="宋体" w:cs="宋体" w:eastAsia="宋体" w:hint="default"/>
                <w:sz w:val="18"/>
                <w:szCs w:val="18"/>
              </w:rPr>
              <w:t>公积金转股</w:t>
            </w:r>
          </w:p>
        </w:tc>
        <w:tc>
          <w:tcPr>
            <w:tcW w:w="11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18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10" w:right="0"/>
              <w:jc w:val="center"/>
              <w:rPr>
                <w:rFonts w:ascii="宋体" w:hAnsi="宋体" w:cs="宋体" w:eastAsia="宋体" w:hint="default"/>
                <w:sz w:val="18"/>
                <w:szCs w:val="18"/>
              </w:rPr>
            </w:pPr>
            <w:r>
              <w:rPr>
                <w:rFonts w:ascii="宋体" w:hAnsi="宋体" w:cs="宋体" w:eastAsia="宋体" w:hint="default"/>
                <w:sz w:val="18"/>
                <w:szCs w:val="18"/>
              </w:rPr>
              <w:t>小计</w:t>
            </w:r>
          </w:p>
        </w:tc>
        <w:tc>
          <w:tcPr>
            <w:tcW w:w="1207" w:type="dxa"/>
            <w:vMerge/>
            <w:tcBorders>
              <w:left w:val="single" w:sz="4" w:space="0" w:color="000000"/>
              <w:bottom w:val="nil" w:sz="6" w:space="0" w:color="auto"/>
              <w:right w:val="single" w:sz="4" w:space="0" w:color="000000"/>
            </w:tcBorders>
            <w:shd w:val="clear" w:color="auto" w:fill="D2D2D2"/>
          </w:tcPr>
          <w:p>
            <w:pPr/>
          </w:p>
        </w:tc>
      </w:tr>
      <w:tr>
        <w:trPr>
          <w:trHeight w:val="205" w:hRule="exact"/>
        </w:trPr>
        <w:tc>
          <w:tcPr>
            <w:tcW w:w="1184" w:type="dxa"/>
            <w:tcBorders>
              <w:top w:val="nil" w:sz="6" w:space="0" w:color="auto"/>
              <w:left w:val="single" w:sz="4" w:space="0" w:color="000000"/>
              <w:bottom w:val="single" w:sz="4" w:space="0" w:color="000000"/>
              <w:right w:val="single" w:sz="4" w:space="0" w:color="000000"/>
            </w:tcBorders>
            <w:shd w:val="clear" w:color="auto" w:fill="D2D2D2"/>
          </w:tcPr>
          <w:p>
            <w:pPr/>
          </w:p>
        </w:tc>
        <w:tc>
          <w:tcPr>
            <w:tcW w:w="1208" w:type="dxa"/>
            <w:tcBorders>
              <w:top w:val="nil" w:sz="6" w:space="0" w:color="auto"/>
              <w:left w:val="single" w:sz="4" w:space="0" w:color="000000"/>
              <w:bottom w:val="single" w:sz="4" w:space="0" w:color="000000"/>
              <w:right w:val="single" w:sz="4" w:space="0" w:color="000000"/>
            </w:tcBorders>
            <w:shd w:val="clear" w:color="auto" w:fill="D2D2D2"/>
          </w:tcPr>
          <w:p>
            <w:pPr/>
          </w:p>
        </w:tc>
        <w:tc>
          <w:tcPr>
            <w:tcW w:w="1184" w:type="dxa"/>
            <w:vMerge/>
            <w:tcBorders>
              <w:left w:val="single" w:sz="4" w:space="0" w:color="000000"/>
              <w:bottom w:val="single" w:sz="4" w:space="0" w:color="000000"/>
              <w:right w:val="single" w:sz="4" w:space="0" w:color="000000"/>
            </w:tcBorders>
            <w:shd w:val="clear" w:color="auto" w:fill="D2D2D2"/>
          </w:tcPr>
          <w:p>
            <w:pPr/>
          </w:p>
        </w:tc>
        <w:tc>
          <w:tcPr>
            <w:tcW w:w="1197" w:type="dxa"/>
            <w:vMerge/>
            <w:tcBorders>
              <w:left w:val="single" w:sz="4" w:space="0" w:color="000000"/>
              <w:bottom w:val="single" w:sz="4" w:space="0" w:color="000000"/>
              <w:right w:val="single" w:sz="4" w:space="0" w:color="000000"/>
            </w:tcBorders>
            <w:shd w:val="clear" w:color="auto" w:fill="D2D2D2"/>
          </w:tcPr>
          <w:p>
            <w:pPr/>
          </w:p>
        </w:tc>
        <w:tc>
          <w:tcPr>
            <w:tcW w:w="1195" w:type="dxa"/>
            <w:vMerge/>
            <w:tcBorders>
              <w:left w:val="single" w:sz="4" w:space="0" w:color="000000"/>
              <w:bottom w:val="single" w:sz="4" w:space="0" w:color="000000"/>
              <w:right w:val="single" w:sz="4" w:space="0" w:color="000000"/>
            </w:tcBorders>
            <w:shd w:val="clear" w:color="auto" w:fill="D2D2D2"/>
          </w:tcPr>
          <w:p>
            <w:pPr/>
          </w:p>
        </w:tc>
        <w:tc>
          <w:tcPr>
            <w:tcW w:w="1197" w:type="dxa"/>
            <w:vMerge/>
            <w:tcBorders>
              <w:left w:val="single" w:sz="4" w:space="0" w:color="000000"/>
              <w:bottom w:val="single" w:sz="4" w:space="0" w:color="000000"/>
              <w:right w:val="single" w:sz="4" w:space="0" w:color="000000"/>
            </w:tcBorders>
            <w:shd w:val="clear" w:color="auto" w:fill="D2D2D2"/>
          </w:tcPr>
          <w:p>
            <w:pPr/>
          </w:p>
        </w:tc>
        <w:tc>
          <w:tcPr>
            <w:tcW w:w="1184" w:type="dxa"/>
            <w:vMerge/>
            <w:tcBorders>
              <w:left w:val="single" w:sz="4" w:space="0" w:color="000000"/>
              <w:bottom w:val="single" w:sz="4" w:space="0" w:color="000000"/>
              <w:right w:val="single" w:sz="4" w:space="0" w:color="000000"/>
            </w:tcBorders>
            <w:shd w:val="clear" w:color="auto" w:fill="D2D2D2"/>
          </w:tcPr>
          <w:p>
            <w:pPr/>
          </w:p>
        </w:tc>
        <w:tc>
          <w:tcPr>
            <w:tcW w:w="1207"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403" w:hRule="exact"/>
        </w:trPr>
        <w:tc>
          <w:tcPr>
            <w:tcW w:w="11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股份总数</w:t>
            </w:r>
          </w:p>
        </w:tc>
        <w:tc>
          <w:tcPr>
            <w:tcW w:w="1208"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left="32" w:right="0"/>
              <w:jc w:val="left"/>
              <w:rPr>
                <w:rFonts w:ascii="Times New Roman" w:hAnsi="Times New Roman" w:cs="Times New Roman" w:eastAsia="Times New Roman" w:hint="default"/>
                <w:sz w:val="18"/>
                <w:szCs w:val="18"/>
              </w:rPr>
            </w:pPr>
            <w:r>
              <w:rPr>
                <w:rFonts w:ascii="Times New Roman"/>
                <w:sz w:val="18"/>
              </w:rPr>
              <w:t>324,475,501.00</w:t>
            </w:r>
          </w:p>
        </w:tc>
        <w:tc>
          <w:tcPr>
            <w:tcW w:w="1184"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38" w:right="0"/>
              <w:jc w:val="left"/>
              <w:rPr>
                <w:rFonts w:ascii="Times New Roman" w:hAnsi="Times New Roman" w:cs="Times New Roman" w:eastAsia="Times New Roman" w:hint="default"/>
                <w:sz w:val="18"/>
                <w:szCs w:val="18"/>
              </w:rPr>
            </w:pPr>
            <w:r>
              <w:rPr>
                <w:rFonts w:ascii="Times New Roman"/>
                <w:sz w:val="18"/>
              </w:rPr>
              <w:t>162,237,734.00</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59" w:right="0"/>
              <w:jc w:val="left"/>
              <w:rPr>
                <w:rFonts w:ascii="Times New Roman" w:hAnsi="Times New Roman" w:cs="Times New Roman" w:eastAsia="Times New Roman" w:hint="default"/>
                <w:sz w:val="18"/>
                <w:szCs w:val="18"/>
              </w:rPr>
            </w:pPr>
            <w:r>
              <w:rPr>
                <w:rFonts w:ascii="Times New Roman"/>
                <w:sz w:val="18"/>
              </w:rPr>
              <w:t>-5,620,740.00</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38" w:right="0"/>
              <w:jc w:val="left"/>
              <w:rPr>
                <w:rFonts w:ascii="Times New Roman" w:hAnsi="Times New Roman" w:cs="Times New Roman" w:eastAsia="Times New Roman" w:hint="default"/>
                <w:sz w:val="18"/>
                <w:szCs w:val="18"/>
              </w:rPr>
            </w:pPr>
            <w:r>
              <w:rPr>
                <w:rFonts w:ascii="Times New Roman"/>
                <w:sz w:val="18"/>
              </w:rPr>
              <w:t>156,616,994.00</w:t>
            </w:r>
          </w:p>
        </w:tc>
        <w:tc>
          <w:tcPr>
            <w:tcW w:w="12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50" w:right="0"/>
              <w:jc w:val="left"/>
              <w:rPr>
                <w:rFonts w:ascii="Times New Roman" w:hAnsi="Times New Roman" w:cs="Times New Roman" w:eastAsia="Times New Roman" w:hint="default"/>
                <w:sz w:val="18"/>
                <w:szCs w:val="18"/>
              </w:rPr>
            </w:pPr>
            <w:r>
              <w:rPr>
                <w:rFonts w:ascii="Times New Roman"/>
                <w:sz w:val="18"/>
              </w:rPr>
              <w:t>481,092,495.00</w:t>
            </w:r>
          </w:p>
        </w:tc>
      </w:tr>
    </w:tbl>
    <w:p>
      <w:pPr>
        <w:spacing w:before="51"/>
        <w:ind w:left="154" w:right="1117"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12"/>
          <w:szCs w:val="12"/>
        </w:rPr>
      </w:pPr>
    </w:p>
    <w:p>
      <w:pPr>
        <w:pStyle w:val="BodyText"/>
        <w:spacing w:line="240" w:lineRule="auto" w:before="0"/>
        <w:ind w:left="577" w:right="1117"/>
        <w:jc w:val="left"/>
        <w:rPr>
          <w:rFonts w:ascii="Times New Roman" w:hAnsi="Times New Roman" w:cs="Times New Roman" w:eastAsia="Times New Roman" w:hint="default"/>
        </w:rPr>
      </w:pPr>
      <w:r>
        <w:rPr>
          <w:rFonts w:ascii="Times New Roman" w:hAnsi="Times New Roman" w:cs="Times New Roman" w:eastAsia="Times New Roman" w:hint="default"/>
        </w:rPr>
        <w:t>1</w:t>
      </w:r>
      <w:r>
        <w:rPr/>
        <w:t>、公司</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10</w:t>
      </w:r>
      <w:r>
        <w:rPr/>
        <w:t>日召开的</w:t>
      </w:r>
      <w:r>
        <w:rPr>
          <w:rFonts w:ascii="Times New Roman" w:hAnsi="Times New Roman" w:cs="Times New Roman" w:eastAsia="Times New Roman" w:hint="default"/>
        </w:rPr>
        <w:t>2017</w:t>
      </w:r>
      <w:r>
        <w:rPr/>
        <w:t>年年度股东大会审议通过，以资本公积金向全体股东每</w:t>
      </w:r>
      <w:r>
        <w:rPr>
          <w:rFonts w:ascii="Times New Roman" w:hAnsi="Times New Roman" w:cs="Times New Roman" w:eastAsia="Times New Roman" w:hint="default"/>
        </w:rPr>
        <w:t>10</w:t>
      </w:r>
      <w:r>
        <w:rPr/>
        <w:t>股转增</w:t>
      </w:r>
      <w:r>
        <w:rPr>
          <w:rFonts w:ascii="Times New Roman" w:hAnsi="Times New Roman" w:cs="Times New Roman" w:eastAsia="Times New Roman" w:hint="default"/>
        </w:rPr>
        <w:t>5</w:t>
      </w:r>
    </w:p>
    <w:p>
      <w:pPr>
        <w:pStyle w:val="BodyText"/>
        <w:spacing w:line="240" w:lineRule="auto" w:before="177"/>
        <w:ind w:right="1117"/>
        <w:jc w:val="left"/>
      </w:pPr>
      <w:r>
        <w:rPr/>
        <w:t>股，共计转增</w:t>
      </w:r>
      <w:r>
        <w:rPr>
          <w:rFonts w:ascii="Times New Roman" w:hAnsi="Times New Roman" w:cs="Times New Roman" w:eastAsia="Times New Roman" w:hint="default"/>
        </w:rPr>
        <w:t>162,237,734</w:t>
      </w:r>
      <w:r>
        <w:rPr/>
        <w:t>股；</w:t>
      </w:r>
    </w:p>
    <w:p>
      <w:pPr>
        <w:pStyle w:val="BodyText"/>
        <w:spacing w:line="386" w:lineRule="auto" w:before="177"/>
        <w:ind w:right="1117" w:firstLine="423"/>
        <w:jc w:val="left"/>
      </w:pPr>
      <w:r>
        <w:rPr>
          <w:rFonts w:ascii="Times New Roman" w:hAnsi="Times New Roman" w:cs="Times New Roman" w:eastAsia="Times New Roman" w:hint="default"/>
          <w:spacing w:val="-1"/>
        </w:rPr>
        <w:t>2</w:t>
      </w:r>
      <w:r>
        <w:rPr>
          <w:spacing w:val="-1"/>
        </w:rPr>
        <w:t>、公司于</w:t>
      </w:r>
      <w:r>
        <w:rPr>
          <w:rFonts w:ascii="Times New Roman" w:hAnsi="Times New Roman" w:cs="Times New Roman" w:eastAsia="Times New Roman" w:hint="default"/>
          <w:spacing w:val="-1"/>
        </w:rPr>
        <w:t>2018</w:t>
      </w:r>
      <w:r>
        <w:rPr>
          <w:spacing w:val="-1"/>
        </w:rPr>
        <w:t>年</w:t>
      </w:r>
      <w:r>
        <w:rPr>
          <w:rFonts w:ascii="Times New Roman" w:hAnsi="Times New Roman" w:cs="Times New Roman" w:eastAsia="Times New Roman" w:hint="default"/>
          <w:spacing w:val="-1"/>
        </w:rPr>
        <w:t>2</w:t>
      </w:r>
      <w:r>
        <w:rPr>
          <w:spacing w:val="-1"/>
        </w:rPr>
        <w:t>月</w:t>
      </w:r>
      <w:r>
        <w:rPr>
          <w:rFonts w:ascii="Times New Roman" w:hAnsi="Times New Roman" w:cs="Times New Roman" w:eastAsia="Times New Roman" w:hint="default"/>
          <w:spacing w:val="-1"/>
        </w:rPr>
        <w:t>13</w:t>
      </w:r>
      <w:r>
        <w:rPr>
          <w:spacing w:val="-1"/>
        </w:rPr>
        <w:t>日召开第四届董事会第九次会议，审议通过了《关于回购注销不符合激励条件</w:t>
      </w:r>
      <w:r>
        <w:rPr/>
        <w:t> </w:t>
      </w:r>
      <w:r>
        <w:rPr>
          <w:spacing w:val="-1"/>
        </w:rPr>
        <w:t>的激励对象所持已获授但尚未解锁的限制性股票的议案》、《关于终止实施</w:t>
      </w:r>
      <w:r>
        <w:rPr>
          <w:rFonts w:ascii="Times New Roman" w:hAnsi="Times New Roman" w:cs="Times New Roman" w:eastAsia="Times New Roman" w:hint="default"/>
          <w:spacing w:val="-1"/>
        </w:rPr>
        <w:t>2016</w:t>
      </w:r>
      <w:r>
        <w:rPr>
          <w:spacing w:val="-1"/>
        </w:rPr>
        <w:t>年限制性股票激励计划暨</w:t>
      </w:r>
      <w:r>
        <w:rPr>
          <w:spacing w:val="-80"/>
        </w:rPr>
        <w:t> </w:t>
      </w:r>
      <w:r>
        <w:rPr/>
        <w:t>回购注销已获授但尚未解锁的限制性股票的议案》、《关于终止执行</w:t>
      </w:r>
      <w:r>
        <w:rPr>
          <w:rFonts w:ascii="Times New Roman" w:hAnsi="Times New Roman" w:cs="Times New Roman" w:eastAsia="Times New Roman" w:hint="default"/>
        </w:rPr>
        <w:t>&lt;</w:t>
      </w:r>
      <w:r>
        <w:rPr/>
        <w:t>新开普电子股份有限公司限制性股 票激励计划实施考核管理办法</w:t>
      </w:r>
      <w:r>
        <w:rPr>
          <w:rFonts w:ascii="Times New Roman" w:hAnsi="Times New Roman" w:cs="Times New Roman" w:eastAsia="Times New Roman" w:hint="default"/>
        </w:rPr>
        <w:t>&gt;</w:t>
      </w:r>
      <w:r>
        <w:rPr/>
        <w:t>的议案》等议案，同意回购注销原激励对象李莘、王鹏飞等</w:t>
      </w:r>
      <w:r>
        <w:rPr>
          <w:rFonts w:ascii="Times New Roman" w:hAnsi="Times New Roman" w:cs="Times New Roman" w:eastAsia="Times New Roman" w:hint="default"/>
        </w:rPr>
        <w:t>10</w:t>
      </w:r>
      <w:r>
        <w:rPr/>
        <w:t>名离职人员 已获授但尚未解锁的</w:t>
      </w:r>
      <w:r>
        <w:rPr>
          <w:rFonts w:ascii="Times New Roman" w:hAnsi="Times New Roman" w:cs="Times New Roman" w:eastAsia="Times New Roman" w:hint="default"/>
        </w:rPr>
        <w:t>45,600.00</w:t>
      </w:r>
      <w:r>
        <w:rPr/>
        <w:t>股限制性股票，同意公司终止实施激励计划并回购注销剩余</w:t>
      </w:r>
      <w:r>
        <w:rPr>
          <w:rFonts w:ascii="Times New Roman" w:hAnsi="Times New Roman" w:cs="Times New Roman" w:eastAsia="Times New Roman" w:hint="default"/>
        </w:rPr>
        <w:t>435</w:t>
      </w:r>
      <w:r>
        <w:rPr/>
        <w:t>名激励对象 已获授但尚未解锁的</w:t>
      </w:r>
      <w:r>
        <w:rPr>
          <w:rFonts w:ascii="Times New Roman" w:hAnsi="Times New Roman" w:cs="Times New Roman" w:eastAsia="Times New Roman" w:hint="default"/>
        </w:rPr>
        <w:t>5,575,140.00</w:t>
      </w:r>
      <w:r>
        <w:rPr/>
        <w:t>股限制性股票，共计减少股份</w:t>
      </w:r>
      <w:r>
        <w:rPr>
          <w:rFonts w:ascii="Times New Roman" w:hAnsi="Times New Roman" w:cs="Times New Roman" w:eastAsia="Times New Roman" w:hint="default"/>
        </w:rPr>
        <w:t>5,620,740.00</w:t>
      </w:r>
      <w:r>
        <w:rPr/>
        <w:t>股。</w:t>
      </w:r>
    </w:p>
    <w:p>
      <w:pPr>
        <w:spacing w:line="240" w:lineRule="auto" w:before="10"/>
        <w:rPr>
          <w:rFonts w:ascii="宋体" w:hAnsi="宋体" w:cs="宋体" w:eastAsia="宋体" w:hint="default"/>
          <w:sz w:val="19"/>
          <w:szCs w:val="19"/>
        </w:rPr>
      </w:pPr>
    </w:p>
    <w:p>
      <w:pPr>
        <w:pStyle w:val="Heading4"/>
        <w:spacing w:line="240" w:lineRule="auto"/>
        <w:ind w:right="1117"/>
        <w:jc w:val="left"/>
        <w:rPr>
          <w:b w:val="0"/>
          <w:bCs w:val="0"/>
        </w:rPr>
      </w:pPr>
      <w:bookmarkStart w:name="28、其他权益工具" w:id="303"/>
      <w:bookmarkEnd w:id="303"/>
      <w:r>
        <w:rPr>
          <w:b w:val="0"/>
          <w:bCs w:val="0"/>
        </w:rPr>
      </w:r>
      <w:r>
        <w:rPr>
          <w:rFonts w:ascii="Times New Roman" w:hAnsi="Times New Roman" w:cs="Times New Roman" w:eastAsia="Times New Roman" w:hint="default"/>
        </w:rPr>
        <w:t>28</w:t>
      </w:r>
      <w:r>
        <w:rPr/>
        <w:t>、其他权益工具</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1117"/>
        <w:jc w:val="left"/>
        <w:rPr>
          <w:b w:val="0"/>
          <w:bCs w:val="0"/>
        </w:rPr>
      </w:pPr>
      <w:bookmarkStart w:name="（1）期末发行在外的优先股、永续债等其他金融工具基本情况" w:id="304"/>
      <w:bookmarkEnd w:id="304"/>
      <w:r>
        <w:rPr>
          <w:b w:val="0"/>
          <w:bCs w:val="0"/>
        </w:rPr>
      </w:r>
      <w:r>
        <w:rPr/>
        <w:t>（</w:t>
      </w:r>
      <w:r>
        <w:rPr>
          <w:rFonts w:ascii="Times New Roman" w:hAnsi="Times New Roman" w:cs="Times New Roman" w:eastAsia="Times New Roman" w:hint="default"/>
        </w:rPr>
        <w:t>1</w:t>
      </w:r>
      <w:r>
        <w:rPr/>
        <w:t>）期末发行在外的优先股、永续债等其他金融工具基本情况</w:t>
      </w:r>
      <w:r>
        <w:rPr>
          <w:b w:val="0"/>
          <w:bCs w:val="0"/>
        </w:rPr>
      </w:r>
    </w:p>
    <w:p>
      <w:pPr>
        <w:spacing w:line="240" w:lineRule="auto" w:before="9"/>
        <w:rPr>
          <w:rFonts w:ascii="宋体" w:hAnsi="宋体" w:cs="宋体" w:eastAsia="宋体" w:hint="default"/>
          <w:b/>
          <w:bCs/>
          <w:sz w:val="24"/>
          <w:szCs w:val="24"/>
        </w:rPr>
      </w:pPr>
    </w:p>
    <w:p>
      <w:pPr>
        <w:pStyle w:val="Heading4"/>
        <w:spacing w:line="240" w:lineRule="auto"/>
        <w:ind w:right="1117"/>
        <w:jc w:val="left"/>
        <w:rPr>
          <w:b w:val="0"/>
          <w:bCs w:val="0"/>
        </w:rPr>
      </w:pPr>
      <w:bookmarkStart w:name="（2）期末发行在外的优先股、永续债等金融工具变动情况表" w:id="305"/>
      <w:bookmarkEnd w:id="305"/>
      <w:r>
        <w:rPr>
          <w:b w:val="0"/>
          <w:bCs w:val="0"/>
        </w:rPr>
      </w:r>
      <w:r>
        <w:rPr/>
        <w:t>（</w:t>
      </w:r>
      <w:r>
        <w:rPr>
          <w:rFonts w:ascii="Times New Roman" w:hAnsi="Times New Roman" w:cs="Times New Roman" w:eastAsia="Times New Roman" w:hint="default"/>
        </w:rPr>
        <w:t>2</w:t>
      </w:r>
      <w:r>
        <w:rPr/>
        <w:t>）期末发行在外的优先股、永续债等金融工具变动情况表</w:t>
      </w:r>
      <w:r>
        <w:rPr>
          <w:b w:val="0"/>
          <w:bCs w:val="0"/>
        </w:rPr>
      </w:r>
    </w:p>
    <w:p>
      <w:pPr>
        <w:spacing w:line="240" w:lineRule="auto" w:before="9"/>
        <w:rPr>
          <w:rFonts w:ascii="宋体" w:hAnsi="宋体" w:cs="宋体" w:eastAsia="宋体" w:hint="default"/>
          <w:b/>
          <w:bCs/>
          <w:sz w:val="26"/>
          <w:szCs w:val="26"/>
        </w:rPr>
      </w:pPr>
    </w:p>
    <w:p>
      <w:pPr>
        <w:spacing w:line="357" w:lineRule="auto" w:before="0"/>
        <w:ind w:left="154" w:right="4632" w:firstLine="0"/>
        <w:jc w:val="left"/>
        <w:rPr>
          <w:rFonts w:ascii="宋体" w:hAnsi="宋体" w:cs="宋体" w:eastAsia="宋体" w:hint="default"/>
          <w:sz w:val="18"/>
          <w:szCs w:val="18"/>
        </w:rPr>
      </w:pPr>
      <w:r>
        <w:rPr>
          <w:rFonts w:ascii="宋体" w:hAnsi="宋体" w:cs="宋体" w:eastAsia="宋体" w:hint="default"/>
          <w:sz w:val="18"/>
          <w:szCs w:val="18"/>
        </w:rPr>
        <w:t>其他权益工具本期增减变动情况、变动原因说明，以及相关会计处理的依据： 其他说明：</w:t>
      </w:r>
    </w:p>
    <w:p>
      <w:pPr>
        <w:spacing w:after="0" w:line="357" w:lineRule="auto"/>
        <w:jc w:val="left"/>
        <w:rPr>
          <w:rFonts w:ascii="宋体" w:hAnsi="宋体" w:cs="宋体" w:eastAsia="宋体" w:hint="default"/>
          <w:sz w:val="18"/>
          <w:szCs w:val="18"/>
        </w:rPr>
        <w:sectPr>
          <w:pgSz w:w="11910" w:h="16840"/>
          <w:pgMar w:header="877" w:footer="979" w:top="1060" w:bottom="1160" w:left="980" w:right="0"/>
        </w:sectPr>
      </w:pPr>
    </w:p>
    <w:p>
      <w:pPr>
        <w:spacing w:line="240" w:lineRule="auto" w:before="9"/>
        <w:rPr>
          <w:rFonts w:ascii="宋体" w:hAnsi="宋体" w:cs="宋体" w:eastAsia="宋体" w:hint="default"/>
          <w:sz w:val="24"/>
          <w:szCs w:val="24"/>
        </w:rPr>
      </w:pPr>
    </w:p>
    <w:p>
      <w:pPr>
        <w:pStyle w:val="Heading4"/>
        <w:spacing w:line="240" w:lineRule="auto" w:before="35"/>
        <w:ind w:right="1117"/>
        <w:jc w:val="left"/>
        <w:rPr>
          <w:b w:val="0"/>
          <w:bCs w:val="0"/>
        </w:rPr>
      </w:pPr>
      <w:bookmarkStart w:name="29、资本公积" w:id="306"/>
      <w:bookmarkEnd w:id="306"/>
      <w:r>
        <w:rPr>
          <w:b w:val="0"/>
          <w:bCs w:val="0"/>
        </w:rPr>
      </w:r>
      <w:r>
        <w:rPr>
          <w:rFonts w:ascii="Times New Roman" w:hAnsi="Times New Roman" w:cs="Times New Roman" w:eastAsia="Times New Roman" w:hint="default"/>
        </w:rPr>
        <w:t>29</w:t>
      </w:r>
      <w:r>
        <w:rPr/>
        <w:t>、资本公积</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1889"/>
        <w:gridCol w:w="1928"/>
        <w:gridCol w:w="1914"/>
        <w:gridCol w:w="1914"/>
        <w:gridCol w:w="1914"/>
      </w:tblGrid>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605"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资本溢价（股本溢价）</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697,786,339.83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8,310,186.95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226,145,547.80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479,950,978.98</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其他资本公积</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4,296,730.15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4,013,456.80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8,310,186.95</w:t>
            </w: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702,083,069.98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12,323,643.75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234,455,734.75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479,950,978.98</w:t>
            </w:r>
          </w:p>
        </w:tc>
      </w:tr>
    </w:tbl>
    <w:p>
      <w:pPr>
        <w:spacing w:before="51"/>
        <w:ind w:left="154" w:right="1117" w:firstLine="0"/>
        <w:jc w:val="left"/>
        <w:rPr>
          <w:rFonts w:ascii="宋体" w:hAnsi="宋体" w:cs="宋体" w:eastAsia="宋体" w:hint="default"/>
          <w:sz w:val="18"/>
          <w:szCs w:val="18"/>
        </w:rPr>
      </w:pPr>
      <w:r>
        <w:rPr>
          <w:rFonts w:ascii="宋体" w:hAnsi="宋体" w:cs="宋体" w:eastAsia="宋体" w:hint="default"/>
          <w:sz w:val="18"/>
          <w:szCs w:val="18"/>
        </w:rPr>
        <w:t>其他说明，包括本期增减变动情况、变动原因说明：</w:t>
      </w:r>
    </w:p>
    <w:p>
      <w:pPr>
        <w:spacing w:line="240" w:lineRule="auto" w:before="10"/>
        <w:rPr>
          <w:rFonts w:ascii="宋体" w:hAnsi="宋体" w:cs="宋体" w:eastAsia="宋体" w:hint="default"/>
          <w:sz w:val="12"/>
          <w:szCs w:val="12"/>
        </w:rPr>
      </w:pPr>
    </w:p>
    <w:p>
      <w:pPr>
        <w:pStyle w:val="BodyText"/>
        <w:spacing w:line="398" w:lineRule="auto" w:before="0"/>
        <w:ind w:right="0" w:firstLine="423"/>
        <w:jc w:val="left"/>
      </w:pPr>
      <w:r>
        <w:rPr>
          <w:rFonts w:ascii="Times New Roman" w:hAnsi="Times New Roman" w:cs="Times New Roman" w:eastAsia="Times New Roman" w:hint="default"/>
        </w:rPr>
        <w:t>1</w:t>
      </w:r>
      <w:r>
        <w:rPr/>
        <w:t>、公司于</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2</w:t>
      </w:r>
      <w:r>
        <w:rPr/>
        <w:t>月</w:t>
      </w:r>
      <w:r>
        <w:rPr>
          <w:rFonts w:ascii="Times New Roman" w:hAnsi="Times New Roman" w:cs="Times New Roman" w:eastAsia="Times New Roman" w:hint="default"/>
        </w:rPr>
        <w:t>13</w:t>
      </w:r>
      <w:r>
        <w:rPr/>
        <w:t>日召开第四届董事会第九次会议，同意终止实施</w:t>
      </w:r>
      <w:r>
        <w:rPr>
          <w:rFonts w:ascii="Times New Roman" w:hAnsi="Times New Roman" w:cs="Times New Roman" w:eastAsia="Times New Roman" w:hint="default"/>
        </w:rPr>
        <w:t>2016</w:t>
      </w:r>
      <w:r>
        <w:rPr/>
        <w:t>年限制性股票激励计划， 并回购注销剩余激励对象已获授但尚未解锁的限制性股票，对所授予的限制性股票作为加速行权处理，将 剩余等待期内应确认的金额</w:t>
      </w:r>
      <w:r>
        <w:rPr>
          <w:rFonts w:ascii="Times New Roman" w:hAnsi="Times New Roman" w:cs="Times New Roman" w:eastAsia="Times New Roman" w:hint="default"/>
        </w:rPr>
        <w:t>4,013,456.80</w:t>
      </w:r>
      <w:r>
        <w:rPr/>
        <w:t>元立即计入当期损益，同时确认资本公积</w:t>
      </w:r>
      <w:r>
        <w:rPr>
          <w:rFonts w:ascii="Times New Roman" w:hAnsi="Times New Roman" w:cs="Times New Roman" w:eastAsia="Times New Roman" w:hint="default"/>
        </w:rPr>
        <w:t>—</w:t>
      </w:r>
      <w:r>
        <w:rPr/>
        <w:t>其他资本公积；</w:t>
      </w:r>
    </w:p>
    <w:p>
      <w:pPr>
        <w:pStyle w:val="BodyText"/>
        <w:spacing w:line="386" w:lineRule="auto" w:before="24"/>
        <w:ind w:right="1212" w:firstLine="423"/>
        <w:jc w:val="left"/>
      </w:pPr>
      <w:r>
        <w:rPr>
          <w:rFonts w:ascii="Times New Roman" w:hAnsi="Times New Roman" w:cs="Times New Roman" w:eastAsia="Times New Roman" w:hint="default"/>
        </w:rPr>
        <w:t>2</w:t>
      </w:r>
      <w:r>
        <w:rPr/>
        <w:t>、限制性股票激励计划终止实施，对剩余激励对象已获授但尚未解锁的限制性股票视同加速行权并 解锁，资本公积</w:t>
      </w:r>
      <w:r>
        <w:rPr>
          <w:rFonts w:ascii="Times New Roman" w:hAnsi="Times New Roman" w:cs="Times New Roman" w:eastAsia="Times New Roman" w:hint="default"/>
        </w:rPr>
        <w:t>-</w:t>
      </w:r>
      <w:r>
        <w:rPr/>
        <w:t>其他资本公积</w:t>
      </w:r>
      <w:r>
        <w:rPr>
          <w:rFonts w:ascii="Times New Roman" w:hAnsi="Times New Roman" w:cs="Times New Roman" w:eastAsia="Times New Roman" w:hint="default"/>
        </w:rPr>
        <w:t>8,310,186.95</w:t>
      </w:r>
      <w:r>
        <w:rPr/>
        <w:t>转入资本公积</w:t>
      </w:r>
      <w:r>
        <w:rPr>
          <w:rFonts w:ascii="Times New Roman" w:hAnsi="Times New Roman" w:cs="Times New Roman" w:eastAsia="Times New Roman" w:hint="default"/>
        </w:rPr>
        <w:t>-</w:t>
      </w:r>
      <w:r>
        <w:rPr/>
        <w:t>股本溢价；</w:t>
      </w:r>
    </w:p>
    <w:p>
      <w:pPr>
        <w:pStyle w:val="BodyText"/>
        <w:spacing w:line="386" w:lineRule="auto" w:before="35"/>
        <w:ind w:right="1142" w:firstLine="423"/>
        <w:jc w:val="both"/>
      </w:pPr>
      <w:r>
        <w:rPr>
          <w:rFonts w:ascii="Times New Roman" w:hAnsi="Times New Roman" w:cs="Times New Roman" w:eastAsia="Times New Roman" w:hint="default"/>
        </w:rPr>
        <w:t>3</w:t>
      </w:r>
      <w:r>
        <w:rPr/>
        <w:t>、资本公积</w:t>
      </w:r>
      <w:r>
        <w:rPr>
          <w:rFonts w:ascii="Times New Roman" w:hAnsi="Times New Roman" w:cs="Times New Roman" w:eastAsia="Times New Roman" w:hint="default"/>
        </w:rPr>
        <w:t>-</w:t>
      </w:r>
      <w:r>
        <w:rPr/>
        <w:t>股本溢价减少</w:t>
      </w:r>
      <w:r>
        <w:rPr>
          <w:rFonts w:ascii="Times New Roman" w:hAnsi="Times New Roman" w:cs="Times New Roman" w:eastAsia="Times New Roman" w:hint="default"/>
        </w:rPr>
        <w:t>226,145,547.80</w:t>
      </w:r>
      <w:r>
        <w:rPr/>
        <w:t>，其中</w:t>
      </w:r>
      <w:r>
        <w:rPr>
          <w:rFonts w:ascii="Times New Roman" w:hAnsi="Times New Roman" w:cs="Times New Roman" w:eastAsia="Times New Roman" w:hint="default"/>
        </w:rPr>
        <w:t>63,907,813.80</w:t>
      </w:r>
      <w:r>
        <w:rPr/>
        <w:t>为回购注销剩余激励对象已获授但尚未 解锁的限制性股票导致，其中</w:t>
      </w:r>
      <w:r>
        <w:rPr>
          <w:rFonts w:ascii="Times New Roman" w:hAnsi="Times New Roman" w:cs="Times New Roman" w:eastAsia="Times New Roman" w:hint="default"/>
        </w:rPr>
        <w:t>162,237,734.00</w:t>
      </w:r>
      <w:r>
        <w:rPr/>
        <w:t>系</w:t>
      </w:r>
      <w:r>
        <w:rPr>
          <w:rFonts w:ascii="Times New Roman" w:hAnsi="Times New Roman" w:cs="Times New Roman" w:eastAsia="Times New Roman" w:hint="default"/>
        </w:rPr>
        <w:t>2017</w:t>
      </w:r>
      <w:r>
        <w:rPr/>
        <w:t>年度权益分派导致，公司</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10</w:t>
      </w:r>
      <w:r>
        <w:rPr/>
        <w:t>日召开的</w:t>
      </w:r>
      <w:r>
        <w:rPr>
          <w:rFonts w:ascii="Times New Roman" w:hAnsi="Times New Roman" w:cs="Times New Roman" w:eastAsia="Times New Roman" w:hint="default"/>
        </w:rPr>
        <w:t>2017</w:t>
      </w:r>
      <w:r>
        <w:rPr/>
        <w:t>年 年度股东大会审议通过，以资本公积金向全体股东每</w:t>
      </w:r>
      <w:r>
        <w:rPr>
          <w:rFonts w:ascii="Times New Roman" w:hAnsi="Times New Roman" w:cs="Times New Roman" w:eastAsia="Times New Roman" w:hint="default"/>
        </w:rPr>
        <w:t>10</w:t>
      </w:r>
      <w:r>
        <w:rPr/>
        <w:t>股转增</w:t>
      </w:r>
      <w:r>
        <w:rPr>
          <w:rFonts w:ascii="Times New Roman" w:hAnsi="Times New Roman" w:cs="Times New Roman" w:eastAsia="Times New Roman" w:hint="default"/>
        </w:rPr>
        <w:t>5</w:t>
      </w:r>
      <w:r>
        <w:rPr/>
        <w:t>股，共计转增</w:t>
      </w:r>
      <w:r>
        <w:rPr>
          <w:rFonts w:ascii="Times New Roman" w:hAnsi="Times New Roman" w:cs="Times New Roman" w:eastAsia="Times New Roman" w:hint="default"/>
        </w:rPr>
        <w:t>162,237,734</w:t>
      </w:r>
      <w:r>
        <w:rPr/>
        <w:t>股。</w:t>
      </w:r>
    </w:p>
    <w:p>
      <w:pPr>
        <w:spacing w:line="240" w:lineRule="auto" w:before="10"/>
        <w:rPr>
          <w:rFonts w:ascii="宋体" w:hAnsi="宋体" w:cs="宋体" w:eastAsia="宋体" w:hint="default"/>
          <w:sz w:val="19"/>
          <w:szCs w:val="19"/>
        </w:rPr>
      </w:pPr>
    </w:p>
    <w:p>
      <w:pPr>
        <w:pStyle w:val="Heading4"/>
        <w:spacing w:line="240" w:lineRule="auto"/>
        <w:ind w:right="1117"/>
        <w:jc w:val="left"/>
        <w:rPr>
          <w:b w:val="0"/>
          <w:bCs w:val="0"/>
        </w:rPr>
      </w:pPr>
      <w:bookmarkStart w:name="30、库存股" w:id="307"/>
      <w:bookmarkEnd w:id="307"/>
      <w:r>
        <w:rPr>
          <w:b w:val="0"/>
          <w:bCs w:val="0"/>
        </w:rPr>
      </w:r>
      <w:r>
        <w:rPr>
          <w:rFonts w:ascii="Times New Roman" w:hAnsi="Times New Roman" w:cs="Times New Roman" w:eastAsia="Times New Roman" w:hint="default"/>
        </w:rPr>
        <w:t>30</w:t>
      </w:r>
      <w:r>
        <w:rPr/>
        <w:t>、库存股</w:t>
      </w:r>
      <w:r>
        <w:rPr>
          <w:b w:val="0"/>
          <w:bCs w:val="0"/>
        </w:rPr>
      </w:r>
    </w:p>
    <w:p>
      <w:pPr>
        <w:spacing w:line="240" w:lineRule="auto" w:before="8"/>
        <w:rPr>
          <w:rFonts w:ascii="宋体" w:hAnsi="宋体" w:cs="宋体" w:eastAsia="宋体" w:hint="default"/>
          <w:b/>
          <w:bCs/>
          <w:sz w:val="26"/>
          <w:szCs w:val="26"/>
        </w:rPr>
      </w:pPr>
    </w:p>
    <w:p>
      <w:pPr>
        <w:spacing w:before="0"/>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12"/>
        <w:gridCol w:w="1917"/>
        <w:gridCol w:w="1914"/>
        <w:gridCol w:w="1914"/>
        <w:gridCol w:w="1914"/>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3"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限制性股票回购义务</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69,528,553.80</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69,528,553.80</w:t>
            </w: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69,528,553.80</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69,528,553.80</w:t>
            </w:r>
          </w:p>
        </w:tc>
        <w:tc>
          <w:tcPr>
            <w:tcW w:w="1914" w:type="dxa"/>
            <w:tcBorders>
              <w:top w:val="single" w:sz="4" w:space="0" w:color="000000"/>
              <w:left w:val="single" w:sz="4" w:space="0" w:color="000000"/>
              <w:bottom w:val="single" w:sz="4" w:space="0" w:color="000000"/>
              <w:right w:val="single" w:sz="4" w:space="0" w:color="000000"/>
            </w:tcBorders>
          </w:tcPr>
          <w:p>
            <w:pPr/>
          </w:p>
        </w:tc>
      </w:tr>
    </w:tbl>
    <w:p>
      <w:pPr>
        <w:spacing w:before="51"/>
        <w:ind w:left="154" w:right="1117" w:firstLine="0"/>
        <w:jc w:val="left"/>
        <w:rPr>
          <w:rFonts w:ascii="宋体" w:hAnsi="宋体" w:cs="宋体" w:eastAsia="宋体" w:hint="default"/>
          <w:sz w:val="18"/>
          <w:szCs w:val="18"/>
        </w:rPr>
      </w:pPr>
      <w:r>
        <w:rPr>
          <w:rFonts w:ascii="宋体" w:hAnsi="宋体" w:cs="宋体" w:eastAsia="宋体" w:hint="default"/>
          <w:sz w:val="18"/>
          <w:szCs w:val="18"/>
        </w:rPr>
        <w:t>其他说明，包括本期增减变动情况、变动原因说明：</w:t>
      </w:r>
    </w:p>
    <w:p>
      <w:pPr>
        <w:spacing w:line="240" w:lineRule="auto" w:before="12"/>
        <w:rPr>
          <w:rFonts w:ascii="宋体" w:hAnsi="宋体" w:cs="宋体" w:eastAsia="宋体" w:hint="default"/>
          <w:sz w:val="12"/>
          <w:szCs w:val="12"/>
        </w:rPr>
      </w:pPr>
    </w:p>
    <w:p>
      <w:pPr>
        <w:pStyle w:val="BodyText"/>
        <w:spacing w:line="386" w:lineRule="auto" w:before="0"/>
        <w:ind w:right="1130" w:firstLine="423"/>
        <w:jc w:val="both"/>
      </w:pPr>
      <w:r>
        <w:rPr>
          <w:rFonts w:ascii="Times New Roman" w:hAnsi="Times New Roman" w:cs="Times New Roman" w:eastAsia="Times New Roman" w:hint="default"/>
          <w:spacing w:val="-1"/>
        </w:rPr>
        <w:t>1</w:t>
      </w:r>
      <w:r>
        <w:rPr>
          <w:spacing w:val="-1"/>
        </w:rPr>
        <w:t>、公司于</w:t>
      </w:r>
      <w:r>
        <w:rPr>
          <w:rFonts w:ascii="Times New Roman" w:hAnsi="Times New Roman" w:cs="Times New Roman" w:eastAsia="Times New Roman" w:hint="default"/>
          <w:spacing w:val="-1"/>
        </w:rPr>
        <w:t>2018</w:t>
      </w:r>
      <w:r>
        <w:rPr>
          <w:spacing w:val="-1"/>
        </w:rPr>
        <w:t>年</w:t>
      </w:r>
      <w:r>
        <w:rPr>
          <w:rFonts w:ascii="Times New Roman" w:hAnsi="Times New Roman" w:cs="Times New Roman" w:eastAsia="Times New Roman" w:hint="default"/>
          <w:spacing w:val="-1"/>
        </w:rPr>
        <w:t>2</w:t>
      </w:r>
      <w:r>
        <w:rPr>
          <w:spacing w:val="-1"/>
        </w:rPr>
        <w:t>月</w:t>
      </w:r>
      <w:r>
        <w:rPr>
          <w:rFonts w:ascii="Times New Roman" w:hAnsi="Times New Roman" w:cs="Times New Roman" w:eastAsia="Times New Roman" w:hint="default"/>
          <w:spacing w:val="-1"/>
        </w:rPr>
        <w:t>13</w:t>
      </w:r>
      <w:r>
        <w:rPr>
          <w:spacing w:val="-1"/>
        </w:rPr>
        <w:t>日召开第四届董事会第九次会议，审议通过了《关于回购注销不符合激励条件</w:t>
      </w:r>
      <w:r>
        <w:rPr/>
        <w:t> </w:t>
      </w:r>
      <w:r>
        <w:rPr>
          <w:spacing w:val="-1"/>
        </w:rPr>
        <w:t>的激励对象所持已获授但尚未解锁的限制性股票的议案》、《关于终止实施</w:t>
      </w:r>
      <w:r>
        <w:rPr>
          <w:rFonts w:ascii="Times New Roman" w:hAnsi="Times New Roman" w:cs="Times New Roman" w:eastAsia="Times New Roman" w:hint="default"/>
          <w:spacing w:val="-1"/>
        </w:rPr>
        <w:t>2016</w:t>
      </w:r>
      <w:r>
        <w:rPr>
          <w:spacing w:val="-1"/>
        </w:rPr>
        <w:t>年限制性股票激励计划暨</w:t>
      </w:r>
      <w:r>
        <w:rPr>
          <w:spacing w:val="-80"/>
        </w:rPr>
        <w:t> </w:t>
      </w:r>
      <w:r>
        <w:rPr/>
        <w:t>回购注销已获授但尚未解锁的限制性股票的议案》、《关于终止执行</w:t>
      </w:r>
      <w:r>
        <w:rPr>
          <w:rFonts w:ascii="Times New Roman" w:hAnsi="Times New Roman" w:cs="Times New Roman" w:eastAsia="Times New Roman" w:hint="default"/>
        </w:rPr>
        <w:t>&lt;</w:t>
      </w:r>
      <w:r>
        <w:rPr/>
        <w:t>新开普电子股份有限公司限制性股 票激励计划实施考核管理办法</w:t>
      </w:r>
      <w:r>
        <w:rPr>
          <w:rFonts w:ascii="Times New Roman" w:hAnsi="Times New Roman" w:cs="Times New Roman" w:eastAsia="Times New Roman" w:hint="default"/>
        </w:rPr>
        <w:t>&gt;</w:t>
      </w:r>
      <w:r>
        <w:rPr/>
        <w:t>的议案》等议案，同意回购注销原激励对象李莘、王鹏飞等</w:t>
      </w:r>
      <w:r>
        <w:rPr>
          <w:rFonts w:ascii="Times New Roman" w:hAnsi="Times New Roman" w:cs="Times New Roman" w:eastAsia="Times New Roman" w:hint="default"/>
        </w:rPr>
        <w:t>10</w:t>
      </w:r>
      <w:r>
        <w:rPr/>
        <w:t>名离职人员 </w:t>
      </w:r>
      <w:r>
        <w:rPr>
          <w:spacing w:val="-2"/>
        </w:rPr>
        <w:t>已获授但尚未解锁的</w:t>
      </w:r>
      <w:r>
        <w:rPr>
          <w:rFonts w:ascii="Times New Roman" w:hAnsi="Times New Roman" w:cs="Times New Roman" w:eastAsia="Times New Roman" w:hint="default"/>
          <w:spacing w:val="-2"/>
        </w:rPr>
        <w:t>45,600</w:t>
      </w:r>
      <w:r>
        <w:rPr>
          <w:spacing w:val="-2"/>
        </w:rPr>
        <w:t>股限制性股票，同意公司终止实施激励计划并回购注销剩余</w:t>
      </w:r>
      <w:r>
        <w:rPr>
          <w:rFonts w:ascii="Times New Roman" w:hAnsi="Times New Roman" w:cs="Times New Roman" w:eastAsia="Times New Roman" w:hint="default"/>
          <w:spacing w:val="-2"/>
        </w:rPr>
        <w:t>435</w:t>
      </w:r>
      <w:r>
        <w:rPr>
          <w:spacing w:val="-2"/>
        </w:rPr>
        <w:t>名激励对象已获</w:t>
      </w:r>
      <w:r>
        <w:rPr>
          <w:spacing w:val="-82"/>
        </w:rPr>
        <w:t> </w:t>
      </w:r>
      <w:r>
        <w:rPr>
          <w:spacing w:val="-82"/>
        </w:rPr>
      </w:r>
      <w:r>
        <w:rPr/>
        <w:t>授但尚未解锁的</w:t>
      </w:r>
      <w:r>
        <w:rPr>
          <w:rFonts w:ascii="Times New Roman" w:hAnsi="Times New Roman" w:cs="Times New Roman" w:eastAsia="Times New Roman" w:hint="default"/>
        </w:rPr>
        <w:t>5,575,140</w:t>
      </w:r>
      <w:r>
        <w:rPr/>
        <w:t>股限制性股票。</w:t>
      </w:r>
    </w:p>
    <w:p>
      <w:pPr>
        <w:pStyle w:val="BodyText"/>
        <w:spacing w:line="386" w:lineRule="auto" w:before="36"/>
        <w:ind w:right="1158" w:firstLine="423"/>
        <w:jc w:val="both"/>
      </w:pPr>
      <w:r>
        <w:rPr>
          <w:rFonts w:ascii="Times New Roman" w:hAnsi="Times New Roman" w:cs="Times New Roman" w:eastAsia="Times New Roman" w:hint="default"/>
        </w:rPr>
        <w:t>2</w:t>
      </w:r>
      <w:r>
        <w:rPr/>
        <w:t>、公司按照授予限制性股票的授予价格</w:t>
      </w:r>
      <w:r>
        <w:rPr>
          <w:rFonts w:ascii="Times New Roman" w:hAnsi="Times New Roman" w:cs="Times New Roman" w:eastAsia="Times New Roman" w:hint="default"/>
        </w:rPr>
        <w:t>12.37</w:t>
      </w:r>
      <w:r>
        <w:rPr/>
        <w:t>元，回购注销原激励对象李莘、王鹏飞等</w:t>
      </w:r>
      <w:r>
        <w:rPr>
          <w:rFonts w:ascii="Times New Roman" w:hAnsi="Times New Roman" w:cs="Times New Roman" w:eastAsia="Times New Roman" w:hint="default"/>
        </w:rPr>
        <w:t>10</w:t>
      </w:r>
      <w:r>
        <w:rPr/>
        <w:t>名离职人员 已获授但尚未解锁的</w:t>
      </w:r>
      <w:r>
        <w:rPr>
          <w:rFonts w:ascii="Times New Roman" w:hAnsi="Times New Roman" w:cs="Times New Roman" w:eastAsia="Times New Roman" w:hint="default"/>
        </w:rPr>
        <w:t>45,600</w:t>
      </w:r>
      <w:r>
        <w:rPr/>
        <w:t>股限制性股票，减少限制性股票</w:t>
      </w:r>
      <w:r>
        <w:rPr>
          <w:rFonts w:ascii="Times New Roman" w:hAnsi="Times New Roman" w:cs="Times New Roman" w:eastAsia="Times New Roman" w:hint="default"/>
        </w:rPr>
        <w:t>564,072.00</w:t>
      </w:r>
      <w:r>
        <w:rPr/>
        <w:t>元；</w:t>
      </w:r>
    </w:p>
    <w:p>
      <w:pPr>
        <w:pStyle w:val="BodyText"/>
        <w:spacing w:line="240" w:lineRule="auto" w:before="35"/>
        <w:ind w:left="577" w:right="1117"/>
        <w:jc w:val="left"/>
      </w:pPr>
      <w:r>
        <w:rPr>
          <w:rFonts w:ascii="Times New Roman" w:hAnsi="Times New Roman" w:cs="Times New Roman" w:eastAsia="Times New Roman" w:hint="default"/>
        </w:rPr>
        <w:t>3</w:t>
      </w:r>
      <w:r>
        <w:rPr/>
        <w:t>、公司按照授予限制性股票的授予价格</w:t>
      </w:r>
      <w:r>
        <w:rPr>
          <w:rFonts w:ascii="Times New Roman" w:hAnsi="Times New Roman" w:cs="Times New Roman" w:eastAsia="Times New Roman" w:hint="default"/>
        </w:rPr>
        <w:t>12.37</w:t>
      </w:r>
      <w:r>
        <w:rPr/>
        <w:t>元，回购注销剩余</w:t>
      </w:r>
      <w:r>
        <w:rPr>
          <w:rFonts w:ascii="Times New Roman" w:hAnsi="Times New Roman" w:cs="Times New Roman" w:eastAsia="Times New Roman" w:hint="default"/>
        </w:rPr>
        <w:t>435</w:t>
      </w:r>
      <w:r>
        <w:rPr/>
        <w:t>名激励对象已获授但尚未解锁的</w:t>
      </w:r>
    </w:p>
    <w:p>
      <w:pPr>
        <w:spacing w:after="0" w:line="240" w:lineRule="auto"/>
        <w:jc w:val="left"/>
        <w:sectPr>
          <w:pgSz w:w="11910" w:h="16840"/>
          <w:pgMar w:header="877" w:footer="979" w:top="1060" w:bottom="1160" w:left="980" w:right="0"/>
        </w:sectPr>
      </w:pPr>
    </w:p>
    <w:p>
      <w:pPr>
        <w:spacing w:line="240" w:lineRule="auto" w:before="0"/>
        <w:rPr>
          <w:rFonts w:ascii="宋体" w:hAnsi="宋体" w:cs="宋体" w:eastAsia="宋体" w:hint="default"/>
          <w:sz w:val="20"/>
          <w:szCs w:val="20"/>
        </w:rPr>
      </w:pPr>
    </w:p>
    <w:p>
      <w:pPr>
        <w:pStyle w:val="BodyText"/>
        <w:spacing w:line="240" w:lineRule="auto" w:before="174"/>
        <w:ind w:right="1117"/>
        <w:jc w:val="left"/>
      </w:pPr>
      <w:r>
        <w:rPr>
          <w:rFonts w:ascii="Times New Roman" w:hAnsi="Times New Roman" w:cs="Times New Roman" w:eastAsia="Times New Roman" w:hint="default"/>
        </w:rPr>
        <w:t>5,575,140</w:t>
      </w:r>
      <w:r>
        <w:rPr/>
        <w:t>股限制性股票，减少限制性股票</w:t>
      </w:r>
      <w:r>
        <w:rPr>
          <w:rFonts w:ascii="Times New Roman" w:hAnsi="Times New Roman" w:cs="Times New Roman" w:eastAsia="Times New Roman" w:hint="default"/>
        </w:rPr>
        <w:t>68,964,481.80</w:t>
      </w:r>
      <w:r>
        <w:rPr/>
        <w:t>元。</w:t>
      </w:r>
    </w:p>
    <w:p>
      <w:pPr>
        <w:spacing w:line="240" w:lineRule="auto" w:before="8"/>
        <w:rPr>
          <w:rFonts w:ascii="宋体" w:hAnsi="宋体" w:cs="宋体" w:eastAsia="宋体" w:hint="default"/>
          <w:sz w:val="30"/>
          <w:szCs w:val="30"/>
        </w:rPr>
      </w:pPr>
    </w:p>
    <w:p>
      <w:pPr>
        <w:pStyle w:val="Heading4"/>
        <w:spacing w:line="240" w:lineRule="auto"/>
        <w:ind w:right="1117"/>
        <w:jc w:val="left"/>
        <w:rPr>
          <w:b w:val="0"/>
          <w:bCs w:val="0"/>
        </w:rPr>
      </w:pPr>
      <w:bookmarkStart w:name="31、盈余公积" w:id="308"/>
      <w:bookmarkEnd w:id="308"/>
      <w:r>
        <w:rPr>
          <w:b w:val="0"/>
          <w:bCs w:val="0"/>
        </w:rPr>
      </w:r>
      <w:r>
        <w:rPr>
          <w:rFonts w:ascii="Times New Roman" w:hAnsi="Times New Roman" w:cs="Times New Roman" w:eastAsia="Times New Roman" w:hint="default"/>
        </w:rPr>
        <w:t>31</w:t>
      </w:r>
      <w:r>
        <w:rPr/>
        <w:t>、盈余公积</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1889"/>
        <w:gridCol w:w="1928"/>
        <w:gridCol w:w="1914"/>
        <w:gridCol w:w="1914"/>
        <w:gridCol w:w="1914"/>
      </w:tblGrid>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605"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法定盈余公积</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39,527,567.18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5,576,381.38</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45,103,948.56</w:t>
            </w:r>
          </w:p>
        </w:tc>
      </w:tr>
      <w:tr>
        <w:trPr>
          <w:trHeight w:val="403"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39,527,567.18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5,576,381.38</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45,103,948.56</w:t>
            </w:r>
          </w:p>
        </w:tc>
      </w:tr>
    </w:tbl>
    <w:p>
      <w:pPr>
        <w:spacing w:before="51"/>
        <w:ind w:left="154" w:right="1117" w:firstLine="0"/>
        <w:jc w:val="left"/>
        <w:rPr>
          <w:rFonts w:ascii="宋体" w:hAnsi="宋体" w:cs="宋体" w:eastAsia="宋体" w:hint="default"/>
          <w:sz w:val="18"/>
          <w:szCs w:val="18"/>
        </w:rPr>
      </w:pPr>
      <w:r>
        <w:rPr>
          <w:rFonts w:ascii="宋体" w:hAnsi="宋体" w:cs="宋体" w:eastAsia="宋体" w:hint="default"/>
          <w:sz w:val="18"/>
          <w:szCs w:val="18"/>
        </w:rPr>
        <w:t>盈余公积说明，包括本期增减变动情况、变动原因说明：</w:t>
      </w:r>
    </w:p>
    <w:p>
      <w:pPr>
        <w:spacing w:line="240" w:lineRule="auto" w:before="10"/>
        <w:rPr>
          <w:rFonts w:ascii="宋体" w:hAnsi="宋体" w:cs="宋体" w:eastAsia="宋体" w:hint="default"/>
          <w:sz w:val="26"/>
          <w:szCs w:val="26"/>
        </w:rPr>
      </w:pPr>
    </w:p>
    <w:p>
      <w:pPr>
        <w:pStyle w:val="Heading4"/>
        <w:spacing w:line="240" w:lineRule="auto"/>
        <w:ind w:right="1117"/>
        <w:jc w:val="left"/>
        <w:rPr>
          <w:b w:val="0"/>
          <w:bCs w:val="0"/>
        </w:rPr>
      </w:pPr>
      <w:bookmarkStart w:name="32、未分配利润" w:id="309"/>
      <w:bookmarkEnd w:id="309"/>
      <w:r>
        <w:rPr>
          <w:b w:val="0"/>
          <w:bCs w:val="0"/>
        </w:rPr>
      </w:r>
      <w:r>
        <w:rPr>
          <w:rFonts w:ascii="Times New Roman" w:hAnsi="Times New Roman" w:cs="Times New Roman" w:eastAsia="Times New Roman" w:hint="default"/>
        </w:rPr>
        <w:t>32</w:t>
      </w:r>
      <w:r>
        <w:rPr/>
        <w:t>、未分配利润</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714"/>
        <w:gridCol w:w="2936"/>
        <w:gridCol w:w="2919"/>
      </w:tblGrid>
      <w:tr>
        <w:trPr>
          <w:trHeight w:val="402" w:hRule="exact"/>
        </w:trPr>
        <w:tc>
          <w:tcPr>
            <w:tcW w:w="37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9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 w:right="0"/>
              <w:jc w:val="center"/>
              <w:rPr>
                <w:rFonts w:ascii="宋体" w:hAnsi="宋体" w:cs="宋体" w:eastAsia="宋体" w:hint="default"/>
                <w:sz w:val="18"/>
                <w:szCs w:val="18"/>
              </w:rPr>
            </w:pPr>
            <w:r>
              <w:rPr>
                <w:rFonts w:ascii="宋体" w:hAnsi="宋体" w:cs="宋体" w:eastAsia="宋体" w:hint="default"/>
                <w:sz w:val="18"/>
                <w:szCs w:val="18"/>
              </w:rPr>
              <w:t>本期</w:t>
            </w:r>
          </w:p>
        </w:tc>
        <w:tc>
          <w:tcPr>
            <w:tcW w:w="29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w:t>
            </w:r>
          </w:p>
        </w:tc>
      </w:tr>
      <w:tr>
        <w:trPr>
          <w:trHeight w:val="402" w:hRule="exact"/>
        </w:trPr>
        <w:tc>
          <w:tcPr>
            <w:tcW w:w="37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调整前上期末未分配利润</w:t>
            </w:r>
          </w:p>
        </w:tc>
        <w:tc>
          <w:tcPr>
            <w:tcW w:w="2936"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365,046,574.10</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272,739,063.88</w:t>
            </w:r>
          </w:p>
        </w:tc>
      </w:tr>
      <w:tr>
        <w:trPr>
          <w:trHeight w:val="402" w:hRule="exact"/>
        </w:trPr>
        <w:tc>
          <w:tcPr>
            <w:tcW w:w="37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调整后期初未分配利润</w:t>
            </w:r>
          </w:p>
        </w:tc>
        <w:tc>
          <w:tcPr>
            <w:tcW w:w="2936"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365,046,574.10</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272,739,063.88</w:t>
            </w:r>
          </w:p>
        </w:tc>
      </w:tr>
      <w:tr>
        <w:trPr>
          <w:trHeight w:val="402" w:hRule="exact"/>
        </w:trPr>
        <w:tc>
          <w:tcPr>
            <w:tcW w:w="37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加：本期归属于母公司所有者的净利润</w:t>
            </w:r>
          </w:p>
        </w:tc>
        <w:tc>
          <w:tcPr>
            <w:tcW w:w="2936"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96,112,608.43</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119,671,217.16</w:t>
            </w:r>
          </w:p>
        </w:tc>
      </w:tr>
      <w:tr>
        <w:trPr>
          <w:trHeight w:val="402" w:hRule="exact"/>
        </w:trPr>
        <w:tc>
          <w:tcPr>
            <w:tcW w:w="37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减：提取法定盈余公积</w:t>
            </w:r>
          </w:p>
        </w:tc>
        <w:tc>
          <w:tcPr>
            <w:tcW w:w="2936"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5,576,381.38</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9,509,370.38</w:t>
            </w:r>
          </w:p>
        </w:tc>
      </w:tr>
      <w:tr>
        <w:trPr>
          <w:trHeight w:val="402" w:hRule="exact"/>
        </w:trPr>
        <w:tc>
          <w:tcPr>
            <w:tcW w:w="37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82" w:right="0"/>
              <w:jc w:val="left"/>
              <w:rPr>
                <w:rFonts w:ascii="宋体" w:hAnsi="宋体" w:cs="宋体" w:eastAsia="宋体" w:hint="default"/>
                <w:sz w:val="18"/>
                <w:szCs w:val="18"/>
              </w:rPr>
            </w:pPr>
            <w:r>
              <w:rPr>
                <w:rFonts w:ascii="宋体" w:hAnsi="宋体" w:cs="宋体" w:eastAsia="宋体" w:hint="default"/>
                <w:sz w:val="18"/>
                <w:szCs w:val="18"/>
              </w:rPr>
              <w:t>应付普通股股利</w:t>
            </w:r>
          </w:p>
        </w:tc>
        <w:tc>
          <w:tcPr>
            <w:tcW w:w="2936"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19,151,040.21</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17,854,336.56</w:t>
            </w:r>
          </w:p>
        </w:tc>
      </w:tr>
      <w:tr>
        <w:trPr>
          <w:trHeight w:val="403" w:hRule="exact"/>
        </w:trPr>
        <w:tc>
          <w:tcPr>
            <w:tcW w:w="37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期末未分配利润</w:t>
            </w:r>
          </w:p>
        </w:tc>
        <w:tc>
          <w:tcPr>
            <w:tcW w:w="2936"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436,431,760.94</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365,046,574.10</w:t>
            </w:r>
          </w:p>
        </w:tc>
      </w:tr>
    </w:tbl>
    <w:p>
      <w:pPr>
        <w:spacing w:before="51"/>
        <w:ind w:left="154" w:right="1117" w:firstLine="0"/>
        <w:jc w:val="left"/>
        <w:rPr>
          <w:rFonts w:ascii="宋体" w:hAnsi="宋体" w:cs="宋体" w:eastAsia="宋体" w:hint="default"/>
          <w:sz w:val="18"/>
          <w:szCs w:val="18"/>
        </w:rPr>
      </w:pPr>
      <w:r>
        <w:rPr>
          <w:rFonts w:ascii="宋体" w:hAnsi="宋体" w:cs="宋体" w:eastAsia="宋体" w:hint="default"/>
          <w:sz w:val="18"/>
          <w:szCs w:val="18"/>
        </w:rPr>
        <w:t>调整期初未分配利润明细：</w:t>
      </w:r>
    </w:p>
    <w:p>
      <w:pPr>
        <w:spacing w:line="240" w:lineRule="auto" w:before="12"/>
        <w:rPr>
          <w:rFonts w:ascii="宋体" w:hAnsi="宋体" w:cs="宋体" w:eastAsia="宋体" w:hint="default"/>
          <w:sz w:val="12"/>
          <w:szCs w:val="12"/>
        </w:rPr>
      </w:pPr>
    </w:p>
    <w:p>
      <w:pPr>
        <w:pStyle w:val="BodyText"/>
        <w:spacing w:line="240" w:lineRule="auto" w:before="0"/>
        <w:ind w:right="1117"/>
        <w:jc w:val="left"/>
      </w:pPr>
      <w:r>
        <w:rPr>
          <w:rFonts w:ascii="Times New Roman" w:hAnsi="Times New Roman" w:cs="Times New Roman" w:eastAsia="Times New Roman" w:hint="default"/>
        </w:rPr>
        <w:t>1)</w:t>
      </w:r>
      <w:r>
        <w:rPr/>
        <w:t>、由于《企业会计准则》及其相关新规定进行追溯调整，影响期初未分配利润</w:t>
      </w:r>
      <w:r>
        <w:rPr>
          <w:spacing w:val="-53"/>
        </w:rPr>
        <w:t> </w:t>
      </w:r>
      <w:r>
        <w:rPr>
          <w:rFonts w:ascii="Times New Roman" w:hAnsi="Times New Roman" w:cs="Times New Roman" w:eastAsia="Times New Roman" w:hint="default"/>
        </w:rPr>
        <w:t>0.00</w:t>
      </w:r>
      <w:r>
        <w:rPr>
          <w:rFonts w:ascii="Times New Roman" w:hAnsi="Times New Roman" w:cs="Times New Roman" w:eastAsia="Times New Roman" w:hint="default"/>
          <w:spacing w:val="-2"/>
        </w:rPr>
        <w:t> </w:t>
      </w:r>
      <w:r>
        <w:rPr/>
        <w:t>元。</w:t>
      </w:r>
    </w:p>
    <w:p>
      <w:pPr>
        <w:spacing w:line="240" w:lineRule="auto" w:before="9"/>
        <w:rPr>
          <w:rFonts w:ascii="宋体" w:hAnsi="宋体" w:cs="宋体" w:eastAsia="宋体" w:hint="default"/>
          <w:sz w:val="16"/>
          <w:szCs w:val="16"/>
        </w:rPr>
      </w:pPr>
    </w:p>
    <w:p>
      <w:pPr>
        <w:pStyle w:val="BodyText"/>
        <w:spacing w:line="240" w:lineRule="auto" w:before="0"/>
        <w:ind w:right="1117"/>
        <w:jc w:val="left"/>
      </w:pPr>
      <w:r>
        <w:rPr>
          <w:rFonts w:ascii="Times New Roman" w:hAnsi="Times New Roman" w:cs="Times New Roman" w:eastAsia="Times New Roman" w:hint="default"/>
        </w:rPr>
        <w:t>2)</w:t>
      </w:r>
      <w:r>
        <w:rPr/>
        <w:t>、由于会计政策变更，影响期初未分配利润</w:t>
      </w:r>
      <w:r>
        <w:rPr>
          <w:spacing w:val="-53"/>
        </w:rPr>
        <w:t> </w:t>
      </w:r>
      <w:r>
        <w:rPr>
          <w:rFonts w:ascii="Times New Roman" w:hAnsi="Times New Roman" w:cs="Times New Roman" w:eastAsia="Times New Roman" w:hint="default"/>
        </w:rPr>
        <w:t>0.00</w:t>
      </w:r>
      <w:r>
        <w:rPr>
          <w:rFonts w:ascii="Times New Roman" w:hAnsi="Times New Roman" w:cs="Times New Roman" w:eastAsia="Times New Roman" w:hint="default"/>
          <w:spacing w:val="-1"/>
        </w:rPr>
        <w:t> </w:t>
      </w:r>
      <w:r>
        <w:rPr/>
        <w:t>元。</w:t>
      </w:r>
    </w:p>
    <w:p>
      <w:pPr>
        <w:spacing w:line="240" w:lineRule="auto" w:before="8"/>
        <w:rPr>
          <w:rFonts w:ascii="宋体" w:hAnsi="宋体" w:cs="宋体" w:eastAsia="宋体" w:hint="default"/>
          <w:sz w:val="16"/>
          <w:szCs w:val="16"/>
        </w:rPr>
      </w:pPr>
    </w:p>
    <w:p>
      <w:pPr>
        <w:pStyle w:val="BodyText"/>
        <w:spacing w:line="240" w:lineRule="auto" w:before="0"/>
        <w:ind w:right="1117"/>
        <w:jc w:val="left"/>
      </w:pPr>
      <w:r>
        <w:rPr>
          <w:rFonts w:ascii="Times New Roman" w:hAnsi="Times New Roman" w:cs="Times New Roman" w:eastAsia="Times New Roman" w:hint="default"/>
        </w:rPr>
        <w:t>3)</w:t>
      </w:r>
      <w:r>
        <w:rPr/>
        <w:t>、由于重大会计差错更正，影响期初未分配利润</w:t>
      </w:r>
      <w:r>
        <w:rPr>
          <w:spacing w:val="-53"/>
        </w:rPr>
        <w:t> </w:t>
      </w:r>
      <w:r>
        <w:rPr>
          <w:rFonts w:ascii="Times New Roman" w:hAnsi="Times New Roman" w:cs="Times New Roman" w:eastAsia="Times New Roman" w:hint="default"/>
        </w:rPr>
        <w:t>0.00 </w:t>
      </w:r>
      <w:r>
        <w:rPr/>
        <w:t>元。</w:t>
      </w:r>
    </w:p>
    <w:p>
      <w:pPr>
        <w:spacing w:line="240" w:lineRule="auto" w:before="8"/>
        <w:rPr>
          <w:rFonts w:ascii="宋体" w:hAnsi="宋体" w:cs="宋体" w:eastAsia="宋体" w:hint="default"/>
          <w:sz w:val="16"/>
          <w:szCs w:val="16"/>
        </w:rPr>
      </w:pPr>
    </w:p>
    <w:p>
      <w:pPr>
        <w:pStyle w:val="BodyText"/>
        <w:spacing w:line="240" w:lineRule="auto" w:before="0"/>
        <w:ind w:right="1117"/>
        <w:jc w:val="left"/>
      </w:pPr>
      <w:r>
        <w:rPr>
          <w:rFonts w:ascii="Times New Roman" w:hAnsi="Times New Roman" w:cs="Times New Roman" w:eastAsia="Times New Roman" w:hint="default"/>
        </w:rPr>
        <w:t>4)</w:t>
      </w:r>
      <w:r>
        <w:rPr/>
        <w:t>、由于同一控制导致的合并范围变更，影响期初未分配利润</w:t>
      </w:r>
      <w:r>
        <w:rPr>
          <w:spacing w:val="-53"/>
        </w:rPr>
        <w:t> </w:t>
      </w:r>
      <w:r>
        <w:rPr>
          <w:rFonts w:ascii="Times New Roman" w:hAnsi="Times New Roman" w:cs="Times New Roman" w:eastAsia="Times New Roman" w:hint="default"/>
        </w:rPr>
        <w:t>0.00 </w:t>
      </w:r>
      <w:r>
        <w:rPr/>
        <w:t>元。</w:t>
      </w:r>
    </w:p>
    <w:p>
      <w:pPr>
        <w:spacing w:line="240" w:lineRule="auto" w:before="9"/>
        <w:rPr>
          <w:rFonts w:ascii="宋体" w:hAnsi="宋体" w:cs="宋体" w:eastAsia="宋体" w:hint="default"/>
          <w:sz w:val="16"/>
          <w:szCs w:val="16"/>
        </w:rPr>
      </w:pPr>
    </w:p>
    <w:p>
      <w:pPr>
        <w:pStyle w:val="BodyText"/>
        <w:spacing w:line="240" w:lineRule="auto" w:before="0"/>
        <w:ind w:right="1117"/>
        <w:jc w:val="left"/>
      </w:pPr>
      <w:r>
        <w:rPr>
          <w:rFonts w:ascii="Times New Roman" w:hAnsi="Times New Roman" w:cs="Times New Roman" w:eastAsia="Times New Roman" w:hint="default"/>
        </w:rPr>
        <w:t>5)</w:t>
      </w:r>
      <w:r>
        <w:rPr/>
        <w:t>、其他调整合计影响期初未分配利润</w:t>
      </w:r>
      <w:r>
        <w:rPr>
          <w:spacing w:val="-53"/>
        </w:rPr>
        <w:t> </w:t>
      </w:r>
      <w:r>
        <w:rPr>
          <w:rFonts w:ascii="Times New Roman" w:hAnsi="Times New Roman" w:cs="Times New Roman" w:eastAsia="Times New Roman" w:hint="default"/>
        </w:rPr>
        <w:t>0.00 </w:t>
      </w:r>
      <w:r>
        <w:rPr/>
        <w:t>元。</w:t>
      </w:r>
    </w:p>
    <w:p>
      <w:pPr>
        <w:spacing w:line="240" w:lineRule="auto" w:before="6"/>
        <w:rPr>
          <w:rFonts w:ascii="宋体" w:hAnsi="宋体" w:cs="宋体" w:eastAsia="宋体" w:hint="default"/>
          <w:sz w:val="30"/>
          <w:szCs w:val="30"/>
        </w:rPr>
      </w:pPr>
    </w:p>
    <w:p>
      <w:pPr>
        <w:pStyle w:val="Heading4"/>
        <w:spacing w:line="240" w:lineRule="auto"/>
        <w:ind w:right="1117"/>
        <w:jc w:val="left"/>
        <w:rPr>
          <w:b w:val="0"/>
          <w:bCs w:val="0"/>
        </w:rPr>
      </w:pPr>
      <w:bookmarkStart w:name="33、营业收入和营业成本" w:id="310"/>
      <w:bookmarkEnd w:id="310"/>
      <w:r>
        <w:rPr>
          <w:b w:val="0"/>
          <w:bCs w:val="0"/>
        </w:rPr>
      </w:r>
      <w:r>
        <w:rPr>
          <w:rFonts w:ascii="Times New Roman" w:hAnsi="Times New Roman" w:cs="Times New Roman" w:eastAsia="Times New Roman" w:hint="default"/>
        </w:rPr>
        <w:t>33</w:t>
      </w:r>
      <w:r>
        <w:rPr/>
        <w:t>、营业收入和营业成本</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1901"/>
        <w:gridCol w:w="1916"/>
        <w:gridCol w:w="1914"/>
        <w:gridCol w:w="1914"/>
        <w:gridCol w:w="1914"/>
      </w:tblGrid>
      <w:tr>
        <w:trPr>
          <w:trHeight w:val="206" w:hRule="exact"/>
        </w:trPr>
        <w:tc>
          <w:tcPr>
            <w:tcW w:w="1901" w:type="dxa"/>
            <w:tcBorders>
              <w:top w:val="single" w:sz="4" w:space="0" w:color="000000"/>
              <w:left w:val="single" w:sz="4" w:space="0" w:color="000000"/>
              <w:bottom w:val="nil" w:sz="6" w:space="0" w:color="auto"/>
              <w:right w:val="single" w:sz="4" w:space="0" w:color="000000"/>
            </w:tcBorders>
            <w:shd w:val="clear" w:color="auto" w:fill="D2D2D2"/>
          </w:tcPr>
          <w:p>
            <w:pPr/>
          </w:p>
        </w:tc>
        <w:tc>
          <w:tcPr>
            <w:tcW w:w="3830"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828"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191" w:hRule="exact"/>
        </w:trPr>
        <w:tc>
          <w:tcPr>
            <w:tcW w:w="190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10"/>
              <w:jc w:val="center"/>
              <w:rPr>
                <w:rFonts w:ascii="宋体" w:hAnsi="宋体" w:cs="宋体" w:eastAsia="宋体" w:hint="default"/>
                <w:sz w:val="18"/>
                <w:szCs w:val="18"/>
              </w:rPr>
            </w:pPr>
            <w:r>
              <w:rPr>
                <w:rFonts w:ascii="宋体" w:hAnsi="宋体" w:cs="宋体" w:eastAsia="宋体" w:hint="default"/>
                <w:sz w:val="18"/>
                <w:szCs w:val="18"/>
              </w:rPr>
              <w:t>项目</w:t>
            </w:r>
          </w:p>
        </w:tc>
        <w:tc>
          <w:tcPr>
            <w:tcW w:w="3830" w:type="dxa"/>
            <w:gridSpan w:val="2"/>
            <w:vMerge/>
            <w:tcBorders>
              <w:left w:val="single" w:sz="4" w:space="0" w:color="000000"/>
              <w:bottom w:val="single" w:sz="4" w:space="0" w:color="000000"/>
              <w:right w:val="single" w:sz="4" w:space="0" w:color="000000"/>
            </w:tcBorders>
            <w:shd w:val="clear" w:color="auto" w:fill="D2D2D2"/>
          </w:tcPr>
          <w:p>
            <w:pPr/>
          </w:p>
        </w:tc>
        <w:tc>
          <w:tcPr>
            <w:tcW w:w="3828" w:type="dxa"/>
            <w:gridSpan w:val="2"/>
            <w:vMerge/>
            <w:tcBorders>
              <w:left w:val="single" w:sz="4" w:space="0" w:color="000000"/>
              <w:bottom w:val="single" w:sz="4" w:space="0" w:color="000000"/>
              <w:right w:val="single" w:sz="4" w:space="0" w:color="000000"/>
            </w:tcBorders>
            <w:shd w:val="clear" w:color="auto" w:fill="D2D2D2"/>
          </w:tcPr>
          <w:p>
            <w:pPr/>
          </w:p>
        </w:tc>
      </w:tr>
      <w:tr>
        <w:trPr>
          <w:trHeight w:val="202" w:hRule="exact"/>
        </w:trPr>
        <w:tc>
          <w:tcPr>
            <w:tcW w:w="1901" w:type="dxa"/>
            <w:vMerge/>
            <w:tcBorders>
              <w:left w:val="single" w:sz="4" w:space="0" w:color="000000"/>
              <w:bottom w:val="nil" w:sz="6" w:space="0" w:color="auto"/>
              <w:right w:val="single" w:sz="4" w:space="0" w:color="000000"/>
            </w:tcBorders>
            <w:shd w:val="clear" w:color="auto" w:fill="D2D2D2"/>
          </w:tcPr>
          <w:p>
            <w:pPr/>
          </w:p>
        </w:tc>
        <w:tc>
          <w:tcPr>
            <w:tcW w:w="191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收入</w:t>
            </w:r>
          </w:p>
        </w:tc>
        <w:tc>
          <w:tcPr>
            <w:tcW w:w="191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成本</w:t>
            </w:r>
          </w:p>
        </w:tc>
        <w:tc>
          <w:tcPr>
            <w:tcW w:w="191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收入</w:t>
            </w:r>
          </w:p>
        </w:tc>
        <w:tc>
          <w:tcPr>
            <w:tcW w:w="191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成本</w:t>
            </w:r>
          </w:p>
        </w:tc>
      </w:tr>
      <w:tr>
        <w:trPr>
          <w:trHeight w:val="205" w:hRule="exact"/>
        </w:trPr>
        <w:tc>
          <w:tcPr>
            <w:tcW w:w="1901" w:type="dxa"/>
            <w:tcBorders>
              <w:top w:val="nil" w:sz="6" w:space="0" w:color="auto"/>
              <w:left w:val="single" w:sz="4" w:space="0" w:color="000000"/>
              <w:bottom w:val="single" w:sz="4" w:space="0" w:color="000000"/>
              <w:right w:val="single" w:sz="4" w:space="0" w:color="000000"/>
            </w:tcBorders>
            <w:shd w:val="clear" w:color="auto" w:fill="D2D2D2"/>
          </w:tcPr>
          <w:p>
            <w:pPr/>
          </w:p>
        </w:tc>
        <w:tc>
          <w:tcPr>
            <w:tcW w:w="1916" w:type="dxa"/>
            <w:vMerge/>
            <w:tcBorders>
              <w:left w:val="single" w:sz="4" w:space="0" w:color="000000"/>
              <w:bottom w:val="single" w:sz="4" w:space="0" w:color="000000"/>
              <w:right w:val="single" w:sz="4" w:space="0" w:color="000000"/>
            </w:tcBorders>
            <w:shd w:val="clear" w:color="auto" w:fill="D2D2D2"/>
          </w:tcPr>
          <w:p>
            <w:pPr/>
          </w:p>
        </w:tc>
        <w:tc>
          <w:tcPr>
            <w:tcW w:w="1914" w:type="dxa"/>
            <w:vMerge/>
            <w:tcBorders>
              <w:left w:val="single" w:sz="4" w:space="0" w:color="000000"/>
              <w:bottom w:val="single" w:sz="4" w:space="0" w:color="000000"/>
              <w:right w:val="single" w:sz="4" w:space="0" w:color="000000"/>
            </w:tcBorders>
            <w:shd w:val="clear" w:color="auto" w:fill="D2D2D2"/>
          </w:tcPr>
          <w:p>
            <w:pPr/>
          </w:p>
        </w:tc>
        <w:tc>
          <w:tcPr>
            <w:tcW w:w="1914" w:type="dxa"/>
            <w:vMerge/>
            <w:tcBorders>
              <w:left w:val="single" w:sz="4" w:space="0" w:color="000000"/>
              <w:bottom w:val="single" w:sz="4" w:space="0" w:color="000000"/>
              <w:right w:val="single" w:sz="4" w:space="0" w:color="000000"/>
            </w:tcBorders>
            <w:shd w:val="clear" w:color="auto" w:fill="D2D2D2"/>
          </w:tcPr>
          <w:p>
            <w:pPr/>
          </w:p>
        </w:tc>
        <w:tc>
          <w:tcPr>
            <w:tcW w:w="1914"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9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主营业务</w:t>
            </w:r>
          </w:p>
        </w:tc>
        <w:tc>
          <w:tcPr>
            <w:tcW w:w="191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833,027,249.80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374,726,216.81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765,260,525.85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341,236,182.70</w:t>
            </w:r>
          </w:p>
        </w:tc>
      </w:tr>
      <w:tr>
        <w:trPr>
          <w:trHeight w:val="402" w:hRule="exact"/>
        </w:trPr>
        <w:tc>
          <w:tcPr>
            <w:tcW w:w="19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其他业务</w:t>
            </w:r>
          </w:p>
        </w:tc>
        <w:tc>
          <w:tcPr>
            <w:tcW w:w="191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4,600,326.90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1,266,828.77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4,359,194.18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1,081,751.89</w:t>
            </w:r>
          </w:p>
        </w:tc>
      </w:tr>
      <w:tr>
        <w:trPr>
          <w:trHeight w:val="402" w:hRule="exact"/>
        </w:trPr>
        <w:tc>
          <w:tcPr>
            <w:tcW w:w="19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837,627,576.70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375,993,045.58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769,619,720.03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342,317,934.59</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79" w:top="1060" w:bottom="1160" w:left="980" w:right="0"/>
        </w:sectPr>
      </w:pPr>
    </w:p>
    <w:p>
      <w:pPr>
        <w:spacing w:line="240" w:lineRule="auto" w:before="10"/>
        <w:rPr>
          <w:rFonts w:ascii="宋体" w:hAnsi="宋体" w:cs="宋体" w:eastAsia="宋体" w:hint="default"/>
          <w:sz w:val="24"/>
          <w:szCs w:val="24"/>
        </w:rPr>
      </w:pPr>
    </w:p>
    <w:p>
      <w:pPr>
        <w:pStyle w:val="Heading4"/>
        <w:spacing w:line="240" w:lineRule="auto" w:before="35"/>
        <w:ind w:right="1117"/>
        <w:jc w:val="left"/>
        <w:rPr>
          <w:b w:val="0"/>
          <w:bCs w:val="0"/>
        </w:rPr>
      </w:pPr>
      <w:bookmarkStart w:name="34、税金及附加" w:id="311"/>
      <w:bookmarkEnd w:id="311"/>
      <w:r>
        <w:rPr>
          <w:b w:val="0"/>
          <w:bCs w:val="0"/>
        </w:rPr>
      </w:r>
      <w:r>
        <w:rPr>
          <w:rFonts w:ascii="Times New Roman" w:hAnsi="Times New Roman" w:cs="Times New Roman" w:eastAsia="Times New Roman" w:hint="default"/>
        </w:rPr>
        <w:t>34</w:t>
      </w:r>
      <w:r>
        <w:rPr/>
        <w:t>、税金及附加</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164"/>
        <w:gridCol w:w="3206"/>
        <w:gridCol w:w="3189"/>
      </w:tblGrid>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5,112,831.66</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4,459,600.21</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2,233,549.11</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1,942,215.23</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房产税</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1,616,384.44</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1,610,525.85</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土地使用税</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156,742.44</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156,559.67</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车船使用税</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4,160.00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1,920.00</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印花税</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385,586.00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508,682.80</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地方教育费附加</w:t>
            </w:r>
          </w:p>
        </w:tc>
        <w:tc>
          <w:tcPr>
            <w:tcW w:w="3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1,347,981.50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1,291,313.62</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358,631.05</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349.26</w:t>
            </w:r>
          </w:p>
        </w:tc>
      </w:tr>
      <w:tr>
        <w:trPr>
          <w:trHeight w:val="403"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11,215,866.20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9,971,166.64</w:t>
            </w:r>
          </w:p>
        </w:tc>
      </w:tr>
    </w:tbl>
    <w:p>
      <w:pPr>
        <w:spacing w:before="51"/>
        <w:ind w:left="154" w:right="1117"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0"/>
        <w:rPr>
          <w:rFonts w:ascii="宋体" w:hAnsi="宋体" w:cs="宋体" w:eastAsia="宋体" w:hint="default"/>
          <w:sz w:val="26"/>
          <w:szCs w:val="26"/>
        </w:rPr>
      </w:pPr>
    </w:p>
    <w:p>
      <w:pPr>
        <w:pStyle w:val="Heading4"/>
        <w:spacing w:line="240" w:lineRule="auto"/>
        <w:ind w:right="1117"/>
        <w:jc w:val="left"/>
        <w:rPr>
          <w:b w:val="0"/>
          <w:bCs w:val="0"/>
        </w:rPr>
      </w:pPr>
      <w:bookmarkStart w:name="35、销售费用" w:id="312"/>
      <w:bookmarkEnd w:id="312"/>
      <w:r>
        <w:rPr>
          <w:b w:val="0"/>
          <w:bCs w:val="0"/>
        </w:rPr>
      </w:r>
      <w:r>
        <w:rPr>
          <w:rFonts w:ascii="Times New Roman" w:hAnsi="Times New Roman" w:cs="Times New Roman" w:eastAsia="Times New Roman" w:hint="default"/>
        </w:rPr>
        <w:t>35</w:t>
      </w:r>
      <w:r>
        <w:rPr/>
        <w:t>、销售费用</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职工薪酬</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105,191,028.13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87,071,034.91</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劳务费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43,778,611.80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36,997,769.50</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办公费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17,459,142.80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14,446,894.08</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业务招待费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13,765,975.58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12,660,945.46</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差旅费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13,972,195.17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11,842,946.96</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交通费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6,658,361.87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6,413,792.23</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广告宣传费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1,041,336.63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3,616,416.39</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运输费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3,180,731.04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3,128,347.68</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折旧费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1,826,049.56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1,616,765.32</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电话费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1,062,632.49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1,031,287.61</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会议费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1,056,703.69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575,195.73</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209,140.79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436,700.69</w:t>
            </w:r>
          </w:p>
        </w:tc>
      </w:tr>
      <w:tr>
        <w:trPr>
          <w:trHeight w:val="403"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209,201,909.55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179,838,096.56</w:t>
            </w:r>
          </w:p>
        </w:tc>
      </w:tr>
    </w:tbl>
    <w:p>
      <w:pPr>
        <w:spacing w:before="51"/>
        <w:ind w:left="154" w:right="1117"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0"/>
        <w:rPr>
          <w:rFonts w:ascii="宋体" w:hAnsi="宋体" w:cs="宋体" w:eastAsia="宋体" w:hint="default"/>
          <w:sz w:val="26"/>
          <w:szCs w:val="26"/>
        </w:rPr>
      </w:pPr>
    </w:p>
    <w:p>
      <w:pPr>
        <w:pStyle w:val="Heading4"/>
        <w:spacing w:line="240" w:lineRule="auto"/>
        <w:ind w:right="1117"/>
        <w:jc w:val="left"/>
        <w:rPr>
          <w:b w:val="0"/>
          <w:bCs w:val="0"/>
        </w:rPr>
      </w:pPr>
      <w:bookmarkStart w:name="36、管理费用" w:id="313"/>
      <w:bookmarkEnd w:id="313"/>
      <w:r>
        <w:rPr>
          <w:b w:val="0"/>
          <w:bCs w:val="0"/>
        </w:rPr>
      </w:r>
      <w:r>
        <w:rPr>
          <w:rFonts w:ascii="Times New Roman" w:hAnsi="Times New Roman" w:cs="Times New Roman" w:eastAsia="Times New Roman" w:hint="default"/>
        </w:rPr>
        <w:t>36</w:t>
      </w:r>
      <w:r>
        <w:rPr/>
        <w:t>、管理费用</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after="0"/>
        <w:jc w:val="right"/>
        <w:rPr>
          <w:rFonts w:ascii="宋体" w:hAnsi="宋体" w:cs="宋体" w:eastAsia="宋体" w:hint="default"/>
          <w:sz w:val="18"/>
          <w:szCs w:val="18"/>
        </w:rPr>
        <w:sectPr>
          <w:pgSz w:w="11910" w:h="16840"/>
          <w:pgMar w:header="87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职工薪酬</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2"/>
                <w:sz w:val="18"/>
              </w:rPr>
              <w:t>26,139,111.24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22,211,684.04</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限制性股票费用</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2,910,558.41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14,326,572.60</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10,537,198.20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9,342,720.45</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办公费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10,767,447.22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7,791,524.95</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折旧费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3,940,170.50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3,555,277.73</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业务招待费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2,031,096.61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1,660,732.82</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差旅费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1,839,890.99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1,484,929.57</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聘请中介机构费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1,051,298.55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1,445,265.95</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技术转让费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776,699.03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1,250,000.00</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咨询费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1,170,624.75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881,004.04</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966,778.31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878,891.58</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交通费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970,277.18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850,487.03</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会议费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434,669.71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768,626.33</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电话费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148,400.87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133,185.40</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63,684,221.57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66,580,902.49</w:t>
            </w:r>
          </w:p>
        </w:tc>
      </w:tr>
    </w:tbl>
    <w:p>
      <w:pPr>
        <w:spacing w:before="51"/>
        <w:ind w:left="154" w:right="1117"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pStyle w:val="Heading4"/>
        <w:spacing w:line="240" w:lineRule="auto"/>
        <w:ind w:right="1117"/>
        <w:jc w:val="left"/>
        <w:rPr>
          <w:b w:val="0"/>
          <w:bCs w:val="0"/>
        </w:rPr>
      </w:pPr>
      <w:bookmarkStart w:name="37、研发费用" w:id="314"/>
      <w:bookmarkEnd w:id="314"/>
      <w:r>
        <w:rPr>
          <w:b w:val="0"/>
          <w:bCs w:val="0"/>
        </w:rPr>
      </w:r>
      <w:r>
        <w:rPr>
          <w:rFonts w:ascii="Times New Roman" w:hAnsi="Times New Roman" w:cs="Times New Roman" w:eastAsia="Times New Roman" w:hint="default"/>
        </w:rPr>
        <w:t>37</w:t>
      </w:r>
      <w:r>
        <w:rPr/>
        <w:t>、研发费用</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职工薪酬</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79,742,088.94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70,491,347.12</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办公费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1,588,502.78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906,150.52</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材料费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781,612.59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715,657.63</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差旅费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4,071,339.31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2,817,914.03</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电话费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194,182.16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174,168.36</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折旧费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451,100.34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734,070.39</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5,931.80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931.80</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交通费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120,815.77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319,860.29</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新产品设计费</w:t>
            </w:r>
          </w:p>
        </w:tc>
        <w:tc>
          <w:tcPr>
            <w:tcW w:w="3190" w:type="dxa"/>
            <w:tcBorders>
              <w:top w:val="single" w:sz="4" w:space="0" w:color="000000"/>
              <w:left w:val="single" w:sz="4" w:space="0" w:color="000000"/>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18,803.42</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专家咨询费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17,600.00</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技术图书资料费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14,321.56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464,712.75</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试验检测鉴定费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107,321.12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171,984.61</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404,344.61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726,569.56</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3189"/>
        <w:gridCol w:w="3191"/>
        <w:gridCol w:w="3190"/>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87,499,160.98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77,542,170.48</w:t>
            </w:r>
          </w:p>
        </w:tc>
      </w:tr>
    </w:tbl>
    <w:p>
      <w:pPr>
        <w:spacing w:before="51"/>
        <w:ind w:left="154" w:right="1117"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pStyle w:val="Heading4"/>
        <w:spacing w:line="240" w:lineRule="auto"/>
        <w:ind w:right="1117"/>
        <w:jc w:val="left"/>
        <w:rPr>
          <w:b w:val="0"/>
          <w:bCs w:val="0"/>
        </w:rPr>
      </w:pPr>
      <w:bookmarkStart w:name="38、财务费用" w:id="315"/>
      <w:bookmarkEnd w:id="315"/>
      <w:r>
        <w:rPr>
          <w:b w:val="0"/>
          <w:bCs w:val="0"/>
        </w:rPr>
      </w:r>
      <w:r>
        <w:rPr>
          <w:rFonts w:ascii="Times New Roman" w:hAnsi="Times New Roman" w:cs="Times New Roman" w:eastAsia="Times New Roman" w:hint="default"/>
        </w:rPr>
        <w:t>38</w:t>
      </w:r>
      <w:r>
        <w:rPr/>
        <w:t>、财务费用</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利息费用</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14,355,684.25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9,906,635.98</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减：利息收入</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2,610,946.83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4,564,134.34</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汇兑损益</w:t>
            </w:r>
          </w:p>
        </w:tc>
        <w:tc>
          <w:tcPr>
            <w:tcW w:w="3190" w:type="dxa"/>
            <w:tcBorders>
              <w:top w:val="single" w:sz="4" w:space="0" w:color="000000"/>
              <w:left w:val="single" w:sz="4" w:space="0" w:color="000000"/>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236,334.83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167,220.33</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11,981,072.25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5,509,721.97</w:t>
            </w:r>
          </w:p>
        </w:tc>
      </w:tr>
    </w:tbl>
    <w:p>
      <w:pPr>
        <w:spacing w:before="51"/>
        <w:ind w:left="154" w:right="1117"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pStyle w:val="Heading4"/>
        <w:spacing w:line="240" w:lineRule="auto"/>
        <w:ind w:right="1117"/>
        <w:jc w:val="left"/>
        <w:rPr>
          <w:b w:val="0"/>
          <w:bCs w:val="0"/>
        </w:rPr>
      </w:pPr>
      <w:bookmarkStart w:name="39、资产减值损失" w:id="316"/>
      <w:bookmarkEnd w:id="316"/>
      <w:r>
        <w:rPr>
          <w:b w:val="0"/>
          <w:bCs w:val="0"/>
        </w:rPr>
      </w:r>
      <w:r>
        <w:rPr>
          <w:rFonts w:ascii="Times New Roman" w:hAnsi="Times New Roman" w:cs="Times New Roman" w:eastAsia="Times New Roman" w:hint="default"/>
        </w:rPr>
        <w:t>39</w:t>
      </w:r>
      <w:r>
        <w:rPr/>
        <w:t>、资产减值损失</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164"/>
        <w:gridCol w:w="3206"/>
        <w:gridCol w:w="3189"/>
      </w:tblGrid>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一、坏账损失</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17,642,393.30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13,195,434.66</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三、可供出售金融资产减值损失</w:t>
            </w:r>
          </w:p>
        </w:tc>
        <w:tc>
          <w:tcPr>
            <w:tcW w:w="3206" w:type="dxa"/>
            <w:tcBorders>
              <w:top w:val="single" w:sz="4" w:space="0" w:color="000000"/>
              <w:left w:val="single" w:sz="13" w:space="0" w:color="D2D2D2"/>
              <w:bottom w:val="single" w:sz="4" w:space="0" w:color="000000"/>
              <w:right w:val="single" w:sz="4" w:space="0" w:color="000000"/>
            </w:tcBorders>
          </w:tcPr>
          <w:p>
            <w:pP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483,795.60</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17,642,393.30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13,679,230.26</w:t>
            </w:r>
          </w:p>
        </w:tc>
      </w:tr>
    </w:tbl>
    <w:p>
      <w:pPr>
        <w:spacing w:before="51"/>
        <w:ind w:left="154" w:right="1117"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pStyle w:val="Heading4"/>
        <w:spacing w:line="240" w:lineRule="auto"/>
        <w:ind w:right="1117"/>
        <w:jc w:val="left"/>
        <w:rPr>
          <w:b w:val="0"/>
          <w:bCs w:val="0"/>
        </w:rPr>
      </w:pPr>
      <w:bookmarkStart w:name="40、其他收益" w:id="317"/>
      <w:bookmarkEnd w:id="317"/>
      <w:r>
        <w:rPr>
          <w:b w:val="0"/>
          <w:bCs w:val="0"/>
        </w:rPr>
      </w:r>
      <w:r>
        <w:rPr>
          <w:rFonts w:ascii="Times New Roman" w:hAnsi="Times New Roman" w:cs="Times New Roman" w:eastAsia="Times New Roman" w:hint="default"/>
        </w:rPr>
        <w:t>40</w:t>
      </w:r>
      <w:r>
        <w:rPr/>
        <w:t>、其他收益</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90"/>
        <w:gridCol w:w="3190"/>
        <w:gridCol w:w="3190"/>
      </w:tblGrid>
      <w:tr>
        <w:trPr>
          <w:trHeight w:val="401"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79" w:right="0"/>
              <w:jc w:val="left"/>
              <w:rPr>
                <w:rFonts w:ascii="宋体" w:hAnsi="宋体" w:cs="宋体" w:eastAsia="宋体" w:hint="default"/>
                <w:sz w:val="18"/>
                <w:szCs w:val="18"/>
              </w:rPr>
            </w:pPr>
            <w:r>
              <w:rPr>
                <w:rFonts w:ascii="宋体" w:hAnsi="宋体" w:cs="宋体" w:eastAsia="宋体" w:hint="default"/>
                <w:sz w:val="18"/>
                <w:szCs w:val="18"/>
              </w:rPr>
              <w:t>产生其他收益的来源</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1026"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2"/>
              <w:ind w:left="22" w:right="22"/>
              <w:jc w:val="both"/>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年郑州市第三批技术研究与开发经 </w:t>
            </w:r>
            <w:r>
              <w:rPr>
                <w:rFonts w:ascii="宋体" w:hAnsi="宋体" w:cs="宋体" w:eastAsia="宋体" w:hint="default"/>
                <w:spacing w:val="-10"/>
                <w:sz w:val="18"/>
                <w:szCs w:val="18"/>
              </w:rPr>
              <w:t>费项目：智能卡</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RFID </w:t>
            </w:r>
            <w:r>
              <w:rPr>
                <w:rFonts w:ascii="宋体" w:hAnsi="宋体" w:cs="宋体" w:eastAsia="宋体" w:hint="default"/>
                <w:sz w:val="18"/>
                <w:szCs w:val="18"/>
              </w:rPr>
              <w:t>支付与识别产品产 业化</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200,000.00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200,000.00</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个税手续费返还</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11,030.19</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2"/>
              <w:ind w:left="22" w:right="104"/>
              <w:jc w:val="left"/>
              <w:rPr>
                <w:rFonts w:ascii="宋体" w:hAnsi="宋体" w:cs="宋体" w:eastAsia="宋体" w:hint="default"/>
                <w:sz w:val="18"/>
                <w:szCs w:val="18"/>
              </w:rPr>
            </w:pPr>
            <w:r>
              <w:rPr>
                <w:rFonts w:ascii="宋体" w:hAnsi="宋体" w:cs="宋体" w:eastAsia="宋体" w:hint="default"/>
                <w:sz w:val="18"/>
                <w:szCs w:val="18"/>
              </w:rPr>
              <w:t>基于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NFC </w:t>
            </w:r>
            <w:r>
              <w:rPr>
                <w:rFonts w:ascii="宋体" w:hAnsi="宋体" w:cs="宋体" w:eastAsia="宋体" w:hint="default"/>
                <w:sz w:val="18"/>
                <w:szCs w:val="18"/>
              </w:rPr>
              <w:t>技术的金融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IC</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卡移动支付综 合应用系统研发及产业化项目</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431,666.67</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2"/>
              <w:ind w:left="22" w:right="22"/>
              <w:jc w:val="left"/>
              <w:rPr>
                <w:rFonts w:ascii="宋体" w:hAnsi="宋体" w:cs="宋体" w:eastAsia="宋体" w:hint="default"/>
                <w:sz w:val="18"/>
                <w:szCs w:val="18"/>
              </w:rPr>
            </w:pPr>
            <w:r>
              <w:rPr>
                <w:rFonts w:ascii="宋体" w:hAnsi="宋体" w:cs="宋体" w:eastAsia="宋体" w:hint="default"/>
                <w:sz w:val="18"/>
                <w:szCs w:val="18"/>
              </w:rPr>
              <w:t>基于金融</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IC</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卡的移动支付信息化服务平 台与终端项目</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494,500.00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494,500.00</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2" w:right="0"/>
              <w:jc w:val="left"/>
              <w:rPr>
                <w:rFonts w:ascii="宋体" w:hAnsi="宋体" w:cs="宋体" w:eastAsia="宋体" w:hint="default"/>
                <w:sz w:val="18"/>
                <w:szCs w:val="18"/>
              </w:rPr>
            </w:pPr>
            <w:r>
              <w:rPr>
                <w:rFonts w:ascii="宋体" w:hAnsi="宋体" w:cs="宋体" w:eastAsia="宋体" w:hint="default"/>
                <w:sz w:val="18"/>
                <w:szCs w:val="18"/>
              </w:rPr>
              <w:t>见习补贴</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59,000.00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174,000.00</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稳岗补贴</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223,875.00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224,900.00</w:t>
            </w:r>
          </w:p>
        </w:tc>
      </w:tr>
      <w:tr>
        <w:trPr>
          <w:trHeight w:val="403"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小巨人补贴</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1,000,000.00</w:t>
            </w:r>
          </w:p>
        </w:tc>
        <w:tc>
          <w:tcPr>
            <w:tcW w:w="319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7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增值税即征即退</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30,451,389.23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50,169,978.65</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郑州</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年度信息化发展专项资金</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20,000.00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40,000.00</w:t>
            </w:r>
          </w:p>
        </w:tc>
      </w:tr>
      <w:tr>
        <w:trPr>
          <w:trHeight w:val="714"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302" w:lineRule="auto" w:before="51"/>
              <w:ind w:left="22" w:right="203"/>
              <w:jc w:val="left"/>
              <w:rPr>
                <w:rFonts w:ascii="Times New Roman" w:hAnsi="Times New Roman" w:cs="Times New Roman" w:eastAsia="Times New Roman" w:hint="default"/>
                <w:sz w:val="18"/>
                <w:szCs w:val="18"/>
              </w:rPr>
            </w:pPr>
            <w:r>
              <w:rPr>
                <w:rFonts w:ascii="宋体" w:hAnsi="宋体" w:cs="宋体" w:eastAsia="宋体" w:hint="default"/>
                <w:sz w:val="18"/>
                <w:szCs w:val="18"/>
              </w:rPr>
              <w:t>郑州市信息化发展专项资金</w:t>
            </w:r>
            <w:r>
              <w:rPr>
                <w:rFonts w:ascii="Times New Roman" w:hAnsi="Times New Roman" w:cs="Times New Roman" w:eastAsia="Times New Roman" w:hint="default"/>
                <w:sz w:val="18"/>
                <w:szCs w:val="18"/>
              </w:rPr>
              <w:t>"</w:t>
            </w:r>
            <w:r>
              <w:rPr>
                <w:rFonts w:ascii="宋体" w:hAnsi="宋体" w:cs="宋体" w:eastAsia="宋体" w:hint="default"/>
                <w:sz w:val="18"/>
                <w:szCs w:val="18"/>
              </w:rPr>
              <w:t>金融支付 系统及终端项目</w:t>
            </w:r>
            <w:r>
              <w:rPr>
                <w:rFonts w:ascii="Times New Roman" w:hAnsi="Times New Roman" w:cs="Times New Roman" w:eastAsia="Times New Roman" w:hint="default"/>
                <w:sz w:val="18"/>
                <w:szCs w:val="18"/>
              </w:rPr>
              <w:t>"</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260,000.00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260,000.00</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政府奖励商务车一辆</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69,075.00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18,420.00</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年创新券补助</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34,000.00</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302" w:lineRule="auto" w:before="51"/>
              <w:ind w:left="22" w:right="51"/>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年科技小巨人领军企业加计扣除奖 励经费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45,000.00</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年科技小巨人奖励金</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76,000.00</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年区科技计划尾款</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45,000.00</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年科技小巨人奖励金</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100,000.00</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知识产权补助</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150.00</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33,520,686.09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51,581,798.65</w:t>
            </w:r>
          </w:p>
        </w:tc>
      </w:tr>
    </w:tbl>
    <w:p>
      <w:pPr>
        <w:spacing w:line="240" w:lineRule="auto" w:before="2"/>
        <w:rPr>
          <w:rFonts w:ascii="宋体" w:hAnsi="宋体" w:cs="宋体" w:eastAsia="宋体" w:hint="default"/>
          <w:sz w:val="19"/>
          <w:szCs w:val="19"/>
        </w:rPr>
      </w:pPr>
    </w:p>
    <w:p>
      <w:pPr>
        <w:pStyle w:val="Heading4"/>
        <w:spacing w:line="240" w:lineRule="auto" w:before="35"/>
        <w:ind w:right="1117"/>
        <w:jc w:val="left"/>
        <w:rPr>
          <w:b w:val="0"/>
          <w:bCs w:val="0"/>
        </w:rPr>
      </w:pPr>
      <w:bookmarkStart w:name="41、投资收益" w:id="318"/>
      <w:bookmarkEnd w:id="318"/>
      <w:r>
        <w:rPr>
          <w:b w:val="0"/>
          <w:bCs w:val="0"/>
        </w:rPr>
      </w:r>
      <w:r>
        <w:rPr>
          <w:rFonts w:ascii="Times New Roman" w:hAnsi="Times New Roman" w:cs="Times New Roman" w:eastAsia="Times New Roman" w:hint="default"/>
        </w:rPr>
        <w:t>41</w:t>
      </w:r>
      <w:r>
        <w:rPr/>
        <w:t>、投资收益</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437"/>
        <w:gridCol w:w="3203"/>
        <w:gridCol w:w="2918"/>
      </w:tblGrid>
      <w:tr>
        <w:trPr>
          <w:trHeight w:val="402" w:hRule="exact"/>
        </w:trPr>
        <w:tc>
          <w:tcPr>
            <w:tcW w:w="3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2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29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权益法核算的长期股权投资收益</w:t>
            </w:r>
          </w:p>
        </w:tc>
        <w:tc>
          <w:tcPr>
            <w:tcW w:w="32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2,748,983.29</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-1,095,146.27</w:t>
            </w:r>
          </w:p>
        </w:tc>
      </w:tr>
      <w:tr>
        <w:trPr>
          <w:trHeight w:val="714" w:hRule="exact"/>
        </w:trPr>
        <w:tc>
          <w:tcPr>
            <w:tcW w:w="3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174"/>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以公允价值计量且其变动计入当期损益的 金融资产在持有期间的投资收益</w:t>
            </w:r>
          </w:p>
        </w:tc>
        <w:tc>
          <w:tcPr>
            <w:tcW w:w="32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3,000,000.00</w:t>
            </w:r>
          </w:p>
        </w:tc>
        <w:tc>
          <w:tcPr>
            <w:tcW w:w="291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理财产品形成的投资收益</w:t>
            </w:r>
          </w:p>
        </w:tc>
        <w:tc>
          <w:tcPr>
            <w:tcW w:w="3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4,355,383.66</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5,955,710.94</w:t>
            </w:r>
          </w:p>
        </w:tc>
      </w:tr>
      <w:tr>
        <w:trPr>
          <w:trHeight w:val="402" w:hRule="exact"/>
        </w:trPr>
        <w:tc>
          <w:tcPr>
            <w:tcW w:w="3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10,104,366.95</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4,860,564.67</w:t>
            </w:r>
          </w:p>
        </w:tc>
      </w:tr>
    </w:tbl>
    <w:p>
      <w:pPr>
        <w:spacing w:before="51"/>
        <w:ind w:left="154" w:right="1117"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pStyle w:val="Heading4"/>
        <w:spacing w:line="240" w:lineRule="auto"/>
        <w:ind w:right="1117"/>
        <w:jc w:val="left"/>
        <w:rPr>
          <w:b w:val="0"/>
          <w:bCs w:val="0"/>
        </w:rPr>
      </w:pPr>
      <w:bookmarkStart w:name="42、公允价值变动收益" w:id="319"/>
      <w:bookmarkEnd w:id="319"/>
      <w:r>
        <w:rPr>
          <w:b w:val="0"/>
          <w:bCs w:val="0"/>
        </w:rPr>
      </w:r>
      <w:r>
        <w:rPr>
          <w:rFonts w:ascii="Times New Roman" w:hAnsi="Times New Roman" w:cs="Times New Roman" w:eastAsia="Times New Roman" w:hint="default"/>
        </w:rPr>
        <w:t>42</w:t>
      </w:r>
      <w:r>
        <w:rPr/>
        <w:t>、公允价值变动收益</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4"/>
        <w:gridCol w:w="3206"/>
        <w:gridCol w:w="3189"/>
      </w:tblGrid>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06" w:right="0"/>
              <w:jc w:val="left"/>
              <w:rPr>
                <w:rFonts w:ascii="宋体" w:hAnsi="宋体" w:cs="宋体" w:eastAsia="宋体" w:hint="default"/>
                <w:sz w:val="18"/>
                <w:szCs w:val="18"/>
              </w:rPr>
            </w:pPr>
            <w:r>
              <w:rPr>
                <w:rFonts w:ascii="宋体" w:hAnsi="宋体" w:cs="宋体" w:eastAsia="宋体" w:hint="default"/>
                <w:sz w:val="18"/>
                <w:szCs w:val="18"/>
              </w:rPr>
              <w:t>产生公允价值变动收益的来源</w:t>
            </w:r>
          </w:p>
        </w:tc>
        <w:tc>
          <w:tcPr>
            <w:tcW w:w="3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714"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81"/>
              <w:jc w:val="left"/>
              <w:rPr>
                <w:rFonts w:ascii="宋体" w:hAnsi="宋体" w:cs="宋体" w:eastAsia="宋体" w:hint="default"/>
                <w:sz w:val="18"/>
                <w:szCs w:val="18"/>
              </w:rPr>
            </w:pPr>
            <w:r>
              <w:rPr>
                <w:rFonts w:ascii="宋体" w:hAnsi="宋体" w:cs="宋体" w:eastAsia="宋体" w:hint="default"/>
                <w:sz w:val="18"/>
                <w:szCs w:val="18"/>
              </w:rPr>
              <w:t>以公允价值计量的且其变动计入当期损 益的金融资产</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3,402,000.00</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81" w:firstLine="360"/>
              <w:jc w:val="left"/>
              <w:rPr>
                <w:rFonts w:ascii="宋体" w:hAnsi="宋体" w:cs="宋体" w:eastAsia="宋体" w:hint="default"/>
                <w:sz w:val="18"/>
                <w:szCs w:val="18"/>
              </w:rPr>
            </w:pPr>
            <w:r>
              <w:rPr>
                <w:rFonts w:ascii="宋体" w:hAnsi="宋体" w:cs="宋体" w:eastAsia="宋体" w:hint="default"/>
                <w:sz w:val="18"/>
                <w:szCs w:val="18"/>
              </w:rPr>
              <w:t>其中：衍生金融工具产生的公允价 值变动收益</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3,402,000.00</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3,402,000.00</w:t>
            </w:r>
          </w:p>
        </w:tc>
        <w:tc>
          <w:tcPr>
            <w:tcW w:w="3189" w:type="dxa"/>
            <w:tcBorders>
              <w:top w:val="single" w:sz="4" w:space="0" w:color="000000"/>
              <w:left w:val="single" w:sz="4" w:space="0" w:color="000000"/>
              <w:bottom w:val="single" w:sz="4" w:space="0" w:color="000000"/>
              <w:right w:val="single" w:sz="4" w:space="0" w:color="000000"/>
            </w:tcBorders>
          </w:tcPr>
          <w:p>
            <w:pPr/>
          </w:p>
        </w:tc>
      </w:tr>
    </w:tbl>
    <w:p>
      <w:pPr>
        <w:spacing w:before="51"/>
        <w:ind w:left="154" w:right="1117"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after="0"/>
        <w:jc w:val="left"/>
        <w:rPr>
          <w:rFonts w:ascii="宋体" w:hAnsi="宋体" w:cs="宋体" w:eastAsia="宋体" w:hint="default"/>
          <w:sz w:val="18"/>
          <w:szCs w:val="18"/>
        </w:rPr>
        <w:sectPr>
          <w:pgSz w:w="11910" w:h="16840"/>
          <w:pgMar w:header="877" w:footer="979" w:top="1060" w:bottom="1160" w:left="980" w:right="0"/>
        </w:sectPr>
      </w:pPr>
    </w:p>
    <w:p>
      <w:pPr>
        <w:spacing w:line="240" w:lineRule="auto" w:before="9"/>
        <w:rPr>
          <w:rFonts w:ascii="宋体" w:hAnsi="宋体" w:cs="宋体" w:eastAsia="宋体" w:hint="default"/>
          <w:sz w:val="24"/>
          <w:szCs w:val="24"/>
        </w:rPr>
      </w:pPr>
    </w:p>
    <w:p>
      <w:pPr>
        <w:pStyle w:val="Heading4"/>
        <w:spacing w:line="240" w:lineRule="auto" w:before="35"/>
        <w:ind w:left="254" w:right="127"/>
        <w:jc w:val="left"/>
        <w:rPr>
          <w:b w:val="0"/>
          <w:bCs w:val="0"/>
        </w:rPr>
      </w:pPr>
      <w:bookmarkStart w:name="43、资产处置收益" w:id="320"/>
      <w:bookmarkEnd w:id="320"/>
      <w:r>
        <w:rPr>
          <w:b w:val="0"/>
          <w:bCs w:val="0"/>
        </w:rPr>
      </w:r>
      <w:r>
        <w:rPr>
          <w:rFonts w:ascii="Times New Roman" w:hAnsi="Times New Roman" w:cs="Times New Roman" w:eastAsia="Times New Roman" w:hint="default"/>
        </w:rPr>
        <w:t>43</w:t>
      </w:r>
      <w:r>
        <w:rPr/>
        <w:t>、资产处置收益</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0"/>
        <w:rPr>
          <w:rFonts w:ascii="宋体" w:hAnsi="宋体" w:cs="宋体" w:eastAsia="宋体" w:hint="default"/>
          <w:sz w:val="8"/>
          <w:szCs w:val="8"/>
        </w:rPr>
      </w:pPr>
    </w:p>
    <w:tbl>
      <w:tblPr>
        <w:tblW w:w="0" w:type="auto"/>
        <w:jc w:val="left"/>
        <w:tblInd w:w="24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79" w:right="0"/>
              <w:jc w:val="left"/>
              <w:rPr>
                <w:rFonts w:ascii="宋体" w:hAnsi="宋体" w:cs="宋体" w:eastAsia="宋体" w:hint="default"/>
                <w:sz w:val="18"/>
                <w:szCs w:val="18"/>
              </w:rPr>
            </w:pPr>
            <w:r>
              <w:rPr>
                <w:rFonts w:ascii="宋体" w:hAnsi="宋体" w:cs="宋体" w:eastAsia="宋体" w:hint="default"/>
                <w:sz w:val="18"/>
                <w:szCs w:val="18"/>
              </w:rPr>
              <w:t>资产处置收益的来源</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固定资产处置收益</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w w:val="95"/>
                <w:sz w:val="18"/>
              </w:rPr>
              <w:t>-225,825.93</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w w:val="95"/>
                <w:sz w:val="18"/>
              </w:rPr>
              <w:t>-106,446.49</w:t>
            </w:r>
            <w:r>
              <w:rPr>
                <w:rFonts w:ascii="Times New Roman"/>
                <w:sz w:val="18"/>
              </w:rPr>
            </w:r>
          </w:p>
        </w:tc>
      </w:tr>
      <w:tr>
        <w:trPr>
          <w:trHeight w:val="403"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w w:val="95"/>
                <w:sz w:val="18"/>
              </w:rPr>
              <w:t>-225,825.93</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w w:val="95"/>
                <w:sz w:val="18"/>
              </w:rPr>
              <w:t>-106,446.49</w:t>
            </w:r>
            <w:r>
              <w:rPr>
                <w:rFonts w:ascii="Times New Roman"/>
                <w:sz w:val="18"/>
              </w:rPr>
            </w:r>
          </w:p>
        </w:tc>
      </w:tr>
    </w:tbl>
    <w:p>
      <w:pPr>
        <w:spacing w:line="240" w:lineRule="auto" w:before="2"/>
        <w:rPr>
          <w:rFonts w:ascii="宋体" w:hAnsi="宋体" w:cs="宋体" w:eastAsia="宋体" w:hint="default"/>
          <w:sz w:val="19"/>
          <w:szCs w:val="19"/>
        </w:rPr>
      </w:pPr>
    </w:p>
    <w:p>
      <w:pPr>
        <w:pStyle w:val="Heading4"/>
        <w:spacing w:line="240" w:lineRule="auto" w:before="35"/>
        <w:ind w:left="254" w:right="127"/>
        <w:jc w:val="left"/>
        <w:rPr>
          <w:b w:val="0"/>
          <w:bCs w:val="0"/>
        </w:rPr>
      </w:pPr>
      <w:bookmarkStart w:name="44、营业外收入" w:id="321"/>
      <w:bookmarkEnd w:id="321"/>
      <w:r>
        <w:rPr>
          <w:b w:val="0"/>
          <w:bCs w:val="0"/>
        </w:rPr>
      </w:r>
      <w:r>
        <w:rPr>
          <w:rFonts w:ascii="Times New Roman" w:hAnsi="Times New Roman" w:cs="Times New Roman" w:eastAsia="Times New Roman" w:hint="default"/>
        </w:rPr>
        <w:t>44</w:t>
      </w:r>
      <w:r>
        <w:rPr/>
        <w:t>、营业外收入</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249" w:type="dxa"/>
        <w:tblLayout w:type="fixed"/>
        <w:tblCellMar>
          <w:top w:w="0" w:type="dxa"/>
          <w:left w:w="0" w:type="dxa"/>
          <w:bottom w:w="0" w:type="dxa"/>
          <w:right w:w="0" w:type="dxa"/>
        </w:tblCellMar>
        <w:tblLook w:val="01E0"/>
      </w:tblPr>
      <w:tblGrid>
        <w:gridCol w:w="2390"/>
        <w:gridCol w:w="2396"/>
        <w:gridCol w:w="2392"/>
        <w:gridCol w:w="2392"/>
      </w:tblGrid>
      <w:tr>
        <w:trPr>
          <w:trHeight w:val="161" w:hRule="exact"/>
        </w:trPr>
        <w:tc>
          <w:tcPr>
            <w:tcW w:w="2390" w:type="dxa"/>
            <w:tcBorders>
              <w:top w:val="single" w:sz="4" w:space="0" w:color="000000"/>
              <w:left w:val="single" w:sz="4" w:space="0" w:color="000000"/>
              <w:bottom w:val="nil" w:sz="6" w:space="0" w:color="auto"/>
              <w:right w:val="single" w:sz="4" w:space="0" w:color="000000"/>
            </w:tcBorders>
            <w:shd w:val="clear" w:color="auto" w:fill="D2D2D2"/>
          </w:tcPr>
          <w:p>
            <w:pPr/>
          </w:p>
        </w:tc>
        <w:tc>
          <w:tcPr>
            <w:tcW w:w="2396" w:type="dxa"/>
            <w:tcBorders>
              <w:top w:val="single" w:sz="4" w:space="0" w:color="000000"/>
              <w:left w:val="single" w:sz="4" w:space="0" w:color="000000"/>
              <w:bottom w:val="nil" w:sz="6" w:space="0" w:color="auto"/>
              <w:right w:val="single" w:sz="4" w:space="0" w:color="000000"/>
            </w:tcBorders>
            <w:shd w:val="clear" w:color="auto" w:fill="D2D2D2"/>
          </w:tcPr>
          <w:p>
            <w:pPr/>
          </w:p>
        </w:tc>
        <w:tc>
          <w:tcPr>
            <w:tcW w:w="2392" w:type="dxa"/>
            <w:tcBorders>
              <w:top w:val="single" w:sz="4" w:space="0" w:color="000000"/>
              <w:left w:val="single" w:sz="4" w:space="0" w:color="000000"/>
              <w:bottom w:val="nil" w:sz="6" w:space="0" w:color="auto"/>
              <w:right w:val="single" w:sz="4" w:space="0" w:color="000000"/>
            </w:tcBorders>
            <w:shd w:val="clear" w:color="auto" w:fill="D2D2D2"/>
          </w:tcPr>
          <w:p>
            <w:pPr/>
          </w:p>
        </w:tc>
        <w:tc>
          <w:tcPr>
            <w:tcW w:w="2392"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51"/>
              <w:ind w:left="1100" w:right="109" w:hanging="990"/>
              <w:jc w:val="left"/>
              <w:rPr>
                <w:rFonts w:ascii="宋体" w:hAnsi="宋体" w:cs="宋体" w:eastAsia="宋体" w:hint="default"/>
                <w:sz w:val="18"/>
                <w:szCs w:val="18"/>
              </w:rPr>
            </w:pPr>
            <w:r>
              <w:rPr>
                <w:rFonts w:ascii="宋体" w:hAnsi="宋体" w:cs="宋体" w:eastAsia="宋体" w:hint="default"/>
                <w:sz w:val="18"/>
                <w:szCs w:val="18"/>
              </w:rPr>
              <w:t>计入当期非经常性损益的金 额</w:t>
            </w:r>
          </w:p>
        </w:tc>
      </w:tr>
      <w:tr>
        <w:trPr>
          <w:trHeight w:val="392" w:hRule="exact"/>
        </w:trPr>
        <w:tc>
          <w:tcPr>
            <w:tcW w:w="239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39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741"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39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740" w:right="0"/>
              <w:jc w:val="left"/>
              <w:rPr>
                <w:rFonts w:ascii="宋体" w:hAnsi="宋体" w:cs="宋体" w:eastAsia="宋体" w:hint="default"/>
                <w:sz w:val="18"/>
                <w:szCs w:val="18"/>
              </w:rPr>
            </w:pPr>
            <w:r>
              <w:rPr>
                <w:rFonts w:ascii="宋体" w:hAnsi="宋体" w:cs="宋体" w:eastAsia="宋体" w:hint="default"/>
                <w:sz w:val="18"/>
                <w:szCs w:val="18"/>
              </w:rPr>
              <w:t>上期发生额</w:t>
            </w:r>
          </w:p>
        </w:tc>
        <w:tc>
          <w:tcPr>
            <w:tcW w:w="2392" w:type="dxa"/>
            <w:vMerge/>
            <w:tcBorders>
              <w:left w:val="single" w:sz="4" w:space="0" w:color="000000"/>
              <w:right w:val="single" w:sz="4" w:space="0" w:color="000000"/>
            </w:tcBorders>
            <w:shd w:val="clear" w:color="auto" w:fill="D2D2D2"/>
          </w:tcPr>
          <w:p>
            <w:pPr/>
          </w:p>
        </w:tc>
      </w:tr>
      <w:tr>
        <w:trPr>
          <w:trHeight w:val="161" w:hRule="exact"/>
        </w:trPr>
        <w:tc>
          <w:tcPr>
            <w:tcW w:w="2390" w:type="dxa"/>
            <w:tcBorders>
              <w:top w:val="nil" w:sz="6" w:space="0" w:color="auto"/>
              <w:left w:val="single" w:sz="4" w:space="0" w:color="000000"/>
              <w:bottom w:val="single" w:sz="4" w:space="0" w:color="000000"/>
              <w:right w:val="single" w:sz="4" w:space="0" w:color="000000"/>
            </w:tcBorders>
            <w:shd w:val="clear" w:color="auto" w:fill="D2D2D2"/>
          </w:tcPr>
          <w:p>
            <w:pPr/>
          </w:p>
        </w:tc>
        <w:tc>
          <w:tcPr>
            <w:tcW w:w="2396" w:type="dxa"/>
            <w:tcBorders>
              <w:top w:val="nil" w:sz="6" w:space="0" w:color="auto"/>
              <w:left w:val="single" w:sz="4" w:space="0" w:color="000000"/>
              <w:bottom w:val="single" w:sz="4" w:space="0" w:color="000000"/>
              <w:right w:val="single" w:sz="4" w:space="0" w:color="000000"/>
            </w:tcBorders>
            <w:shd w:val="clear" w:color="auto" w:fill="D2D2D2"/>
          </w:tcPr>
          <w:p>
            <w:pPr/>
          </w:p>
        </w:tc>
        <w:tc>
          <w:tcPr>
            <w:tcW w:w="2392" w:type="dxa"/>
            <w:tcBorders>
              <w:top w:val="nil" w:sz="6" w:space="0" w:color="auto"/>
              <w:left w:val="single" w:sz="4" w:space="0" w:color="000000"/>
              <w:bottom w:val="single" w:sz="4" w:space="0" w:color="000000"/>
              <w:right w:val="single" w:sz="4" w:space="0" w:color="000000"/>
            </w:tcBorders>
            <w:shd w:val="clear" w:color="auto" w:fill="D2D2D2"/>
          </w:tcPr>
          <w:p>
            <w:pPr/>
          </w:p>
        </w:tc>
        <w:tc>
          <w:tcPr>
            <w:tcW w:w="2392"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政府补助</w:t>
            </w:r>
          </w:p>
        </w:tc>
        <w:tc>
          <w:tcPr>
            <w:tcW w:w="239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3,101,100.00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2,738,348.00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3,101,100.00</w:t>
            </w: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18,749.54</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86,624.43</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18,749.54</w:t>
            </w: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3,119,849.54</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2,824,972.43</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3,119,849.54</w:t>
            </w:r>
          </w:p>
        </w:tc>
      </w:tr>
    </w:tbl>
    <w:p>
      <w:pPr>
        <w:spacing w:before="51"/>
        <w:ind w:left="254" w:right="127" w:firstLine="0"/>
        <w:jc w:val="left"/>
        <w:rPr>
          <w:rFonts w:ascii="宋体" w:hAnsi="宋体" w:cs="宋体" w:eastAsia="宋体" w:hint="default"/>
          <w:sz w:val="18"/>
          <w:szCs w:val="18"/>
        </w:rPr>
      </w:pPr>
      <w:r>
        <w:rPr>
          <w:rFonts w:ascii="宋体" w:hAnsi="宋体" w:cs="宋体" w:eastAsia="宋体" w:hint="default"/>
          <w:sz w:val="18"/>
          <w:szCs w:val="18"/>
        </w:rPr>
        <w:t>计入当期损益的政府补助：</w:t>
      </w:r>
    </w:p>
    <w:p>
      <w:pPr>
        <w:spacing w:before="117"/>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0"/>
        <w:rPr>
          <w:rFonts w:ascii="宋体" w:hAnsi="宋体" w:cs="宋体" w:eastAsia="宋体" w:hint="default"/>
          <w:sz w:val="8"/>
          <w:szCs w:val="8"/>
        </w:rPr>
      </w:pPr>
    </w:p>
    <w:tbl>
      <w:tblPr>
        <w:tblW w:w="0" w:type="auto"/>
        <w:jc w:val="left"/>
        <w:tblInd w:w="118" w:type="dxa"/>
        <w:tblLayout w:type="fixed"/>
        <w:tblCellMar>
          <w:top w:w="0" w:type="dxa"/>
          <w:left w:w="0" w:type="dxa"/>
          <w:bottom w:w="0" w:type="dxa"/>
          <w:right w:w="0" w:type="dxa"/>
        </w:tblCellMar>
        <w:tblLook w:val="01E0"/>
      </w:tblPr>
      <w:tblGrid>
        <w:gridCol w:w="1223"/>
        <w:gridCol w:w="1134"/>
        <w:gridCol w:w="808"/>
        <w:gridCol w:w="1176"/>
        <w:gridCol w:w="1134"/>
        <w:gridCol w:w="916"/>
        <w:gridCol w:w="1161"/>
        <w:gridCol w:w="1162"/>
        <w:gridCol w:w="1187"/>
      </w:tblGrid>
      <w:tr>
        <w:trPr>
          <w:trHeight w:val="713" w:hRule="exact"/>
        </w:trPr>
        <w:tc>
          <w:tcPr>
            <w:tcW w:w="12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46" w:right="0"/>
              <w:jc w:val="left"/>
              <w:rPr>
                <w:rFonts w:ascii="宋体" w:hAnsi="宋体" w:cs="宋体" w:eastAsia="宋体" w:hint="default"/>
                <w:sz w:val="18"/>
                <w:szCs w:val="18"/>
              </w:rPr>
            </w:pPr>
            <w:r>
              <w:rPr>
                <w:rFonts w:ascii="宋体" w:hAnsi="宋体" w:cs="宋体" w:eastAsia="宋体" w:hint="default"/>
                <w:sz w:val="18"/>
                <w:szCs w:val="18"/>
              </w:rPr>
              <w:t>补助项目</w:t>
            </w:r>
          </w:p>
        </w:tc>
        <w:tc>
          <w:tcPr>
            <w:tcW w:w="11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01" w:right="0"/>
              <w:jc w:val="left"/>
              <w:rPr>
                <w:rFonts w:ascii="宋体" w:hAnsi="宋体" w:cs="宋体" w:eastAsia="宋体" w:hint="default"/>
                <w:sz w:val="18"/>
                <w:szCs w:val="18"/>
              </w:rPr>
            </w:pPr>
            <w:r>
              <w:rPr>
                <w:rFonts w:ascii="宋体" w:hAnsi="宋体" w:cs="宋体" w:eastAsia="宋体" w:hint="default"/>
                <w:sz w:val="18"/>
                <w:szCs w:val="18"/>
              </w:rPr>
              <w:t>发放主体</w:t>
            </w:r>
          </w:p>
        </w:tc>
        <w:tc>
          <w:tcPr>
            <w:tcW w:w="8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308" w:right="127" w:hanging="180"/>
              <w:jc w:val="left"/>
              <w:rPr>
                <w:rFonts w:ascii="宋体" w:hAnsi="宋体" w:cs="宋体" w:eastAsia="宋体" w:hint="default"/>
                <w:sz w:val="18"/>
                <w:szCs w:val="18"/>
              </w:rPr>
            </w:pPr>
            <w:r>
              <w:rPr>
                <w:rFonts w:ascii="宋体" w:hAnsi="宋体" w:cs="宋体" w:eastAsia="宋体" w:hint="default"/>
                <w:sz w:val="18"/>
                <w:szCs w:val="18"/>
              </w:rPr>
              <w:t>发放原 因</w:t>
            </w:r>
          </w:p>
        </w:tc>
        <w:tc>
          <w:tcPr>
            <w:tcW w:w="11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3" w:right="0"/>
              <w:jc w:val="left"/>
              <w:rPr>
                <w:rFonts w:ascii="宋体" w:hAnsi="宋体" w:cs="宋体" w:eastAsia="宋体" w:hint="default"/>
                <w:sz w:val="18"/>
                <w:szCs w:val="18"/>
              </w:rPr>
            </w:pPr>
            <w:r>
              <w:rPr>
                <w:rFonts w:ascii="宋体" w:hAnsi="宋体" w:cs="宋体" w:eastAsia="宋体" w:hint="default"/>
                <w:sz w:val="18"/>
                <w:szCs w:val="18"/>
              </w:rPr>
              <w:t>性质类型</w:t>
            </w:r>
          </w:p>
        </w:tc>
        <w:tc>
          <w:tcPr>
            <w:tcW w:w="11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11" w:right="110"/>
              <w:jc w:val="left"/>
              <w:rPr>
                <w:rFonts w:ascii="宋体" w:hAnsi="宋体" w:cs="宋体" w:eastAsia="宋体" w:hint="default"/>
                <w:sz w:val="18"/>
                <w:szCs w:val="18"/>
              </w:rPr>
            </w:pPr>
            <w:r>
              <w:rPr>
                <w:rFonts w:ascii="宋体" w:hAnsi="宋体" w:cs="宋体" w:eastAsia="宋体" w:hint="default"/>
                <w:sz w:val="18"/>
                <w:szCs w:val="18"/>
              </w:rPr>
              <w:t>补贴是否影 响当年盈亏</w:t>
            </w:r>
          </w:p>
        </w:tc>
        <w:tc>
          <w:tcPr>
            <w:tcW w:w="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82" w:right="181"/>
              <w:jc w:val="left"/>
              <w:rPr>
                <w:rFonts w:ascii="宋体" w:hAnsi="宋体" w:cs="宋体" w:eastAsia="宋体" w:hint="default"/>
                <w:sz w:val="18"/>
                <w:szCs w:val="18"/>
              </w:rPr>
            </w:pPr>
            <w:r>
              <w:rPr>
                <w:rFonts w:ascii="宋体" w:hAnsi="宋体" w:cs="宋体" w:eastAsia="宋体" w:hint="default"/>
                <w:sz w:val="18"/>
                <w:szCs w:val="18"/>
              </w:rPr>
              <w:t>是否特 殊补贴</w:t>
            </w:r>
          </w:p>
        </w:tc>
        <w:tc>
          <w:tcPr>
            <w:tcW w:w="11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485" w:right="123" w:hanging="360"/>
              <w:jc w:val="left"/>
              <w:rPr>
                <w:rFonts w:ascii="宋体" w:hAnsi="宋体" w:cs="宋体" w:eastAsia="宋体" w:hint="default"/>
                <w:sz w:val="18"/>
                <w:szCs w:val="18"/>
              </w:rPr>
            </w:pPr>
            <w:r>
              <w:rPr>
                <w:rFonts w:ascii="宋体" w:hAnsi="宋体" w:cs="宋体" w:eastAsia="宋体" w:hint="default"/>
                <w:sz w:val="18"/>
                <w:szCs w:val="18"/>
              </w:rPr>
              <w:t>本期发生金 额</w:t>
            </w:r>
          </w:p>
        </w:tc>
        <w:tc>
          <w:tcPr>
            <w:tcW w:w="11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486" w:right="125" w:hanging="360"/>
              <w:jc w:val="left"/>
              <w:rPr>
                <w:rFonts w:ascii="宋体" w:hAnsi="宋体" w:cs="宋体" w:eastAsia="宋体" w:hint="default"/>
                <w:sz w:val="18"/>
                <w:szCs w:val="18"/>
              </w:rPr>
            </w:pPr>
            <w:r>
              <w:rPr>
                <w:rFonts w:ascii="宋体" w:hAnsi="宋体" w:cs="宋体" w:eastAsia="宋体" w:hint="default"/>
                <w:sz w:val="18"/>
                <w:szCs w:val="18"/>
              </w:rPr>
              <w:t>上期发生金 额</w:t>
            </w:r>
          </w:p>
        </w:tc>
        <w:tc>
          <w:tcPr>
            <w:tcW w:w="1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2"/>
              <w:ind w:left="137" w:right="112" w:hanging="26"/>
              <w:jc w:val="left"/>
              <w:rPr>
                <w:rFonts w:ascii="宋体" w:hAnsi="宋体" w:cs="宋体" w:eastAsia="宋体" w:hint="default"/>
                <w:sz w:val="18"/>
                <w:szCs w:val="18"/>
              </w:rPr>
            </w:pPr>
            <w:r>
              <w:rPr>
                <w:rFonts w:ascii="宋体" w:hAnsi="宋体" w:cs="宋体" w:eastAsia="宋体" w:hint="default"/>
                <w:sz w:val="18"/>
                <w:szCs w:val="18"/>
              </w:rPr>
              <w:t>与资产相关</w:t>
            </w:r>
            <w:r>
              <w:rPr>
                <w:rFonts w:ascii="Times New Roman" w:hAnsi="Times New Roman" w:cs="Times New Roman" w:eastAsia="Times New Roman" w:hint="default"/>
                <w:sz w:val="18"/>
                <w:szCs w:val="18"/>
              </w:rPr>
              <w:t>/ </w:t>
            </w:r>
            <w:r>
              <w:rPr>
                <w:rFonts w:ascii="宋体" w:hAnsi="宋体" w:cs="宋体" w:eastAsia="宋体" w:hint="default"/>
                <w:sz w:val="18"/>
                <w:szCs w:val="18"/>
              </w:rPr>
              <w:t>与收益相关</w:t>
            </w:r>
          </w:p>
        </w:tc>
      </w:tr>
      <w:tr>
        <w:trPr>
          <w:trHeight w:val="2586" w:hRule="exact"/>
        </w:trPr>
        <w:tc>
          <w:tcPr>
            <w:tcW w:w="12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5"/>
                <w:szCs w:val="15"/>
              </w:rPr>
            </w:pPr>
          </w:p>
          <w:p>
            <w:pPr>
              <w:pStyle w:val="TableParagraph"/>
              <w:spacing w:line="316" w:lineRule="auto"/>
              <w:ind w:left="103" w:right="208"/>
              <w:jc w:val="both"/>
              <w:rPr>
                <w:rFonts w:ascii="宋体" w:hAnsi="宋体" w:cs="宋体" w:eastAsia="宋体" w:hint="default"/>
                <w:sz w:val="18"/>
                <w:szCs w:val="18"/>
              </w:rPr>
            </w:pPr>
            <w:r>
              <w:rPr>
                <w:rFonts w:ascii="宋体" w:hAnsi="宋体" w:cs="宋体" w:eastAsia="宋体" w:hint="default"/>
                <w:sz w:val="18"/>
                <w:szCs w:val="18"/>
              </w:rPr>
              <w:t>郑州高新技 术产业开发 区郑州市第 三批专利</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5"/>
                <w:szCs w:val="15"/>
              </w:rPr>
            </w:pPr>
          </w:p>
          <w:p>
            <w:pPr>
              <w:pStyle w:val="TableParagraph"/>
              <w:spacing w:line="316" w:lineRule="auto"/>
              <w:ind w:left="103" w:right="119"/>
              <w:jc w:val="both"/>
              <w:rPr>
                <w:rFonts w:ascii="宋体" w:hAnsi="宋体" w:cs="宋体" w:eastAsia="宋体" w:hint="default"/>
                <w:sz w:val="18"/>
                <w:szCs w:val="18"/>
              </w:rPr>
            </w:pPr>
            <w:r>
              <w:rPr>
                <w:rFonts w:ascii="宋体" w:hAnsi="宋体" w:cs="宋体" w:eastAsia="宋体" w:hint="default"/>
                <w:sz w:val="18"/>
                <w:szCs w:val="18"/>
              </w:rPr>
              <w:t>郑州高新技 术产业开发 区管委会财 政金融局</w:t>
            </w:r>
          </w:p>
        </w:tc>
        <w:tc>
          <w:tcPr>
            <w:tcW w:w="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奖励</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103" w:right="103"/>
              <w:jc w:val="both"/>
              <w:rPr>
                <w:rFonts w:ascii="宋体" w:hAnsi="宋体" w:cs="宋体" w:eastAsia="宋体" w:hint="default"/>
                <w:sz w:val="18"/>
                <w:szCs w:val="18"/>
              </w:rPr>
            </w:pPr>
            <w:r>
              <w:rPr>
                <w:rFonts w:ascii="宋体" w:hAnsi="宋体" w:cs="宋体" w:eastAsia="宋体" w:hint="default"/>
                <w:spacing w:val="11"/>
                <w:sz w:val="18"/>
                <w:szCs w:val="18"/>
              </w:rPr>
              <w:t>因从事国家</w:t>
            </w:r>
            <w:r>
              <w:rPr>
                <w:rFonts w:ascii="宋体" w:hAnsi="宋体" w:cs="宋体" w:eastAsia="宋体" w:hint="default"/>
                <w:sz w:val="18"/>
                <w:szCs w:val="18"/>
              </w:rPr>
              <w:t> </w:t>
            </w:r>
            <w:r>
              <w:rPr>
                <w:rFonts w:ascii="宋体" w:hAnsi="宋体" w:cs="宋体" w:eastAsia="宋体" w:hint="default"/>
                <w:spacing w:val="11"/>
                <w:sz w:val="18"/>
                <w:szCs w:val="18"/>
              </w:rPr>
              <w:t>鼓励和扶持</w:t>
            </w:r>
            <w:r>
              <w:rPr>
                <w:rFonts w:ascii="宋体" w:hAnsi="宋体" w:cs="宋体" w:eastAsia="宋体" w:hint="default"/>
                <w:sz w:val="18"/>
                <w:szCs w:val="18"/>
              </w:rPr>
              <w:t> </w:t>
            </w:r>
            <w:r>
              <w:rPr>
                <w:rFonts w:ascii="宋体" w:hAnsi="宋体" w:cs="宋体" w:eastAsia="宋体" w:hint="default"/>
                <w:spacing w:val="11"/>
                <w:sz w:val="18"/>
                <w:szCs w:val="18"/>
              </w:rPr>
              <w:t>特定行业、</w:t>
            </w:r>
            <w:r>
              <w:rPr>
                <w:rFonts w:ascii="宋体" w:hAnsi="宋体" w:cs="宋体" w:eastAsia="宋体" w:hint="default"/>
                <w:sz w:val="18"/>
                <w:szCs w:val="18"/>
              </w:rPr>
              <w:t> </w:t>
            </w:r>
            <w:r>
              <w:rPr>
                <w:rFonts w:ascii="宋体" w:hAnsi="宋体" w:cs="宋体" w:eastAsia="宋体" w:hint="default"/>
                <w:spacing w:val="11"/>
                <w:sz w:val="18"/>
                <w:szCs w:val="18"/>
              </w:rPr>
              <w:t>产业而获得</w:t>
            </w:r>
            <w:r>
              <w:rPr>
                <w:rFonts w:ascii="宋体" w:hAnsi="宋体" w:cs="宋体" w:eastAsia="宋体" w:hint="default"/>
                <w:sz w:val="18"/>
                <w:szCs w:val="18"/>
              </w:rPr>
              <w:t> </w:t>
            </w:r>
            <w:r>
              <w:rPr>
                <w:rFonts w:ascii="宋体" w:hAnsi="宋体" w:cs="宋体" w:eastAsia="宋体" w:hint="default"/>
                <w:spacing w:val="11"/>
                <w:sz w:val="18"/>
                <w:szCs w:val="18"/>
              </w:rPr>
              <w:t>的补助（按</w:t>
            </w:r>
            <w:r>
              <w:rPr>
                <w:rFonts w:ascii="宋体" w:hAnsi="宋体" w:cs="宋体" w:eastAsia="宋体" w:hint="default"/>
                <w:sz w:val="18"/>
                <w:szCs w:val="18"/>
              </w:rPr>
              <w:t> </w:t>
            </w:r>
            <w:r>
              <w:rPr>
                <w:rFonts w:ascii="宋体" w:hAnsi="宋体" w:cs="宋体" w:eastAsia="宋体" w:hint="default"/>
                <w:spacing w:val="11"/>
                <w:sz w:val="18"/>
                <w:szCs w:val="18"/>
              </w:rPr>
              <w:t>国家级政策</w:t>
            </w:r>
            <w:r>
              <w:rPr>
                <w:rFonts w:ascii="宋体" w:hAnsi="宋体" w:cs="宋体" w:eastAsia="宋体" w:hint="default"/>
                <w:sz w:val="18"/>
                <w:szCs w:val="18"/>
              </w:rPr>
              <w:t> </w:t>
            </w:r>
            <w:r>
              <w:rPr>
                <w:rFonts w:ascii="宋体" w:hAnsi="宋体" w:cs="宋体" w:eastAsia="宋体" w:hint="default"/>
                <w:spacing w:val="11"/>
                <w:sz w:val="18"/>
                <w:szCs w:val="18"/>
              </w:rPr>
              <w:t>规定依法取</w:t>
            </w:r>
            <w:r>
              <w:rPr>
                <w:rFonts w:ascii="宋体" w:hAnsi="宋体" w:cs="宋体" w:eastAsia="宋体" w:hint="default"/>
                <w:sz w:val="18"/>
                <w:szCs w:val="18"/>
              </w:rPr>
              <w:t> 得）</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4,500.00</w:t>
            </w:r>
          </w:p>
        </w:tc>
        <w:tc>
          <w:tcPr>
            <w:tcW w:w="1162" w:type="dxa"/>
            <w:tcBorders>
              <w:top w:val="single" w:sz="4" w:space="0" w:color="000000"/>
              <w:left w:val="single" w:sz="4" w:space="0" w:color="000000"/>
              <w:bottom w:val="single" w:sz="4" w:space="0" w:color="000000"/>
              <w:right w:val="single" w:sz="4" w:space="0" w:color="000000"/>
            </w:tcBorders>
          </w:tcPr>
          <w:p>
            <w:pPr/>
          </w:p>
        </w:tc>
        <w:tc>
          <w:tcPr>
            <w:tcW w:w="1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68"/>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2586" w:hRule="exact"/>
        </w:trPr>
        <w:tc>
          <w:tcPr>
            <w:tcW w:w="12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314" w:lineRule="auto"/>
              <w:ind w:left="103" w:right="119"/>
              <w:jc w:val="left"/>
              <w:rPr>
                <w:rFonts w:ascii="宋体" w:hAnsi="宋体" w:cs="宋体" w:eastAsia="宋体" w:hint="default"/>
                <w:sz w:val="18"/>
                <w:szCs w:val="18"/>
              </w:rPr>
            </w:pPr>
            <w:r>
              <w:rPr>
                <w:rFonts w:ascii="宋体" w:hAnsi="宋体" w:cs="宋体" w:eastAsia="宋体" w:hint="default"/>
                <w:sz w:val="18"/>
                <w:szCs w:val="18"/>
              </w:rPr>
              <w:t>郑州高新技 术产业开发 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年科 技创新优秀 企业奖励</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316" w:lineRule="auto"/>
              <w:ind w:left="103" w:right="119"/>
              <w:jc w:val="both"/>
              <w:rPr>
                <w:rFonts w:ascii="宋体" w:hAnsi="宋体" w:cs="宋体" w:eastAsia="宋体" w:hint="default"/>
                <w:sz w:val="18"/>
                <w:szCs w:val="18"/>
              </w:rPr>
            </w:pPr>
            <w:r>
              <w:rPr>
                <w:rFonts w:ascii="宋体" w:hAnsi="宋体" w:cs="宋体" w:eastAsia="宋体" w:hint="default"/>
                <w:sz w:val="18"/>
                <w:szCs w:val="18"/>
              </w:rPr>
              <w:t>郑州高新技 术产业开发 区财政国库 集中支付中 心</w:t>
            </w:r>
          </w:p>
        </w:tc>
        <w:tc>
          <w:tcPr>
            <w:tcW w:w="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奖励</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3" w:right="103"/>
              <w:jc w:val="both"/>
              <w:rPr>
                <w:rFonts w:ascii="宋体" w:hAnsi="宋体" w:cs="宋体" w:eastAsia="宋体" w:hint="default"/>
                <w:sz w:val="18"/>
                <w:szCs w:val="18"/>
              </w:rPr>
            </w:pPr>
            <w:r>
              <w:rPr>
                <w:rFonts w:ascii="宋体" w:hAnsi="宋体" w:cs="宋体" w:eastAsia="宋体" w:hint="default"/>
                <w:spacing w:val="11"/>
                <w:sz w:val="18"/>
                <w:szCs w:val="18"/>
              </w:rPr>
              <w:t>因从事国家</w:t>
            </w:r>
            <w:r>
              <w:rPr>
                <w:rFonts w:ascii="宋体" w:hAnsi="宋体" w:cs="宋体" w:eastAsia="宋体" w:hint="default"/>
                <w:sz w:val="18"/>
                <w:szCs w:val="18"/>
              </w:rPr>
              <w:t> </w:t>
            </w:r>
            <w:r>
              <w:rPr>
                <w:rFonts w:ascii="宋体" w:hAnsi="宋体" w:cs="宋体" w:eastAsia="宋体" w:hint="default"/>
                <w:spacing w:val="11"/>
                <w:sz w:val="18"/>
                <w:szCs w:val="18"/>
              </w:rPr>
              <w:t>鼓励和扶持</w:t>
            </w:r>
            <w:r>
              <w:rPr>
                <w:rFonts w:ascii="宋体" w:hAnsi="宋体" w:cs="宋体" w:eastAsia="宋体" w:hint="default"/>
                <w:sz w:val="18"/>
                <w:szCs w:val="18"/>
              </w:rPr>
              <w:t> </w:t>
            </w:r>
            <w:r>
              <w:rPr>
                <w:rFonts w:ascii="宋体" w:hAnsi="宋体" w:cs="宋体" w:eastAsia="宋体" w:hint="default"/>
                <w:spacing w:val="11"/>
                <w:sz w:val="18"/>
                <w:szCs w:val="18"/>
              </w:rPr>
              <w:t>特定行业、</w:t>
            </w:r>
            <w:r>
              <w:rPr>
                <w:rFonts w:ascii="宋体" w:hAnsi="宋体" w:cs="宋体" w:eastAsia="宋体" w:hint="default"/>
                <w:sz w:val="18"/>
                <w:szCs w:val="18"/>
              </w:rPr>
              <w:t> </w:t>
            </w:r>
            <w:r>
              <w:rPr>
                <w:rFonts w:ascii="宋体" w:hAnsi="宋体" w:cs="宋体" w:eastAsia="宋体" w:hint="default"/>
                <w:spacing w:val="11"/>
                <w:sz w:val="18"/>
                <w:szCs w:val="18"/>
              </w:rPr>
              <w:t>产业而获得</w:t>
            </w:r>
            <w:r>
              <w:rPr>
                <w:rFonts w:ascii="宋体" w:hAnsi="宋体" w:cs="宋体" w:eastAsia="宋体" w:hint="default"/>
                <w:sz w:val="18"/>
                <w:szCs w:val="18"/>
              </w:rPr>
              <w:t> </w:t>
            </w:r>
            <w:r>
              <w:rPr>
                <w:rFonts w:ascii="宋体" w:hAnsi="宋体" w:cs="宋体" w:eastAsia="宋体" w:hint="default"/>
                <w:spacing w:val="11"/>
                <w:sz w:val="18"/>
                <w:szCs w:val="18"/>
              </w:rPr>
              <w:t>的补助（按</w:t>
            </w:r>
            <w:r>
              <w:rPr>
                <w:rFonts w:ascii="宋体" w:hAnsi="宋体" w:cs="宋体" w:eastAsia="宋体" w:hint="default"/>
                <w:sz w:val="18"/>
                <w:szCs w:val="18"/>
              </w:rPr>
              <w:t> </w:t>
            </w:r>
            <w:r>
              <w:rPr>
                <w:rFonts w:ascii="宋体" w:hAnsi="宋体" w:cs="宋体" w:eastAsia="宋体" w:hint="default"/>
                <w:spacing w:val="11"/>
                <w:sz w:val="18"/>
                <w:szCs w:val="18"/>
              </w:rPr>
              <w:t>国家级政策</w:t>
            </w:r>
            <w:r>
              <w:rPr>
                <w:rFonts w:ascii="宋体" w:hAnsi="宋体" w:cs="宋体" w:eastAsia="宋体" w:hint="default"/>
                <w:sz w:val="18"/>
                <w:szCs w:val="18"/>
              </w:rPr>
              <w:t> </w:t>
            </w:r>
            <w:r>
              <w:rPr>
                <w:rFonts w:ascii="宋体" w:hAnsi="宋体" w:cs="宋体" w:eastAsia="宋体" w:hint="default"/>
                <w:spacing w:val="11"/>
                <w:sz w:val="18"/>
                <w:szCs w:val="18"/>
              </w:rPr>
              <w:t>规定依法取</w:t>
            </w:r>
            <w:r>
              <w:rPr>
                <w:rFonts w:ascii="宋体" w:hAnsi="宋体" w:cs="宋体" w:eastAsia="宋体" w:hint="default"/>
                <w:sz w:val="18"/>
                <w:szCs w:val="18"/>
              </w:rPr>
              <w:t> 得）</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13,500.00</w:t>
            </w:r>
          </w:p>
        </w:tc>
        <w:tc>
          <w:tcPr>
            <w:tcW w:w="1162" w:type="dxa"/>
            <w:tcBorders>
              <w:top w:val="single" w:sz="4" w:space="0" w:color="000000"/>
              <w:left w:val="single" w:sz="4" w:space="0" w:color="000000"/>
              <w:bottom w:val="single" w:sz="4" w:space="0" w:color="000000"/>
              <w:right w:val="single" w:sz="4" w:space="0" w:color="000000"/>
            </w:tcBorders>
          </w:tcPr>
          <w:p>
            <w:pPr/>
          </w:p>
        </w:tc>
        <w:tc>
          <w:tcPr>
            <w:tcW w:w="1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68"/>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923" w:hRule="exact"/>
        </w:trPr>
        <w:tc>
          <w:tcPr>
            <w:tcW w:w="1223"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2"/>
              <w:ind w:left="103" w:right="101"/>
              <w:jc w:val="both"/>
              <w:rPr>
                <w:rFonts w:ascii="宋体" w:hAnsi="宋体" w:cs="宋体" w:eastAsia="宋体" w:hint="default"/>
                <w:sz w:val="18"/>
                <w:szCs w:val="18"/>
              </w:rPr>
            </w:pPr>
            <w:r>
              <w:rPr>
                <w:rFonts w:ascii="宋体" w:hAnsi="宋体" w:cs="宋体" w:eastAsia="宋体" w:hint="default"/>
                <w:sz w:val="18"/>
                <w:szCs w:val="18"/>
              </w:rPr>
              <w:t>郑州高新技 术产业开发 区财政</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 </w:t>
            </w:r>
            <w:r>
              <w:rPr>
                <w:rFonts w:ascii="宋体" w:hAnsi="宋体" w:cs="宋体" w:eastAsia="宋体" w:hint="default"/>
                <w:sz w:val="18"/>
                <w:szCs w:val="18"/>
              </w:rPr>
              <w:t>年度科技创 新优秀企业 </w:t>
            </w:r>
            <w:r>
              <w:rPr>
                <w:rFonts w:ascii="宋体" w:hAnsi="宋体" w:cs="宋体" w:eastAsia="宋体" w:hint="default"/>
                <w:spacing w:val="-13"/>
                <w:sz w:val="18"/>
                <w:szCs w:val="18"/>
              </w:rPr>
              <w:t>奖励（软件著</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319" w:lineRule="auto"/>
              <w:ind w:left="103" w:right="119"/>
              <w:jc w:val="both"/>
              <w:rPr>
                <w:rFonts w:ascii="宋体" w:hAnsi="宋体" w:cs="宋体" w:eastAsia="宋体" w:hint="default"/>
                <w:sz w:val="18"/>
                <w:szCs w:val="18"/>
              </w:rPr>
            </w:pPr>
            <w:r>
              <w:rPr>
                <w:rFonts w:ascii="宋体" w:hAnsi="宋体" w:cs="宋体" w:eastAsia="宋体" w:hint="default"/>
                <w:sz w:val="18"/>
                <w:szCs w:val="18"/>
              </w:rPr>
              <w:t>郑州高新技 术产业开发 区财政国库 集中支付中 心</w:t>
            </w:r>
          </w:p>
        </w:tc>
        <w:tc>
          <w:tcPr>
            <w:tcW w:w="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6"/>
                <w:szCs w:val="26"/>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奖励</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3" w:right="103"/>
              <w:jc w:val="both"/>
              <w:rPr>
                <w:rFonts w:ascii="宋体" w:hAnsi="宋体" w:cs="宋体" w:eastAsia="宋体" w:hint="default"/>
                <w:sz w:val="18"/>
                <w:szCs w:val="18"/>
              </w:rPr>
            </w:pPr>
            <w:r>
              <w:rPr>
                <w:rFonts w:ascii="宋体" w:hAnsi="宋体" w:cs="宋体" w:eastAsia="宋体" w:hint="default"/>
                <w:spacing w:val="11"/>
                <w:sz w:val="18"/>
                <w:szCs w:val="18"/>
              </w:rPr>
              <w:t>因从事国家</w:t>
            </w:r>
            <w:r>
              <w:rPr>
                <w:rFonts w:ascii="宋体" w:hAnsi="宋体" w:cs="宋体" w:eastAsia="宋体" w:hint="default"/>
                <w:sz w:val="18"/>
                <w:szCs w:val="18"/>
              </w:rPr>
              <w:t> </w:t>
            </w:r>
            <w:r>
              <w:rPr>
                <w:rFonts w:ascii="宋体" w:hAnsi="宋体" w:cs="宋体" w:eastAsia="宋体" w:hint="default"/>
                <w:spacing w:val="11"/>
                <w:sz w:val="18"/>
                <w:szCs w:val="18"/>
              </w:rPr>
              <w:t>鼓励和扶持</w:t>
            </w:r>
            <w:r>
              <w:rPr>
                <w:rFonts w:ascii="宋体" w:hAnsi="宋体" w:cs="宋体" w:eastAsia="宋体" w:hint="default"/>
                <w:sz w:val="18"/>
                <w:szCs w:val="18"/>
              </w:rPr>
              <w:t> </w:t>
            </w:r>
            <w:r>
              <w:rPr>
                <w:rFonts w:ascii="宋体" w:hAnsi="宋体" w:cs="宋体" w:eastAsia="宋体" w:hint="default"/>
                <w:spacing w:val="11"/>
                <w:sz w:val="18"/>
                <w:szCs w:val="18"/>
              </w:rPr>
              <w:t>特定行业、</w:t>
            </w:r>
            <w:r>
              <w:rPr>
                <w:rFonts w:ascii="宋体" w:hAnsi="宋体" w:cs="宋体" w:eastAsia="宋体" w:hint="default"/>
                <w:sz w:val="18"/>
                <w:szCs w:val="18"/>
              </w:rPr>
              <w:t> </w:t>
            </w:r>
            <w:r>
              <w:rPr>
                <w:rFonts w:ascii="宋体" w:hAnsi="宋体" w:cs="宋体" w:eastAsia="宋体" w:hint="default"/>
                <w:spacing w:val="11"/>
                <w:sz w:val="18"/>
                <w:szCs w:val="18"/>
              </w:rPr>
              <w:t>产业而获得</w:t>
            </w:r>
            <w:r>
              <w:rPr>
                <w:rFonts w:ascii="宋体" w:hAnsi="宋体" w:cs="宋体" w:eastAsia="宋体" w:hint="default"/>
                <w:sz w:val="18"/>
                <w:szCs w:val="18"/>
              </w:rPr>
              <w:t> </w:t>
            </w:r>
            <w:r>
              <w:rPr>
                <w:rFonts w:ascii="宋体" w:hAnsi="宋体" w:cs="宋体" w:eastAsia="宋体" w:hint="default"/>
                <w:spacing w:val="11"/>
                <w:sz w:val="18"/>
                <w:szCs w:val="18"/>
              </w:rPr>
              <w:t>的补助（按</w:t>
            </w:r>
            <w:r>
              <w:rPr>
                <w:rFonts w:ascii="宋体" w:hAnsi="宋体" w:cs="宋体" w:eastAsia="宋体" w:hint="default"/>
                <w:sz w:val="18"/>
                <w:szCs w:val="18"/>
              </w:rPr>
              <w:t> </w:t>
            </w:r>
            <w:r>
              <w:rPr>
                <w:rFonts w:ascii="宋体" w:hAnsi="宋体" w:cs="宋体" w:eastAsia="宋体" w:hint="default"/>
                <w:spacing w:val="11"/>
                <w:sz w:val="18"/>
                <w:szCs w:val="18"/>
              </w:rPr>
              <w:t>国家级政策</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6"/>
                <w:szCs w:val="26"/>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6"/>
                <w:szCs w:val="26"/>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5"/>
              <w:ind w:right="99"/>
              <w:jc w:val="right"/>
              <w:rPr>
                <w:rFonts w:ascii="Times New Roman" w:hAnsi="Times New Roman" w:cs="Times New Roman" w:eastAsia="Times New Roman" w:hint="default"/>
                <w:sz w:val="18"/>
                <w:szCs w:val="18"/>
              </w:rPr>
            </w:pPr>
            <w:r>
              <w:rPr>
                <w:rFonts w:ascii="Times New Roman"/>
                <w:sz w:val="18"/>
              </w:rPr>
              <w:t>16,000.00</w:t>
            </w:r>
          </w:p>
        </w:tc>
        <w:tc>
          <w:tcPr>
            <w:tcW w:w="1162" w:type="dxa"/>
            <w:tcBorders>
              <w:top w:val="single" w:sz="4" w:space="0" w:color="000000"/>
              <w:left w:val="single" w:sz="4" w:space="0" w:color="000000"/>
              <w:bottom w:val="single" w:sz="4" w:space="0" w:color="000000"/>
              <w:right w:val="single" w:sz="4" w:space="0" w:color="000000"/>
            </w:tcBorders>
          </w:tcPr>
          <w:p>
            <w:pPr/>
          </w:p>
        </w:tc>
        <w:tc>
          <w:tcPr>
            <w:tcW w:w="1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6"/>
                <w:szCs w:val="26"/>
              </w:rPr>
            </w:pPr>
          </w:p>
          <w:p>
            <w:pPr>
              <w:pStyle w:val="TableParagraph"/>
              <w:spacing w:line="240" w:lineRule="auto"/>
              <w:ind w:right="68"/>
              <w:jc w:val="center"/>
              <w:rPr>
                <w:rFonts w:ascii="宋体" w:hAnsi="宋体" w:cs="宋体" w:eastAsia="宋体" w:hint="default"/>
                <w:sz w:val="18"/>
                <w:szCs w:val="18"/>
              </w:rPr>
            </w:pPr>
            <w:r>
              <w:rPr>
                <w:rFonts w:ascii="宋体" w:hAnsi="宋体" w:cs="宋体" w:eastAsia="宋体" w:hint="default"/>
                <w:sz w:val="18"/>
                <w:szCs w:val="18"/>
              </w:rPr>
              <w:t>与收益相关</w:t>
            </w:r>
          </w:p>
        </w:tc>
      </w:tr>
    </w:tbl>
    <w:p>
      <w:pPr>
        <w:spacing w:after="0" w:line="240" w:lineRule="auto"/>
        <w:jc w:val="center"/>
        <w:rPr>
          <w:rFonts w:ascii="宋体" w:hAnsi="宋体" w:cs="宋体" w:eastAsia="宋体" w:hint="default"/>
          <w:sz w:val="18"/>
          <w:szCs w:val="18"/>
        </w:rPr>
        <w:sectPr>
          <w:pgSz w:w="11910" w:h="16840"/>
          <w:pgMar w:header="877" w:footer="979" w:top="1060" w:bottom="1160" w:left="8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18" w:type="dxa"/>
        <w:tblLayout w:type="fixed"/>
        <w:tblCellMar>
          <w:top w:w="0" w:type="dxa"/>
          <w:left w:w="0" w:type="dxa"/>
          <w:bottom w:w="0" w:type="dxa"/>
          <w:right w:w="0" w:type="dxa"/>
        </w:tblCellMar>
        <w:tblLook w:val="01E0"/>
      </w:tblPr>
      <w:tblGrid>
        <w:gridCol w:w="1223"/>
        <w:gridCol w:w="1134"/>
        <w:gridCol w:w="808"/>
        <w:gridCol w:w="1176"/>
        <w:gridCol w:w="1134"/>
        <w:gridCol w:w="916"/>
        <w:gridCol w:w="1161"/>
        <w:gridCol w:w="1162"/>
        <w:gridCol w:w="1187"/>
      </w:tblGrid>
      <w:tr>
        <w:trPr>
          <w:trHeight w:val="940" w:hRule="exact"/>
        </w:trPr>
        <w:tc>
          <w:tcPr>
            <w:tcW w:w="12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作权资助）</w:t>
            </w:r>
          </w:p>
        </w:tc>
        <w:tc>
          <w:tcPr>
            <w:tcW w:w="1134" w:type="dxa"/>
            <w:tcBorders>
              <w:top w:val="single" w:sz="4" w:space="0" w:color="000000"/>
              <w:left w:val="single" w:sz="4" w:space="0" w:color="000000"/>
              <w:bottom w:val="single" w:sz="4" w:space="0" w:color="000000"/>
              <w:right w:val="single" w:sz="4" w:space="0" w:color="000000"/>
            </w:tcBorders>
          </w:tcPr>
          <w:p>
            <w:pPr/>
          </w:p>
        </w:tc>
        <w:tc>
          <w:tcPr>
            <w:tcW w:w="808" w:type="dxa"/>
            <w:tcBorders>
              <w:top w:val="single" w:sz="4" w:space="0" w:color="000000"/>
              <w:left w:val="single" w:sz="4" w:space="0" w:color="000000"/>
              <w:bottom w:val="single" w:sz="4" w:space="0" w:color="000000"/>
              <w:right w:val="single" w:sz="4" w:space="0" w:color="000000"/>
            </w:tcBorders>
          </w:tcPr>
          <w:p>
            <w:pP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103" w:right="103"/>
              <w:jc w:val="left"/>
              <w:rPr>
                <w:rFonts w:ascii="宋体" w:hAnsi="宋体" w:cs="宋体" w:eastAsia="宋体" w:hint="default"/>
                <w:sz w:val="18"/>
                <w:szCs w:val="18"/>
              </w:rPr>
            </w:pPr>
            <w:r>
              <w:rPr>
                <w:rFonts w:ascii="宋体" w:hAnsi="宋体" w:cs="宋体" w:eastAsia="宋体" w:hint="default"/>
                <w:spacing w:val="11"/>
                <w:sz w:val="18"/>
                <w:szCs w:val="18"/>
              </w:rPr>
              <w:t>规定依法取</w:t>
            </w:r>
            <w:r>
              <w:rPr>
                <w:rFonts w:ascii="宋体" w:hAnsi="宋体" w:cs="宋体" w:eastAsia="宋体" w:hint="default"/>
                <w:sz w:val="18"/>
                <w:szCs w:val="18"/>
              </w:rPr>
              <w:t> 得）</w:t>
            </w:r>
          </w:p>
        </w:tc>
        <w:tc>
          <w:tcPr>
            <w:tcW w:w="1134" w:type="dxa"/>
            <w:tcBorders>
              <w:top w:val="single" w:sz="4" w:space="0" w:color="000000"/>
              <w:left w:val="single" w:sz="4" w:space="0" w:color="000000"/>
              <w:bottom w:val="single" w:sz="4" w:space="0" w:color="000000"/>
              <w:right w:val="single" w:sz="4" w:space="0" w:color="000000"/>
            </w:tcBorders>
          </w:tcPr>
          <w:p>
            <w:pPr/>
          </w:p>
        </w:tc>
        <w:tc>
          <w:tcPr>
            <w:tcW w:w="916" w:type="dxa"/>
            <w:tcBorders>
              <w:top w:val="single" w:sz="4" w:space="0" w:color="000000"/>
              <w:left w:val="single" w:sz="4" w:space="0" w:color="000000"/>
              <w:bottom w:val="single" w:sz="4" w:space="0" w:color="000000"/>
              <w:right w:val="single" w:sz="4" w:space="0" w:color="000000"/>
            </w:tcBorders>
          </w:tcPr>
          <w:p>
            <w:pPr/>
          </w:p>
        </w:tc>
        <w:tc>
          <w:tcPr>
            <w:tcW w:w="1161"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1187" w:type="dxa"/>
            <w:tcBorders>
              <w:top w:val="single" w:sz="4" w:space="0" w:color="000000"/>
              <w:left w:val="single" w:sz="4" w:space="0" w:color="000000"/>
              <w:bottom w:val="single" w:sz="4" w:space="0" w:color="000000"/>
              <w:right w:val="single" w:sz="4" w:space="0" w:color="000000"/>
            </w:tcBorders>
          </w:tcPr>
          <w:p>
            <w:pPr/>
          </w:p>
        </w:tc>
      </w:tr>
      <w:tr>
        <w:trPr>
          <w:trHeight w:val="2586" w:hRule="exact"/>
        </w:trPr>
        <w:tc>
          <w:tcPr>
            <w:tcW w:w="12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4" w:lineRule="auto" w:before="107"/>
              <w:ind w:left="103" w:right="119"/>
              <w:jc w:val="left"/>
              <w:rPr>
                <w:rFonts w:ascii="宋体" w:hAnsi="宋体" w:cs="宋体" w:eastAsia="宋体" w:hint="default"/>
                <w:sz w:val="18"/>
                <w:szCs w:val="18"/>
              </w:rPr>
            </w:pPr>
            <w:r>
              <w:rPr>
                <w:rFonts w:ascii="宋体" w:hAnsi="宋体" w:cs="宋体" w:eastAsia="宋体" w:hint="default"/>
                <w:sz w:val="18"/>
                <w:szCs w:val="18"/>
              </w:rPr>
              <w:t>郑州高新技 术产业开发 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 科技优秀企 业奖励</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07"/>
              <w:ind w:left="103" w:right="119"/>
              <w:jc w:val="both"/>
              <w:rPr>
                <w:rFonts w:ascii="宋体" w:hAnsi="宋体" w:cs="宋体" w:eastAsia="宋体" w:hint="default"/>
                <w:sz w:val="18"/>
                <w:szCs w:val="18"/>
              </w:rPr>
            </w:pPr>
            <w:r>
              <w:rPr>
                <w:rFonts w:ascii="宋体" w:hAnsi="宋体" w:cs="宋体" w:eastAsia="宋体" w:hint="default"/>
                <w:sz w:val="18"/>
                <w:szCs w:val="18"/>
              </w:rPr>
              <w:t>郑州高新技 术产业开发 区财政国库 集中支付中 心</w:t>
            </w:r>
          </w:p>
        </w:tc>
        <w:tc>
          <w:tcPr>
            <w:tcW w:w="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0"/>
              <w:ind w:left="103" w:right="0"/>
              <w:jc w:val="left"/>
              <w:rPr>
                <w:rFonts w:ascii="宋体" w:hAnsi="宋体" w:cs="宋体" w:eastAsia="宋体" w:hint="default"/>
                <w:sz w:val="18"/>
                <w:szCs w:val="18"/>
              </w:rPr>
            </w:pPr>
            <w:r>
              <w:rPr>
                <w:rFonts w:ascii="宋体" w:hAnsi="宋体" w:cs="宋体" w:eastAsia="宋体" w:hint="default"/>
                <w:sz w:val="18"/>
                <w:szCs w:val="18"/>
              </w:rPr>
              <w:t>奖励</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3" w:right="103"/>
              <w:jc w:val="both"/>
              <w:rPr>
                <w:rFonts w:ascii="宋体" w:hAnsi="宋体" w:cs="宋体" w:eastAsia="宋体" w:hint="default"/>
                <w:sz w:val="18"/>
                <w:szCs w:val="18"/>
              </w:rPr>
            </w:pPr>
            <w:r>
              <w:rPr>
                <w:rFonts w:ascii="宋体" w:hAnsi="宋体" w:cs="宋体" w:eastAsia="宋体" w:hint="default"/>
                <w:spacing w:val="11"/>
                <w:sz w:val="18"/>
                <w:szCs w:val="18"/>
              </w:rPr>
              <w:t>因从事国家</w:t>
            </w:r>
            <w:r>
              <w:rPr>
                <w:rFonts w:ascii="宋体" w:hAnsi="宋体" w:cs="宋体" w:eastAsia="宋体" w:hint="default"/>
                <w:sz w:val="18"/>
                <w:szCs w:val="18"/>
              </w:rPr>
              <w:t> </w:t>
            </w:r>
            <w:r>
              <w:rPr>
                <w:rFonts w:ascii="宋体" w:hAnsi="宋体" w:cs="宋体" w:eastAsia="宋体" w:hint="default"/>
                <w:spacing w:val="11"/>
                <w:sz w:val="18"/>
                <w:szCs w:val="18"/>
              </w:rPr>
              <w:t>鼓励和扶持</w:t>
            </w:r>
            <w:r>
              <w:rPr>
                <w:rFonts w:ascii="宋体" w:hAnsi="宋体" w:cs="宋体" w:eastAsia="宋体" w:hint="default"/>
                <w:sz w:val="18"/>
                <w:szCs w:val="18"/>
              </w:rPr>
              <w:t> </w:t>
            </w:r>
            <w:r>
              <w:rPr>
                <w:rFonts w:ascii="宋体" w:hAnsi="宋体" w:cs="宋体" w:eastAsia="宋体" w:hint="default"/>
                <w:spacing w:val="11"/>
                <w:sz w:val="18"/>
                <w:szCs w:val="18"/>
              </w:rPr>
              <w:t>特定行业、</w:t>
            </w:r>
            <w:r>
              <w:rPr>
                <w:rFonts w:ascii="宋体" w:hAnsi="宋体" w:cs="宋体" w:eastAsia="宋体" w:hint="default"/>
                <w:sz w:val="18"/>
                <w:szCs w:val="18"/>
              </w:rPr>
              <w:t> </w:t>
            </w:r>
            <w:r>
              <w:rPr>
                <w:rFonts w:ascii="宋体" w:hAnsi="宋体" w:cs="宋体" w:eastAsia="宋体" w:hint="default"/>
                <w:spacing w:val="11"/>
                <w:sz w:val="18"/>
                <w:szCs w:val="18"/>
              </w:rPr>
              <w:t>产业而获得</w:t>
            </w:r>
            <w:r>
              <w:rPr>
                <w:rFonts w:ascii="宋体" w:hAnsi="宋体" w:cs="宋体" w:eastAsia="宋体" w:hint="default"/>
                <w:sz w:val="18"/>
                <w:szCs w:val="18"/>
              </w:rPr>
              <w:t> </w:t>
            </w:r>
            <w:r>
              <w:rPr>
                <w:rFonts w:ascii="宋体" w:hAnsi="宋体" w:cs="宋体" w:eastAsia="宋体" w:hint="default"/>
                <w:spacing w:val="11"/>
                <w:sz w:val="18"/>
                <w:szCs w:val="18"/>
              </w:rPr>
              <w:t>的补助（按</w:t>
            </w:r>
            <w:r>
              <w:rPr>
                <w:rFonts w:ascii="宋体" w:hAnsi="宋体" w:cs="宋体" w:eastAsia="宋体" w:hint="default"/>
                <w:sz w:val="18"/>
                <w:szCs w:val="18"/>
              </w:rPr>
              <w:t> </w:t>
            </w:r>
            <w:r>
              <w:rPr>
                <w:rFonts w:ascii="宋体" w:hAnsi="宋体" w:cs="宋体" w:eastAsia="宋体" w:hint="default"/>
                <w:spacing w:val="11"/>
                <w:sz w:val="18"/>
                <w:szCs w:val="18"/>
              </w:rPr>
              <w:t>国家级政策</w:t>
            </w:r>
            <w:r>
              <w:rPr>
                <w:rFonts w:ascii="宋体" w:hAnsi="宋体" w:cs="宋体" w:eastAsia="宋体" w:hint="default"/>
                <w:sz w:val="18"/>
                <w:szCs w:val="18"/>
              </w:rPr>
              <w:t> </w:t>
            </w:r>
            <w:r>
              <w:rPr>
                <w:rFonts w:ascii="宋体" w:hAnsi="宋体" w:cs="宋体" w:eastAsia="宋体" w:hint="default"/>
                <w:spacing w:val="11"/>
                <w:sz w:val="18"/>
                <w:szCs w:val="18"/>
              </w:rPr>
              <w:t>规定依法取</w:t>
            </w:r>
            <w:r>
              <w:rPr>
                <w:rFonts w:ascii="宋体" w:hAnsi="宋体" w:cs="宋体" w:eastAsia="宋体" w:hint="default"/>
                <w:sz w:val="18"/>
                <w:szCs w:val="18"/>
              </w:rPr>
              <w:t> 得）</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0"/>
              <w:ind w:left="10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0"/>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0"/>
              <w:ind w:right="99"/>
              <w:jc w:val="right"/>
              <w:rPr>
                <w:rFonts w:ascii="Times New Roman" w:hAnsi="Times New Roman" w:cs="Times New Roman" w:eastAsia="Times New Roman" w:hint="default"/>
                <w:sz w:val="18"/>
                <w:szCs w:val="18"/>
              </w:rPr>
            </w:pPr>
            <w:r>
              <w:rPr>
                <w:rFonts w:ascii="Times New Roman"/>
                <w:sz w:val="18"/>
              </w:rPr>
              <w:t>20,000.00</w:t>
            </w:r>
          </w:p>
        </w:tc>
        <w:tc>
          <w:tcPr>
            <w:tcW w:w="1162" w:type="dxa"/>
            <w:tcBorders>
              <w:top w:val="single" w:sz="4" w:space="0" w:color="000000"/>
              <w:left w:val="single" w:sz="4" w:space="0" w:color="000000"/>
              <w:bottom w:val="single" w:sz="4" w:space="0" w:color="000000"/>
              <w:right w:val="single" w:sz="4" w:space="0" w:color="000000"/>
            </w:tcBorders>
          </w:tcPr>
          <w:p>
            <w:pPr/>
          </w:p>
        </w:tc>
        <w:tc>
          <w:tcPr>
            <w:tcW w:w="1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0"/>
              <w:ind w:right="68"/>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2586" w:hRule="exact"/>
        </w:trPr>
        <w:tc>
          <w:tcPr>
            <w:tcW w:w="12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22"/>
                <w:szCs w:val="22"/>
              </w:rPr>
            </w:pPr>
          </w:p>
          <w:p>
            <w:pPr>
              <w:pStyle w:val="TableParagraph"/>
              <w:spacing w:line="316" w:lineRule="auto"/>
              <w:ind w:left="103" w:right="208"/>
              <w:jc w:val="both"/>
              <w:rPr>
                <w:rFonts w:ascii="宋体" w:hAnsi="宋体" w:cs="宋体" w:eastAsia="宋体" w:hint="default"/>
                <w:sz w:val="18"/>
                <w:szCs w:val="18"/>
              </w:rPr>
            </w:pPr>
            <w:r>
              <w:rPr>
                <w:rFonts w:ascii="宋体" w:hAnsi="宋体" w:cs="宋体" w:eastAsia="宋体" w:hint="default"/>
                <w:sz w:val="18"/>
                <w:szCs w:val="18"/>
              </w:rPr>
              <w:t>郑州高新技 术产业开发 区专利申请 资助资金</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22"/>
                <w:szCs w:val="22"/>
              </w:rPr>
            </w:pPr>
          </w:p>
          <w:p>
            <w:pPr>
              <w:pStyle w:val="TableParagraph"/>
              <w:spacing w:line="316" w:lineRule="auto"/>
              <w:ind w:left="103" w:right="119"/>
              <w:jc w:val="both"/>
              <w:rPr>
                <w:rFonts w:ascii="宋体" w:hAnsi="宋体" w:cs="宋体" w:eastAsia="宋体" w:hint="default"/>
                <w:sz w:val="18"/>
                <w:szCs w:val="18"/>
              </w:rPr>
            </w:pPr>
            <w:r>
              <w:rPr>
                <w:rFonts w:ascii="宋体" w:hAnsi="宋体" w:cs="宋体" w:eastAsia="宋体" w:hint="default"/>
                <w:sz w:val="18"/>
                <w:szCs w:val="18"/>
              </w:rPr>
              <w:t>郑州高新技 术产业开发 区管委会财 政金融局</w:t>
            </w:r>
          </w:p>
        </w:tc>
        <w:tc>
          <w:tcPr>
            <w:tcW w:w="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9"/>
              <w:ind w:left="103" w:right="0"/>
              <w:jc w:val="left"/>
              <w:rPr>
                <w:rFonts w:ascii="宋体" w:hAnsi="宋体" w:cs="宋体" w:eastAsia="宋体" w:hint="default"/>
                <w:sz w:val="18"/>
                <w:szCs w:val="18"/>
              </w:rPr>
            </w:pPr>
            <w:r>
              <w:rPr>
                <w:rFonts w:ascii="宋体" w:hAnsi="宋体" w:cs="宋体" w:eastAsia="宋体" w:hint="default"/>
                <w:sz w:val="18"/>
                <w:szCs w:val="18"/>
              </w:rPr>
              <w:t>奖励</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3" w:right="103"/>
              <w:jc w:val="both"/>
              <w:rPr>
                <w:rFonts w:ascii="宋体" w:hAnsi="宋体" w:cs="宋体" w:eastAsia="宋体" w:hint="default"/>
                <w:sz w:val="18"/>
                <w:szCs w:val="18"/>
              </w:rPr>
            </w:pPr>
            <w:r>
              <w:rPr>
                <w:rFonts w:ascii="宋体" w:hAnsi="宋体" w:cs="宋体" w:eastAsia="宋体" w:hint="default"/>
                <w:spacing w:val="11"/>
                <w:sz w:val="18"/>
                <w:szCs w:val="18"/>
              </w:rPr>
              <w:t>因从事国家</w:t>
            </w:r>
            <w:r>
              <w:rPr>
                <w:rFonts w:ascii="宋体" w:hAnsi="宋体" w:cs="宋体" w:eastAsia="宋体" w:hint="default"/>
                <w:sz w:val="18"/>
                <w:szCs w:val="18"/>
              </w:rPr>
              <w:t> </w:t>
            </w:r>
            <w:r>
              <w:rPr>
                <w:rFonts w:ascii="宋体" w:hAnsi="宋体" w:cs="宋体" w:eastAsia="宋体" w:hint="default"/>
                <w:spacing w:val="11"/>
                <w:sz w:val="18"/>
                <w:szCs w:val="18"/>
              </w:rPr>
              <w:t>鼓励和扶持</w:t>
            </w:r>
            <w:r>
              <w:rPr>
                <w:rFonts w:ascii="宋体" w:hAnsi="宋体" w:cs="宋体" w:eastAsia="宋体" w:hint="default"/>
                <w:sz w:val="18"/>
                <w:szCs w:val="18"/>
              </w:rPr>
              <w:t> </w:t>
            </w:r>
            <w:r>
              <w:rPr>
                <w:rFonts w:ascii="宋体" w:hAnsi="宋体" w:cs="宋体" w:eastAsia="宋体" w:hint="default"/>
                <w:spacing w:val="11"/>
                <w:sz w:val="18"/>
                <w:szCs w:val="18"/>
              </w:rPr>
              <w:t>特定行业、</w:t>
            </w:r>
            <w:r>
              <w:rPr>
                <w:rFonts w:ascii="宋体" w:hAnsi="宋体" w:cs="宋体" w:eastAsia="宋体" w:hint="default"/>
                <w:sz w:val="18"/>
                <w:szCs w:val="18"/>
              </w:rPr>
              <w:t> </w:t>
            </w:r>
            <w:r>
              <w:rPr>
                <w:rFonts w:ascii="宋体" w:hAnsi="宋体" w:cs="宋体" w:eastAsia="宋体" w:hint="default"/>
                <w:spacing w:val="11"/>
                <w:sz w:val="18"/>
                <w:szCs w:val="18"/>
              </w:rPr>
              <w:t>产业而获得</w:t>
            </w:r>
            <w:r>
              <w:rPr>
                <w:rFonts w:ascii="宋体" w:hAnsi="宋体" w:cs="宋体" w:eastAsia="宋体" w:hint="default"/>
                <w:sz w:val="18"/>
                <w:szCs w:val="18"/>
              </w:rPr>
              <w:t> </w:t>
            </w:r>
            <w:r>
              <w:rPr>
                <w:rFonts w:ascii="宋体" w:hAnsi="宋体" w:cs="宋体" w:eastAsia="宋体" w:hint="default"/>
                <w:spacing w:val="11"/>
                <w:sz w:val="18"/>
                <w:szCs w:val="18"/>
              </w:rPr>
              <w:t>的补助（按</w:t>
            </w:r>
            <w:r>
              <w:rPr>
                <w:rFonts w:ascii="宋体" w:hAnsi="宋体" w:cs="宋体" w:eastAsia="宋体" w:hint="default"/>
                <w:sz w:val="18"/>
                <w:szCs w:val="18"/>
              </w:rPr>
              <w:t> </w:t>
            </w:r>
            <w:r>
              <w:rPr>
                <w:rFonts w:ascii="宋体" w:hAnsi="宋体" w:cs="宋体" w:eastAsia="宋体" w:hint="default"/>
                <w:spacing w:val="11"/>
                <w:sz w:val="18"/>
                <w:szCs w:val="18"/>
              </w:rPr>
              <w:t>国家级政策</w:t>
            </w:r>
            <w:r>
              <w:rPr>
                <w:rFonts w:ascii="宋体" w:hAnsi="宋体" w:cs="宋体" w:eastAsia="宋体" w:hint="default"/>
                <w:sz w:val="18"/>
                <w:szCs w:val="18"/>
              </w:rPr>
              <w:t> </w:t>
            </w:r>
            <w:r>
              <w:rPr>
                <w:rFonts w:ascii="宋体" w:hAnsi="宋体" w:cs="宋体" w:eastAsia="宋体" w:hint="default"/>
                <w:spacing w:val="11"/>
                <w:sz w:val="18"/>
                <w:szCs w:val="18"/>
              </w:rPr>
              <w:t>规定依法取</w:t>
            </w:r>
            <w:r>
              <w:rPr>
                <w:rFonts w:ascii="宋体" w:hAnsi="宋体" w:cs="宋体" w:eastAsia="宋体" w:hint="default"/>
                <w:sz w:val="18"/>
                <w:szCs w:val="18"/>
              </w:rPr>
              <w:t> 得）</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9"/>
              <w:ind w:left="10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9"/>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9"/>
              <w:ind w:right="99"/>
              <w:jc w:val="right"/>
              <w:rPr>
                <w:rFonts w:ascii="Times New Roman" w:hAnsi="Times New Roman" w:cs="Times New Roman" w:eastAsia="Times New Roman" w:hint="default"/>
                <w:sz w:val="18"/>
                <w:szCs w:val="18"/>
              </w:rPr>
            </w:pPr>
            <w:r>
              <w:rPr>
                <w:rFonts w:ascii="Times New Roman"/>
                <w:sz w:val="18"/>
              </w:rPr>
              <w:t>68,000.00</w:t>
            </w:r>
          </w:p>
        </w:tc>
        <w:tc>
          <w:tcPr>
            <w:tcW w:w="1162" w:type="dxa"/>
            <w:tcBorders>
              <w:top w:val="single" w:sz="4" w:space="0" w:color="000000"/>
              <w:left w:val="single" w:sz="4" w:space="0" w:color="000000"/>
              <w:bottom w:val="single" w:sz="4" w:space="0" w:color="000000"/>
              <w:right w:val="single" w:sz="4" w:space="0" w:color="000000"/>
            </w:tcBorders>
          </w:tcPr>
          <w:p>
            <w:pPr/>
          </w:p>
        </w:tc>
        <w:tc>
          <w:tcPr>
            <w:tcW w:w="1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9"/>
              <w:ind w:right="68"/>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2586" w:hRule="exact"/>
        </w:trPr>
        <w:tc>
          <w:tcPr>
            <w:tcW w:w="12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22"/>
                <w:szCs w:val="22"/>
              </w:rPr>
            </w:pPr>
          </w:p>
          <w:p>
            <w:pPr>
              <w:pStyle w:val="TableParagraph"/>
              <w:spacing w:line="312" w:lineRule="auto"/>
              <w:ind w:left="103" w:right="147"/>
              <w:jc w:val="both"/>
              <w:rPr>
                <w:rFonts w:ascii="宋体" w:hAnsi="宋体" w:cs="宋体" w:eastAsia="宋体" w:hint="default"/>
                <w:sz w:val="18"/>
                <w:szCs w:val="18"/>
              </w:rPr>
            </w:pPr>
            <w:r>
              <w:rPr>
                <w:rFonts w:ascii="宋体" w:hAnsi="宋体" w:cs="宋体" w:eastAsia="宋体" w:hint="default"/>
                <w:sz w:val="18"/>
                <w:szCs w:val="18"/>
              </w:rPr>
              <w:t>郑州高新技 术产业开发 区郑开管</w:t>
            </w:r>
            <w:r>
              <w:rPr>
                <w:rFonts w:ascii="Times New Roman" w:hAnsi="Times New Roman" w:cs="Times New Roman" w:eastAsia="Times New Roman" w:hint="default"/>
                <w:sz w:val="18"/>
                <w:szCs w:val="18"/>
              </w:rPr>
              <w:t>(13 </w:t>
            </w:r>
            <w:r>
              <w:rPr>
                <w:rFonts w:ascii="宋体" w:hAnsi="宋体" w:cs="宋体" w:eastAsia="宋体" w:hint="default"/>
                <w:sz w:val="18"/>
                <w:szCs w:val="18"/>
              </w:rPr>
              <w:t>号</w:t>
            </w:r>
            <w:r>
              <w:rPr>
                <w:rFonts w:ascii="Times New Roman" w:hAnsi="Times New Roman" w:cs="Times New Roman" w:eastAsia="Times New Roman" w:hint="default"/>
                <w:sz w:val="18"/>
                <w:szCs w:val="18"/>
              </w:rPr>
              <w:t>)</w:t>
            </w:r>
            <w:r>
              <w:rPr>
                <w:rFonts w:ascii="宋体" w:hAnsi="宋体" w:cs="宋体" w:eastAsia="宋体" w:hint="default"/>
                <w:sz w:val="18"/>
                <w:szCs w:val="18"/>
              </w:rPr>
              <w:t>专利奖励</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06"/>
              <w:ind w:left="103" w:right="119"/>
              <w:jc w:val="both"/>
              <w:rPr>
                <w:rFonts w:ascii="宋体" w:hAnsi="宋体" w:cs="宋体" w:eastAsia="宋体" w:hint="default"/>
                <w:sz w:val="18"/>
                <w:szCs w:val="18"/>
              </w:rPr>
            </w:pPr>
            <w:r>
              <w:rPr>
                <w:rFonts w:ascii="宋体" w:hAnsi="宋体" w:cs="宋体" w:eastAsia="宋体" w:hint="default"/>
                <w:sz w:val="18"/>
                <w:szCs w:val="18"/>
              </w:rPr>
              <w:t>郑州高新技 术产业开发 区财政国库 集中支付中 心</w:t>
            </w:r>
          </w:p>
        </w:tc>
        <w:tc>
          <w:tcPr>
            <w:tcW w:w="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0"/>
              <w:ind w:left="103" w:right="0"/>
              <w:jc w:val="left"/>
              <w:rPr>
                <w:rFonts w:ascii="宋体" w:hAnsi="宋体" w:cs="宋体" w:eastAsia="宋体" w:hint="default"/>
                <w:sz w:val="18"/>
                <w:szCs w:val="18"/>
              </w:rPr>
            </w:pPr>
            <w:r>
              <w:rPr>
                <w:rFonts w:ascii="宋体" w:hAnsi="宋体" w:cs="宋体" w:eastAsia="宋体" w:hint="default"/>
                <w:sz w:val="18"/>
                <w:szCs w:val="18"/>
              </w:rPr>
              <w:t>奖励</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3" w:right="103"/>
              <w:jc w:val="both"/>
              <w:rPr>
                <w:rFonts w:ascii="宋体" w:hAnsi="宋体" w:cs="宋体" w:eastAsia="宋体" w:hint="default"/>
                <w:sz w:val="18"/>
                <w:szCs w:val="18"/>
              </w:rPr>
            </w:pPr>
            <w:r>
              <w:rPr>
                <w:rFonts w:ascii="宋体" w:hAnsi="宋体" w:cs="宋体" w:eastAsia="宋体" w:hint="default"/>
                <w:spacing w:val="11"/>
                <w:sz w:val="18"/>
                <w:szCs w:val="18"/>
              </w:rPr>
              <w:t>因从事国家</w:t>
            </w:r>
            <w:r>
              <w:rPr>
                <w:rFonts w:ascii="宋体" w:hAnsi="宋体" w:cs="宋体" w:eastAsia="宋体" w:hint="default"/>
                <w:sz w:val="18"/>
                <w:szCs w:val="18"/>
              </w:rPr>
              <w:t> </w:t>
            </w:r>
            <w:r>
              <w:rPr>
                <w:rFonts w:ascii="宋体" w:hAnsi="宋体" w:cs="宋体" w:eastAsia="宋体" w:hint="default"/>
                <w:spacing w:val="11"/>
                <w:sz w:val="18"/>
                <w:szCs w:val="18"/>
              </w:rPr>
              <w:t>鼓励和扶持</w:t>
            </w:r>
            <w:r>
              <w:rPr>
                <w:rFonts w:ascii="宋体" w:hAnsi="宋体" w:cs="宋体" w:eastAsia="宋体" w:hint="default"/>
                <w:sz w:val="18"/>
                <w:szCs w:val="18"/>
              </w:rPr>
              <w:t> </w:t>
            </w:r>
            <w:r>
              <w:rPr>
                <w:rFonts w:ascii="宋体" w:hAnsi="宋体" w:cs="宋体" w:eastAsia="宋体" w:hint="default"/>
                <w:spacing w:val="11"/>
                <w:sz w:val="18"/>
                <w:szCs w:val="18"/>
              </w:rPr>
              <w:t>特定行业、</w:t>
            </w:r>
            <w:r>
              <w:rPr>
                <w:rFonts w:ascii="宋体" w:hAnsi="宋体" w:cs="宋体" w:eastAsia="宋体" w:hint="default"/>
                <w:sz w:val="18"/>
                <w:szCs w:val="18"/>
              </w:rPr>
              <w:t> </w:t>
            </w:r>
            <w:r>
              <w:rPr>
                <w:rFonts w:ascii="宋体" w:hAnsi="宋体" w:cs="宋体" w:eastAsia="宋体" w:hint="default"/>
                <w:spacing w:val="11"/>
                <w:sz w:val="18"/>
                <w:szCs w:val="18"/>
              </w:rPr>
              <w:t>产业而获得</w:t>
            </w:r>
            <w:r>
              <w:rPr>
                <w:rFonts w:ascii="宋体" w:hAnsi="宋体" w:cs="宋体" w:eastAsia="宋体" w:hint="default"/>
                <w:sz w:val="18"/>
                <w:szCs w:val="18"/>
              </w:rPr>
              <w:t> </w:t>
            </w:r>
            <w:r>
              <w:rPr>
                <w:rFonts w:ascii="宋体" w:hAnsi="宋体" w:cs="宋体" w:eastAsia="宋体" w:hint="default"/>
                <w:spacing w:val="11"/>
                <w:sz w:val="18"/>
                <w:szCs w:val="18"/>
              </w:rPr>
              <w:t>的补助（按</w:t>
            </w:r>
            <w:r>
              <w:rPr>
                <w:rFonts w:ascii="宋体" w:hAnsi="宋体" w:cs="宋体" w:eastAsia="宋体" w:hint="default"/>
                <w:sz w:val="18"/>
                <w:szCs w:val="18"/>
              </w:rPr>
              <w:t> </w:t>
            </w:r>
            <w:r>
              <w:rPr>
                <w:rFonts w:ascii="宋体" w:hAnsi="宋体" w:cs="宋体" w:eastAsia="宋体" w:hint="default"/>
                <w:spacing w:val="11"/>
                <w:sz w:val="18"/>
                <w:szCs w:val="18"/>
              </w:rPr>
              <w:t>国家级政策</w:t>
            </w:r>
            <w:r>
              <w:rPr>
                <w:rFonts w:ascii="宋体" w:hAnsi="宋体" w:cs="宋体" w:eastAsia="宋体" w:hint="default"/>
                <w:sz w:val="18"/>
                <w:szCs w:val="18"/>
              </w:rPr>
              <w:t> </w:t>
            </w:r>
            <w:r>
              <w:rPr>
                <w:rFonts w:ascii="宋体" w:hAnsi="宋体" w:cs="宋体" w:eastAsia="宋体" w:hint="default"/>
                <w:spacing w:val="11"/>
                <w:sz w:val="18"/>
                <w:szCs w:val="18"/>
              </w:rPr>
              <w:t>规定依法取</w:t>
            </w:r>
            <w:r>
              <w:rPr>
                <w:rFonts w:ascii="宋体" w:hAnsi="宋体" w:cs="宋体" w:eastAsia="宋体" w:hint="default"/>
                <w:sz w:val="18"/>
                <w:szCs w:val="18"/>
              </w:rPr>
              <w:t> 得）</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0"/>
              <w:ind w:left="10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0"/>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0"/>
              <w:ind w:right="99"/>
              <w:jc w:val="right"/>
              <w:rPr>
                <w:rFonts w:ascii="Times New Roman" w:hAnsi="Times New Roman" w:cs="Times New Roman" w:eastAsia="Times New Roman" w:hint="default"/>
                <w:sz w:val="18"/>
                <w:szCs w:val="18"/>
              </w:rPr>
            </w:pPr>
            <w:r>
              <w:rPr>
                <w:rFonts w:ascii="Times New Roman"/>
                <w:sz w:val="18"/>
              </w:rPr>
              <w:t>120,000.00</w:t>
            </w:r>
          </w:p>
        </w:tc>
        <w:tc>
          <w:tcPr>
            <w:tcW w:w="1162" w:type="dxa"/>
            <w:tcBorders>
              <w:top w:val="single" w:sz="4" w:space="0" w:color="000000"/>
              <w:left w:val="single" w:sz="4" w:space="0" w:color="000000"/>
              <w:bottom w:val="single" w:sz="4" w:space="0" w:color="000000"/>
              <w:right w:val="single" w:sz="4" w:space="0" w:color="000000"/>
            </w:tcBorders>
          </w:tcPr>
          <w:p>
            <w:pPr/>
          </w:p>
        </w:tc>
        <w:tc>
          <w:tcPr>
            <w:tcW w:w="1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0"/>
              <w:ind w:right="68"/>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2586" w:hRule="exact"/>
        </w:trPr>
        <w:tc>
          <w:tcPr>
            <w:tcW w:w="12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8"/>
                <w:szCs w:val="18"/>
              </w:rPr>
            </w:pPr>
          </w:p>
          <w:p>
            <w:pPr>
              <w:pStyle w:val="TableParagraph"/>
              <w:spacing w:line="314" w:lineRule="auto"/>
              <w:ind w:left="103" w:right="119"/>
              <w:jc w:val="left"/>
              <w:rPr>
                <w:rFonts w:ascii="宋体" w:hAnsi="宋体" w:cs="宋体" w:eastAsia="宋体" w:hint="default"/>
                <w:sz w:val="18"/>
                <w:szCs w:val="18"/>
              </w:rPr>
            </w:pPr>
            <w:r>
              <w:rPr>
                <w:rFonts w:ascii="宋体" w:hAnsi="宋体" w:cs="宋体" w:eastAsia="宋体" w:hint="default"/>
                <w:sz w:val="18"/>
                <w:szCs w:val="18"/>
              </w:rPr>
              <w:t>郑州高新技 术产业开发 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市科 技服务后补 助大型仪器 设施共享使 用奖励</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22"/>
                <w:szCs w:val="22"/>
              </w:rPr>
            </w:pPr>
          </w:p>
          <w:p>
            <w:pPr>
              <w:pStyle w:val="TableParagraph"/>
              <w:spacing w:line="316" w:lineRule="auto"/>
              <w:ind w:left="103" w:right="119"/>
              <w:jc w:val="both"/>
              <w:rPr>
                <w:rFonts w:ascii="宋体" w:hAnsi="宋体" w:cs="宋体" w:eastAsia="宋体" w:hint="default"/>
                <w:sz w:val="18"/>
                <w:szCs w:val="18"/>
              </w:rPr>
            </w:pPr>
            <w:r>
              <w:rPr>
                <w:rFonts w:ascii="宋体" w:hAnsi="宋体" w:cs="宋体" w:eastAsia="宋体" w:hint="default"/>
                <w:sz w:val="18"/>
                <w:szCs w:val="18"/>
              </w:rPr>
              <w:t>郑州高新技 术产业开发 区管委会财 政金融局</w:t>
            </w:r>
          </w:p>
        </w:tc>
        <w:tc>
          <w:tcPr>
            <w:tcW w:w="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9"/>
              <w:ind w:left="103" w:right="0"/>
              <w:jc w:val="left"/>
              <w:rPr>
                <w:rFonts w:ascii="宋体" w:hAnsi="宋体" w:cs="宋体" w:eastAsia="宋体" w:hint="default"/>
                <w:sz w:val="18"/>
                <w:szCs w:val="18"/>
              </w:rPr>
            </w:pPr>
            <w:r>
              <w:rPr>
                <w:rFonts w:ascii="宋体" w:hAnsi="宋体" w:cs="宋体" w:eastAsia="宋体" w:hint="default"/>
                <w:sz w:val="18"/>
                <w:szCs w:val="18"/>
              </w:rPr>
              <w:t>奖励</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3" w:right="103"/>
              <w:jc w:val="both"/>
              <w:rPr>
                <w:rFonts w:ascii="宋体" w:hAnsi="宋体" w:cs="宋体" w:eastAsia="宋体" w:hint="default"/>
                <w:sz w:val="18"/>
                <w:szCs w:val="18"/>
              </w:rPr>
            </w:pPr>
            <w:r>
              <w:rPr>
                <w:rFonts w:ascii="宋体" w:hAnsi="宋体" w:cs="宋体" w:eastAsia="宋体" w:hint="default"/>
                <w:spacing w:val="11"/>
                <w:sz w:val="18"/>
                <w:szCs w:val="18"/>
              </w:rPr>
              <w:t>因从事国家</w:t>
            </w:r>
            <w:r>
              <w:rPr>
                <w:rFonts w:ascii="宋体" w:hAnsi="宋体" w:cs="宋体" w:eastAsia="宋体" w:hint="default"/>
                <w:sz w:val="18"/>
                <w:szCs w:val="18"/>
              </w:rPr>
              <w:t> </w:t>
            </w:r>
            <w:r>
              <w:rPr>
                <w:rFonts w:ascii="宋体" w:hAnsi="宋体" w:cs="宋体" w:eastAsia="宋体" w:hint="default"/>
                <w:spacing w:val="11"/>
                <w:sz w:val="18"/>
                <w:szCs w:val="18"/>
              </w:rPr>
              <w:t>鼓励和扶持</w:t>
            </w:r>
            <w:r>
              <w:rPr>
                <w:rFonts w:ascii="宋体" w:hAnsi="宋体" w:cs="宋体" w:eastAsia="宋体" w:hint="default"/>
                <w:sz w:val="18"/>
                <w:szCs w:val="18"/>
              </w:rPr>
              <w:t> </w:t>
            </w:r>
            <w:r>
              <w:rPr>
                <w:rFonts w:ascii="宋体" w:hAnsi="宋体" w:cs="宋体" w:eastAsia="宋体" w:hint="default"/>
                <w:spacing w:val="11"/>
                <w:sz w:val="18"/>
                <w:szCs w:val="18"/>
              </w:rPr>
              <w:t>特定行业、</w:t>
            </w:r>
            <w:r>
              <w:rPr>
                <w:rFonts w:ascii="宋体" w:hAnsi="宋体" w:cs="宋体" w:eastAsia="宋体" w:hint="default"/>
                <w:sz w:val="18"/>
                <w:szCs w:val="18"/>
              </w:rPr>
              <w:t> </w:t>
            </w:r>
            <w:r>
              <w:rPr>
                <w:rFonts w:ascii="宋体" w:hAnsi="宋体" w:cs="宋体" w:eastAsia="宋体" w:hint="default"/>
                <w:spacing w:val="11"/>
                <w:sz w:val="18"/>
                <w:szCs w:val="18"/>
              </w:rPr>
              <w:t>产业而获得</w:t>
            </w:r>
            <w:r>
              <w:rPr>
                <w:rFonts w:ascii="宋体" w:hAnsi="宋体" w:cs="宋体" w:eastAsia="宋体" w:hint="default"/>
                <w:sz w:val="18"/>
                <w:szCs w:val="18"/>
              </w:rPr>
              <w:t> </w:t>
            </w:r>
            <w:r>
              <w:rPr>
                <w:rFonts w:ascii="宋体" w:hAnsi="宋体" w:cs="宋体" w:eastAsia="宋体" w:hint="default"/>
                <w:spacing w:val="11"/>
                <w:sz w:val="18"/>
                <w:szCs w:val="18"/>
              </w:rPr>
              <w:t>的补助（按</w:t>
            </w:r>
            <w:r>
              <w:rPr>
                <w:rFonts w:ascii="宋体" w:hAnsi="宋体" w:cs="宋体" w:eastAsia="宋体" w:hint="default"/>
                <w:sz w:val="18"/>
                <w:szCs w:val="18"/>
              </w:rPr>
              <w:t> </w:t>
            </w:r>
            <w:r>
              <w:rPr>
                <w:rFonts w:ascii="宋体" w:hAnsi="宋体" w:cs="宋体" w:eastAsia="宋体" w:hint="default"/>
                <w:spacing w:val="11"/>
                <w:sz w:val="18"/>
                <w:szCs w:val="18"/>
              </w:rPr>
              <w:t>国家级政策</w:t>
            </w:r>
            <w:r>
              <w:rPr>
                <w:rFonts w:ascii="宋体" w:hAnsi="宋体" w:cs="宋体" w:eastAsia="宋体" w:hint="default"/>
                <w:sz w:val="18"/>
                <w:szCs w:val="18"/>
              </w:rPr>
              <w:t> </w:t>
            </w:r>
            <w:r>
              <w:rPr>
                <w:rFonts w:ascii="宋体" w:hAnsi="宋体" w:cs="宋体" w:eastAsia="宋体" w:hint="default"/>
                <w:spacing w:val="11"/>
                <w:sz w:val="18"/>
                <w:szCs w:val="18"/>
              </w:rPr>
              <w:t>规定依法取</w:t>
            </w:r>
            <w:r>
              <w:rPr>
                <w:rFonts w:ascii="宋体" w:hAnsi="宋体" w:cs="宋体" w:eastAsia="宋体" w:hint="default"/>
                <w:sz w:val="18"/>
                <w:szCs w:val="18"/>
              </w:rPr>
              <w:t> 得）</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9"/>
              <w:ind w:left="10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9"/>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9"/>
              <w:ind w:right="99"/>
              <w:jc w:val="right"/>
              <w:rPr>
                <w:rFonts w:ascii="Times New Roman" w:hAnsi="Times New Roman" w:cs="Times New Roman" w:eastAsia="Times New Roman" w:hint="default"/>
                <w:sz w:val="18"/>
                <w:szCs w:val="18"/>
              </w:rPr>
            </w:pPr>
            <w:r>
              <w:rPr>
                <w:rFonts w:ascii="Times New Roman"/>
                <w:sz w:val="18"/>
              </w:rPr>
              <w:t>129,100.00</w:t>
            </w:r>
          </w:p>
        </w:tc>
        <w:tc>
          <w:tcPr>
            <w:tcW w:w="1162" w:type="dxa"/>
            <w:tcBorders>
              <w:top w:val="single" w:sz="4" w:space="0" w:color="000000"/>
              <w:left w:val="single" w:sz="4" w:space="0" w:color="000000"/>
              <w:bottom w:val="single" w:sz="4" w:space="0" w:color="000000"/>
              <w:right w:val="single" w:sz="4" w:space="0" w:color="000000"/>
            </w:tcBorders>
          </w:tcPr>
          <w:p>
            <w:pPr/>
          </w:p>
        </w:tc>
        <w:tc>
          <w:tcPr>
            <w:tcW w:w="1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9"/>
              <w:ind w:right="68"/>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2588" w:hRule="exact"/>
        </w:trPr>
        <w:tc>
          <w:tcPr>
            <w:tcW w:w="12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7"/>
              <w:ind w:left="103" w:right="208"/>
              <w:jc w:val="both"/>
              <w:rPr>
                <w:rFonts w:ascii="宋体" w:hAnsi="宋体" w:cs="宋体" w:eastAsia="宋体" w:hint="default"/>
                <w:sz w:val="18"/>
                <w:szCs w:val="18"/>
              </w:rPr>
            </w:pPr>
            <w:r>
              <w:rPr>
                <w:rFonts w:ascii="宋体" w:hAnsi="宋体" w:cs="宋体" w:eastAsia="宋体" w:hint="default"/>
                <w:sz w:val="18"/>
                <w:szCs w:val="18"/>
              </w:rPr>
              <w:t>郑州高新技 术产业开发 区管理委员 会财政局中 小企业发展 专项奖励</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06"/>
              <w:ind w:left="103" w:right="119"/>
              <w:jc w:val="both"/>
              <w:rPr>
                <w:rFonts w:ascii="宋体" w:hAnsi="宋体" w:cs="宋体" w:eastAsia="宋体" w:hint="default"/>
                <w:sz w:val="18"/>
                <w:szCs w:val="18"/>
              </w:rPr>
            </w:pPr>
            <w:r>
              <w:rPr>
                <w:rFonts w:ascii="宋体" w:hAnsi="宋体" w:cs="宋体" w:eastAsia="宋体" w:hint="default"/>
                <w:sz w:val="18"/>
                <w:szCs w:val="18"/>
              </w:rPr>
              <w:t>郑州高新技 术产业开发 区财政国库 集中支付中 心</w:t>
            </w:r>
          </w:p>
        </w:tc>
        <w:tc>
          <w:tcPr>
            <w:tcW w:w="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0"/>
              <w:ind w:left="103" w:right="0"/>
              <w:jc w:val="left"/>
              <w:rPr>
                <w:rFonts w:ascii="宋体" w:hAnsi="宋体" w:cs="宋体" w:eastAsia="宋体" w:hint="default"/>
                <w:sz w:val="18"/>
                <w:szCs w:val="18"/>
              </w:rPr>
            </w:pPr>
            <w:r>
              <w:rPr>
                <w:rFonts w:ascii="宋体" w:hAnsi="宋体" w:cs="宋体" w:eastAsia="宋体" w:hint="default"/>
                <w:sz w:val="18"/>
                <w:szCs w:val="18"/>
              </w:rPr>
              <w:t>奖励</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3" w:right="103"/>
              <w:jc w:val="both"/>
              <w:rPr>
                <w:rFonts w:ascii="宋体" w:hAnsi="宋体" w:cs="宋体" w:eastAsia="宋体" w:hint="default"/>
                <w:sz w:val="18"/>
                <w:szCs w:val="18"/>
              </w:rPr>
            </w:pPr>
            <w:r>
              <w:rPr>
                <w:rFonts w:ascii="宋体" w:hAnsi="宋体" w:cs="宋体" w:eastAsia="宋体" w:hint="default"/>
                <w:spacing w:val="11"/>
                <w:sz w:val="18"/>
                <w:szCs w:val="18"/>
              </w:rPr>
              <w:t>因从事国家</w:t>
            </w:r>
            <w:r>
              <w:rPr>
                <w:rFonts w:ascii="宋体" w:hAnsi="宋体" w:cs="宋体" w:eastAsia="宋体" w:hint="default"/>
                <w:sz w:val="18"/>
                <w:szCs w:val="18"/>
              </w:rPr>
              <w:t> </w:t>
            </w:r>
            <w:r>
              <w:rPr>
                <w:rFonts w:ascii="宋体" w:hAnsi="宋体" w:cs="宋体" w:eastAsia="宋体" w:hint="default"/>
                <w:spacing w:val="11"/>
                <w:sz w:val="18"/>
                <w:szCs w:val="18"/>
              </w:rPr>
              <w:t>鼓励和扶持</w:t>
            </w:r>
            <w:r>
              <w:rPr>
                <w:rFonts w:ascii="宋体" w:hAnsi="宋体" w:cs="宋体" w:eastAsia="宋体" w:hint="default"/>
                <w:sz w:val="18"/>
                <w:szCs w:val="18"/>
              </w:rPr>
              <w:t> </w:t>
            </w:r>
            <w:r>
              <w:rPr>
                <w:rFonts w:ascii="宋体" w:hAnsi="宋体" w:cs="宋体" w:eastAsia="宋体" w:hint="default"/>
                <w:spacing w:val="11"/>
                <w:sz w:val="18"/>
                <w:szCs w:val="18"/>
              </w:rPr>
              <w:t>特定行业、</w:t>
            </w:r>
            <w:r>
              <w:rPr>
                <w:rFonts w:ascii="宋体" w:hAnsi="宋体" w:cs="宋体" w:eastAsia="宋体" w:hint="default"/>
                <w:sz w:val="18"/>
                <w:szCs w:val="18"/>
              </w:rPr>
              <w:t> </w:t>
            </w:r>
            <w:r>
              <w:rPr>
                <w:rFonts w:ascii="宋体" w:hAnsi="宋体" w:cs="宋体" w:eastAsia="宋体" w:hint="default"/>
                <w:spacing w:val="11"/>
                <w:sz w:val="18"/>
                <w:szCs w:val="18"/>
              </w:rPr>
              <w:t>产业而获得</w:t>
            </w:r>
            <w:r>
              <w:rPr>
                <w:rFonts w:ascii="宋体" w:hAnsi="宋体" w:cs="宋体" w:eastAsia="宋体" w:hint="default"/>
                <w:sz w:val="18"/>
                <w:szCs w:val="18"/>
              </w:rPr>
              <w:t> </w:t>
            </w:r>
            <w:r>
              <w:rPr>
                <w:rFonts w:ascii="宋体" w:hAnsi="宋体" w:cs="宋体" w:eastAsia="宋体" w:hint="default"/>
                <w:spacing w:val="11"/>
                <w:sz w:val="18"/>
                <w:szCs w:val="18"/>
              </w:rPr>
              <w:t>的补助（按</w:t>
            </w:r>
            <w:r>
              <w:rPr>
                <w:rFonts w:ascii="宋体" w:hAnsi="宋体" w:cs="宋体" w:eastAsia="宋体" w:hint="default"/>
                <w:sz w:val="18"/>
                <w:szCs w:val="18"/>
              </w:rPr>
              <w:t> </w:t>
            </w:r>
            <w:r>
              <w:rPr>
                <w:rFonts w:ascii="宋体" w:hAnsi="宋体" w:cs="宋体" w:eastAsia="宋体" w:hint="default"/>
                <w:spacing w:val="11"/>
                <w:sz w:val="18"/>
                <w:szCs w:val="18"/>
              </w:rPr>
              <w:t>国家级政策</w:t>
            </w:r>
            <w:r>
              <w:rPr>
                <w:rFonts w:ascii="宋体" w:hAnsi="宋体" w:cs="宋体" w:eastAsia="宋体" w:hint="default"/>
                <w:sz w:val="18"/>
                <w:szCs w:val="18"/>
              </w:rPr>
              <w:t> </w:t>
            </w:r>
            <w:r>
              <w:rPr>
                <w:rFonts w:ascii="宋体" w:hAnsi="宋体" w:cs="宋体" w:eastAsia="宋体" w:hint="default"/>
                <w:spacing w:val="11"/>
                <w:sz w:val="18"/>
                <w:szCs w:val="18"/>
              </w:rPr>
              <w:t>规定依法取</w:t>
            </w:r>
            <w:r>
              <w:rPr>
                <w:rFonts w:ascii="宋体" w:hAnsi="宋体" w:cs="宋体" w:eastAsia="宋体" w:hint="default"/>
                <w:sz w:val="18"/>
                <w:szCs w:val="18"/>
              </w:rPr>
              <w:t> 得）</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0"/>
              <w:ind w:left="10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0"/>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0"/>
              <w:ind w:right="99"/>
              <w:jc w:val="right"/>
              <w:rPr>
                <w:rFonts w:ascii="Times New Roman" w:hAnsi="Times New Roman" w:cs="Times New Roman" w:eastAsia="Times New Roman" w:hint="default"/>
                <w:sz w:val="18"/>
                <w:szCs w:val="18"/>
              </w:rPr>
            </w:pPr>
            <w:r>
              <w:rPr>
                <w:rFonts w:ascii="Times New Roman"/>
                <w:sz w:val="18"/>
              </w:rPr>
              <w:t>300,000.00</w:t>
            </w:r>
          </w:p>
        </w:tc>
        <w:tc>
          <w:tcPr>
            <w:tcW w:w="1162" w:type="dxa"/>
            <w:tcBorders>
              <w:top w:val="single" w:sz="4" w:space="0" w:color="000000"/>
              <w:left w:val="single" w:sz="4" w:space="0" w:color="000000"/>
              <w:bottom w:val="single" w:sz="4" w:space="0" w:color="000000"/>
              <w:right w:val="single" w:sz="4" w:space="0" w:color="000000"/>
            </w:tcBorders>
          </w:tcPr>
          <w:p>
            <w:pPr/>
          </w:p>
        </w:tc>
        <w:tc>
          <w:tcPr>
            <w:tcW w:w="1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0"/>
              <w:ind w:right="68"/>
              <w:jc w:val="center"/>
              <w:rPr>
                <w:rFonts w:ascii="宋体" w:hAnsi="宋体" w:cs="宋体" w:eastAsia="宋体" w:hint="default"/>
                <w:sz w:val="18"/>
                <w:szCs w:val="18"/>
              </w:rPr>
            </w:pPr>
            <w:r>
              <w:rPr>
                <w:rFonts w:ascii="宋体" w:hAnsi="宋体" w:cs="宋体" w:eastAsia="宋体" w:hint="default"/>
                <w:sz w:val="18"/>
                <w:szCs w:val="18"/>
              </w:rPr>
              <w:t>与收益相关</w:t>
            </w:r>
          </w:p>
        </w:tc>
      </w:tr>
    </w:tbl>
    <w:p>
      <w:pPr>
        <w:spacing w:after="0" w:line="240" w:lineRule="auto"/>
        <w:jc w:val="center"/>
        <w:rPr>
          <w:rFonts w:ascii="宋体" w:hAnsi="宋体" w:cs="宋体" w:eastAsia="宋体" w:hint="default"/>
          <w:sz w:val="18"/>
          <w:szCs w:val="18"/>
        </w:rPr>
        <w:sectPr>
          <w:pgSz w:w="11910" w:h="16840"/>
          <w:pgMar w:header="877" w:footer="979" w:top="1060" w:bottom="1160" w:left="8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18" w:type="dxa"/>
        <w:tblLayout w:type="fixed"/>
        <w:tblCellMar>
          <w:top w:w="0" w:type="dxa"/>
          <w:left w:w="0" w:type="dxa"/>
          <w:bottom w:w="0" w:type="dxa"/>
          <w:right w:w="0" w:type="dxa"/>
        </w:tblCellMar>
        <w:tblLook w:val="01E0"/>
      </w:tblPr>
      <w:tblGrid>
        <w:gridCol w:w="1223"/>
        <w:gridCol w:w="1134"/>
        <w:gridCol w:w="808"/>
        <w:gridCol w:w="1176"/>
        <w:gridCol w:w="1134"/>
        <w:gridCol w:w="916"/>
        <w:gridCol w:w="1161"/>
        <w:gridCol w:w="1162"/>
        <w:gridCol w:w="1187"/>
      </w:tblGrid>
      <w:tr>
        <w:trPr>
          <w:trHeight w:val="2586" w:hRule="exact"/>
        </w:trPr>
        <w:tc>
          <w:tcPr>
            <w:tcW w:w="12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312" w:lineRule="auto"/>
              <w:ind w:left="103" w:right="165"/>
              <w:jc w:val="left"/>
              <w:rPr>
                <w:rFonts w:ascii="宋体" w:hAnsi="宋体" w:cs="宋体" w:eastAsia="宋体" w:hint="default"/>
                <w:sz w:val="18"/>
                <w:szCs w:val="18"/>
              </w:rPr>
            </w:pPr>
            <w:r>
              <w:rPr>
                <w:rFonts w:ascii="宋体" w:hAnsi="宋体" w:cs="宋体" w:eastAsia="宋体" w:hint="default"/>
                <w:sz w:val="18"/>
                <w:szCs w:val="18"/>
              </w:rPr>
              <w:t>郑州高新区 管委会付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年高成 长奖励</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05"/>
              <w:ind w:left="103" w:right="119"/>
              <w:jc w:val="both"/>
              <w:rPr>
                <w:rFonts w:ascii="宋体" w:hAnsi="宋体" w:cs="宋体" w:eastAsia="宋体" w:hint="default"/>
                <w:sz w:val="18"/>
                <w:szCs w:val="18"/>
              </w:rPr>
            </w:pPr>
            <w:r>
              <w:rPr>
                <w:rFonts w:ascii="宋体" w:hAnsi="宋体" w:cs="宋体" w:eastAsia="宋体" w:hint="default"/>
                <w:sz w:val="18"/>
                <w:szCs w:val="18"/>
              </w:rPr>
              <w:t>郑州高新技 术产业开发 区财政国库 集中支付中 心</w:t>
            </w:r>
          </w:p>
        </w:tc>
        <w:tc>
          <w:tcPr>
            <w:tcW w:w="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103" w:right="0"/>
              <w:jc w:val="left"/>
              <w:rPr>
                <w:rFonts w:ascii="宋体" w:hAnsi="宋体" w:cs="宋体" w:eastAsia="宋体" w:hint="default"/>
                <w:sz w:val="18"/>
                <w:szCs w:val="18"/>
              </w:rPr>
            </w:pPr>
            <w:r>
              <w:rPr>
                <w:rFonts w:ascii="宋体" w:hAnsi="宋体" w:cs="宋体" w:eastAsia="宋体" w:hint="default"/>
                <w:sz w:val="18"/>
                <w:szCs w:val="18"/>
              </w:rPr>
              <w:t>奖励</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103"/>
              <w:jc w:val="both"/>
              <w:rPr>
                <w:rFonts w:ascii="宋体" w:hAnsi="宋体" w:cs="宋体" w:eastAsia="宋体" w:hint="default"/>
                <w:sz w:val="18"/>
                <w:szCs w:val="18"/>
              </w:rPr>
            </w:pPr>
            <w:r>
              <w:rPr>
                <w:rFonts w:ascii="宋体" w:hAnsi="宋体" w:cs="宋体" w:eastAsia="宋体" w:hint="default"/>
                <w:spacing w:val="11"/>
                <w:sz w:val="18"/>
                <w:szCs w:val="18"/>
              </w:rPr>
              <w:t>因从事国家</w:t>
            </w:r>
            <w:r>
              <w:rPr>
                <w:rFonts w:ascii="宋体" w:hAnsi="宋体" w:cs="宋体" w:eastAsia="宋体" w:hint="default"/>
                <w:sz w:val="18"/>
                <w:szCs w:val="18"/>
              </w:rPr>
              <w:t> </w:t>
            </w:r>
            <w:r>
              <w:rPr>
                <w:rFonts w:ascii="宋体" w:hAnsi="宋体" w:cs="宋体" w:eastAsia="宋体" w:hint="default"/>
                <w:spacing w:val="11"/>
                <w:sz w:val="18"/>
                <w:szCs w:val="18"/>
              </w:rPr>
              <w:t>鼓励和扶持</w:t>
            </w:r>
            <w:r>
              <w:rPr>
                <w:rFonts w:ascii="宋体" w:hAnsi="宋体" w:cs="宋体" w:eastAsia="宋体" w:hint="default"/>
                <w:sz w:val="18"/>
                <w:szCs w:val="18"/>
              </w:rPr>
              <w:t> </w:t>
            </w:r>
            <w:r>
              <w:rPr>
                <w:rFonts w:ascii="宋体" w:hAnsi="宋体" w:cs="宋体" w:eastAsia="宋体" w:hint="default"/>
                <w:spacing w:val="11"/>
                <w:sz w:val="18"/>
                <w:szCs w:val="18"/>
              </w:rPr>
              <w:t>特定行业、</w:t>
            </w:r>
            <w:r>
              <w:rPr>
                <w:rFonts w:ascii="宋体" w:hAnsi="宋体" w:cs="宋体" w:eastAsia="宋体" w:hint="default"/>
                <w:sz w:val="18"/>
                <w:szCs w:val="18"/>
              </w:rPr>
              <w:t> </w:t>
            </w:r>
            <w:r>
              <w:rPr>
                <w:rFonts w:ascii="宋体" w:hAnsi="宋体" w:cs="宋体" w:eastAsia="宋体" w:hint="default"/>
                <w:spacing w:val="11"/>
                <w:sz w:val="18"/>
                <w:szCs w:val="18"/>
              </w:rPr>
              <w:t>产业而获得</w:t>
            </w:r>
            <w:r>
              <w:rPr>
                <w:rFonts w:ascii="宋体" w:hAnsi="宋体" w:cs="宋体" w:eastAsia="宋体" w:hint="default"/>
                <w:sz w:val="18"/>
                <w:szCs w:val="18"/>
              </w:rPr>
              <w:t> </w:t>
            </w:r>
            <w:r>
              <w:rPr>
                <w:rFonts w:ascii="宋体" w:hAnsi="宋体" w:cs="宋体" w:eastAsia="宋体" w:hint="default"/>
                <w:spacing w:val="11"/>
                <w:sz w:val="18"/>
                <w:szCs w:val="18"/>
              </w:rPr>
              <w:t>的补助（按</w:t>
            </w:r>
            <w:r>
              <w:rPr>
                <w:rFonts w:ascii="宋体" w:hAnsi="宋体" w:cs="宋体" w:eastAsia="宋体" w:hint="default"/>
                <w:sz w:val="18"/>
                <w:szCs w:val="18"/>
              </w:rPr>
              <w:t> </w:t>
            </w:r>
            <w:r>
              <w:rPr>
                <w:rFonts w:ascii="宋体" w:hAnsi="宋体" w:cs="宋体" w:eastAsia="宋体" w:hint="default"/>
                <w:spacing w:val="11"/>
                <w:sz w:val="18"/>
                <w:szCs w:val="18"/>
              </w:rPr>
              <w:t>国家级政策</w:t>
            </w:r>
            <w:r>
              <w:rPr>
                <w:rFonts w:ascii="宋体" w:hAnsi="宋体" w:cs="宋体" w:eastAsia="宋体" w:hint="default"/>
                <w:sz w:val="18"/>
                <w:szCs w:val="18"/>
              </w:rPr>
              <w:t> </w:t>
            </w:r>
            <w:r>
              <w:rPr>
                <w:rFonts w:ascii="宋体" w:hAnsi="宋体" w:cs="宋体" w:eastAsia="宋体" w:hint="default"/>
                <w:spacing w:val="11"/>
                <w:sz w:val="18"/>
                <w:szCs w:val="18"/>
              </w:rPr>
              <w:t>规定依法取</w:t>
            </w:r>
            <w:r>
              <w:rPr>
                <w:rFonts w:ascii="宋体" w:hAnsi="宋体" w:cs="宋体" w:eastAsia="宋体" w:hint="default"/>
                <w:sz w:val="18"/>
                <w:szCs w:val="18"/>
              </w:rPr>
              <w:t> 得）</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10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8"/>
              <w:ind w:right="99"/>
              <w:jc w:val="right"/>
              <w:rPr>
                <w:rFonts w:ascii="Times New Roman" w:hAnsi="Times New Roman" w:cs="Times New Roman" w:eastAsia="Times New Roman" w:hint="default"/>
                <w:sz w:val="18"/>
                <w:szCs w:val="18"/>
              </w:rPr>
            </w:pPr>
            <w:r>
              <w:rPr>
                <w:rFonts w:ascii="Times New Roman"/>
                <w:sz w:val="18"/>
              </w:rPr>
              <w:t>400,000.00</w:t>
            </w:r>
          </w:p>
        </w:tc>
        <w:tc>
          <w:tcPr>
            <w:tcW w:w="1162" w:type="dxa"/>
            <w:tcBorders>
              <w:top w:val="single" w:sz="4" w:space="0" w:color="000000"/>
              <w:left w:val="single" w:sz="4" w:space="0" w:color="000000"/>
              <w:bottom w:val="single" w:sz="4" w:space="0" w:color="000000"/>
              <w:right w:val="single" w:sz="4" w:space="0" w:color="000000"/>
            </w:tcBorders>
          </w:tcPr>
          <w:p>
            <w:pPr/>
          </w:p>
        </w:tc>
        <w:tc>
          <w:tcPr>
            <w:tcW w:w="1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right="173"/>
              <w:jc w:val="righ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2586" w:hRule="exact"/>
        </w:trPr>
        <w:tc>
          <w:tcPr>
            <w:tcW w:w="12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59"/>
              <w:ind w:left="103" w:right="208"/>
              <w:jc w:val="left"/>
              <w:rPr>
                <w:rFonts w:ascii="宋体" w:hAnsi="宋体" w:cs="宋体" w:eastAsia="宋体" w:hint="default"/>
                <w:sz w:val="18"/>
                <w:szCs w:val="18"/>
              </w:rPr>
            </w:pPr>
            <w:r>
              <w:rPr>
                <w:rFonts w:ascii="宋体" w:hAnsi="宋体" w:cs="宋体" w:eastAsia="宋体" w:hint="default"/>
                <w:sz w:val="18"/>
                <w:szCs w:val="18"/>
              </w:rPr>
              <w:t>社区财政高 新奖励</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59"/>
              <w:ind w:left="103" w:right="119"/>
              <w:jc w:val="left"/>
              <w:rPr>
                <w:rFonts w:ascii="宋体" w:hAnsi="宋体" w:cs="宋体" w:eastAsia="宋体" w:hint="default"/>
                <w:sz w:val="18"/>
                <w:szCs w:val="18"/>
              </w:rPr>
            </w:pPr>
            <w:r>
              <w:rPr>
                <w:rFonts w:ascii="宋体" w:hAnsi="宋体" w:cs="宋体" w:eastAsia="宋体" w:hint="default"/>
                <w:sz w:val="18"/>
                <w:szCs w:val="18"/>
              </w:rPr>
              <w:t>上海市长宁 区财政局</w:t>
            </w:r>
          </w:p>
        </w:tc>
        <w:tc>
          <w:tcPr>
            <w:tcW w:w="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103" w:right="0"/>
              <w:jc w:val="left"/>
              <w:rPr>
                <w:rFonts w:ascii="宋体" w:hAnsi="宋体" w:cs="宋体" w:eastAsia="宋体" w:hint="default"/>
                <w:sz w:val="18"/>
                <w:szCs w:val="18"/>
              </w:rPr>
            </w:pPr>
            <w:r>
              <w:rPr>
                <w:rFonts w:ascii="宋体" w:hAnsi="宋体" w:cs="宋体" w:eastAsia="宋体" w:hint="default"/>
                <w:sz w:val="18"/>
                <w:szCs w:val="18"/>
              </w:rPr>
              <w:t>奖励</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103"/>
              <w:jc w:val="both"/>
              <w:rPr>
                <w:rFonts w:ascii="宋体" w:hAnsi="宋体" w:cs="宋体" w:eastAsia="宋体" w:hint="default"/>
                <w:sz w:val="18"/>
                <w:szCs w:val="18"/>
              </w:rPr>
            </w:pPr>
            <w:r>
              <w:rPr>
                <w:rFonts w:ascii="宋体" w:hAnsi="宋体" w:cs="宋体" w:eastAsia="宋体" w:hint="default"/>
                <w:spacing w:val="11"/>
                <w:sz w:val="18"/>
                <w:szCs w:val="18"/>
              </w:rPr>
              <w:t>因从事国家</w:t>
            </w:r>
            <w:r>
              <w:rPr>
                <w:rFonts w:ascii="宋体" w:hAnsi="宋体" w:cs="宋体" w:eastAsia="宋体" w:hint="default"/>
                <w:sz w:val="18"/>
                <w:szCs w:val="18"/>
              </w:rPr>
              <w:t> </w:t>
            </w:r>
            <w:r>
              <w:rPr>
                <w:rFonts w:ascii="宋体" w:hAnsi="宋体" w:cs="宋体" w:eastAsia="宋体" w:hint="default"/>
                <w:spacing w:val="11"/>
                <w:sz w:val="18"/>
                <w:szCs w:val="18"/>
              </w:rPr>
              <w:t>鼓励和扶持</w:t>
            </w:r>
            <w:r>
              <w:rPr>
                <w:rFonts w:ascii="宋体" w:hAnsi="宋体" w:cs="宋体" w:eastAsia="宋体" w:hint="default"/>
                <w:sz w:val="18"/>
                <w:szCs w:val="18"/>
              </w:rPr>
              <w:t> </w:t>
            </w:r>
            <w:r>
              <w:rPr>
                <w:rFonts w:ascii="宋体" w:hAnsi="宋体" w:cs="宋体" w:eastAsia="宋体" w:hint="default"/>
                <w:spacing w:val="11"/>
                <w:sz w:val="18"/>
                <w:szCs w:val="18"/>
              </w:rPr>
              <w:t>特定行业、</w:t>
            </w:r>
            <w:r>
              <w:rPr>
                <w:rFonts w:ascii="宋体" w:hAnsi="宋体" w:cs="宋体" w:eastAsia="宋体" w:hint="default"/>
                <w:sz w:val="18"/>
                <w:szCs w:val="18"/>
              </w:rPr>
              <w:t> </w:t>
            </w:r>
            <w:r>
              <w:rPr>
                <w:rFonts w:ascii="宋体" w:hAnsi="宋体" w:cs="宋体" w:eastAsia="宋体" w:hint="default"/>
                <w:spacing w:val="11"/>
                <w:sz w:val="18"/>
                <w:szCs w:val="18"/>
              </w:rPr>
              <w:t>产业而获得</w:t>
            </w:r>
            <w:r>
              <w:rPr>
                <w:rFonts w:ascii="宋体" w:hAnsi="宋体" w:cs="宋体" w:eastAsia="宋体" w:hint="default"/>
                <w:sz w:val="18"/>
                <w:szCs w:val="18"/>
              </w:rPr>
              <w:t> </w:t>
            </w:r>
            <w:r>
              <w:rPr>
                <w:rFonts w:ascii="宋体" w:hAnsi="宋体" w:cs="宋体" w:eastAsia="宋体" w:hint="default"/>
                <w:spacing w:val="11"/>
                <w:sz w:val="18"/>
                <w:szCs w:val="18"/>
              </w:rPr>
              <w:t>的补助（按</w:t>
            </w:r>
            <w:r>
              <w:rPr>
                <w:rFonts w:ascii="宋体" w:hAnsi="宋体" w:cs="宋体" w:eastAsia="宋体" w:hint="default"/>
                <w:sz w:val="18"/>
                <w:szCs w:val="18"/>
              </w:rPr>
              <w:t> </w:t>
            </w:r>
            <w:r>
              <w:rPr>
                <w:rFonts w:ascii="宋体" w:hAnsi="宋体" w:cs="宋体" w:eastAsia="宋体" w:hint="default"/>
                <w:spacing w:val="11"/>
                <w:sz w:val="18"/>
                <w:szCs w:val="18"/>
              </w:rPr>
              <w:t>国家级政策</w:t>
            </w:r>
            <w:r>
              <w:rPr>
                <w:rFonts w:ascii="宋体" w:hAnsi="宋体" w:cs="宋体" w:eastAsia="宋体" w:hint="default"/>
                <w:sz w:val="18"/>
                <w:szCs w:val="18"/>
              </w:rPr>
              <w:t> </w:t>
            </w:r>
            <w:r>
              <w:rPr>
                <w:rFonts w:ascii="宋体" w:hAnsi="宋体" w:cs="宋体" w:eastAsia="宋体" w:hint="default"/>
                <w:spacing w:val="11"/>
                <w:sz w:val="18"/>
                <w:szCs w:val="18"/>
              </w:rPr>
              <w:t>规定依法取</w:t>
            </w:r>
            <w:r>
              <w:rPr>
                <w:rFonts w:ascii="宋体" w:hAnsi="宋体" w:cs="宋体" w:eastAsia="宋体" w:hint="default"/>
                <w:sz w:val="18"/>
                <w:szCs w:val="18"/>
              </w:rPr>
              <w:t> 得）</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10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8"/>
              <w:ind w:right="99"/>
              <w:jc w:val="right"/>
              <w:rPr>
                <w:rFonts w:ascii="Times New Roman" w:hAnsi="Times New Roman" w:cs="Times New Roman" w:eastAsia="Times New Roman" w:hint="default"/>
                <w:sz w:val="18"/>
                <w:szCs w:val="18"/>
              </w:rPr>
            </w:pPr>
            <w:r>
              <w:rPr>
                <w:rFonts w:ascii="Times New Roman"/>
                <w:sz w:val="18"/>
              </w:rPr>
              <w:t>660,000.00</w:t>
            </w:r>
          </w:p>
        </w:tc>
        <w:tc>
          <w:tcPr>
            <w:tcW w:w="1162" w:type="dxa"/>
            <w:tcBorders>
              <w:top w:val="single" w:sz="4" w:space="0" w:color="000000"/>
              <w:left w:val="single" w:sz="4" w:space="0" w:color="000000"/>
              <w:bottom w:val="single" w:sz="4" w:space="0" w:color="000000"/>
              <w:right w:val="single" w:sz="4" w:space="0" w:color="000000"/>
            </w:tcBorders>
          </w:tcPr>
          <w:p>
            <w:pPr/>
          </w:p>
        </w:tc>
        <w:tc>
          <w:tcPr>
            <w:tcW w:w="1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right="101"/>
              <w:jc w:val="righ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2586" w:hRule="exact"/>
        </w:trPr>
        <w:tc>
          <w:tcPr>
            <w:tcW w:w="12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312" w:lineRule="auto"/>
              <w:ind w:left="103" w:right="119"/>
              <w:jc w:val="left"/>
              <w:rPr>
                <w:rFonts w:ascii="宋体" w:hAnsi="宋体" w:cs="宋体" w:eastAsia="宋体" w:hint="default"/>
                <w:sz w:val="18"/>
                <w:szCs w:val="18"/>
              </w:rPr>
            </w:pPr>
            <w:r>
              <w:rPr>
                <w:rFonts w:ascii="宋体" w:hAnsi="宋体" w:cs="宋体" w:eastAsia="宋体" w:hint="default"/>
                <w:sz w:val="18"/>
                <w:szCs w:val="18"/>
              </w:rPr>
              <w:t>郑州高新技 术产业开发 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省研 究开发补助</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319" w:lineRule="auto"/>
              <w:ind w:left="103" w:right="119"/>
              <w:jc w:val="both"/>
              <w:rPr>
                <w:rFonts w:ascii="宋体" w:hAnsi="宋体" w:cs="宋体" w:eastAsia="宋体" w:hint="default"/>
                <w:sz w:val="18"/>
                <w:szCs w:val="18"/>
              </w:rPr>
            </w:pPr>
            <w:r>
              <w:rPr>
                <w:rFonts w:ascii="宋体" w:hAnsi="宋体" w:cs="宋体" w:eastAsia="宋体" w:hint="default"/>
                <w:sz w:val="18"/>
                <w:szCs w:val="18"/>
              </w:rPr>
              <w:t>郑州高新技 术产业开发 区管委会财 政金融局</w:t>
            </w:r>
          </w:p>
        </w:tc>
        <w:tc>
          <w:tcPr>
            <w:tcW w:w="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103" w:right="0"/>
              <w:jc w:val="left"/>
              <w:rPr>
                <w:rFonts w:ascii="宋体" w:hAnsi="宋体" w:cs="宋体" w:eastAsia="宋体" w:hint="default"/>
                <w:sz w:val="18"/>
                <w:szCs w:val="18"/>
              </w:rPr>
            </w:pPr>
            <w:r>
              <w:rPr>
                <w:rFonts w:ascii="宋体" w:hAnsi="宋体" w:cs="宋体" w:eastAsia="宋体" w:hint="default"/>
                <w:sz w:val="18"/>
                <w:szCs w:val="18"/>
              </w:rPr>
              <w:t>奖励</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103"/>
              <w:jc w:val="both"/>
              <w:rPr>
                <w:rFonts w:ascii="宋体" w:hAnsi="宋体" w:cs="宋体" w:eastAsia="宋体" w:hint="default"/>
                <w:sz w:val="18"/>
                <w:szCs w:val="18"/>
              </w:rPr>
            </w:pPr>
            <w:r>
              <w:rPr>
                <w:rFonts w:ascii="宋体" w:hAnsi="宋体" w:cs="宋体" w:eastAsia="宋体" w:hint="default"/>
                <w:spacing w:val="11"/>
                <w:sz w:val="18"/>
                <w:szCs w:val="18"/>
              </w:rPr>
              <w:t>因从事国家</w:t>
            </w:r>
            <w:r>
              <w:rPr>
                <w:rFonts w:ascii="宋体" w:hAnsi="宋体" w:cs="宋体" w:eastAsia="宋体" w:hint="default"/>
                <w:sz w:val="18"/>
                <w:szCs w:val="18"/>
              </w:rPr>
              <w:t> </w:t>
            </w:r>
            <w:r>
              <w:rPr>
                <w:rFonts w:ascii="宋体" w:hAnsi="宋体" w:cs="宋体" w:eastAsia="宋体" w:hint="default"/>
                <w:spacing w:val="11"/>
                <w:sz w:val="18"/>
                <w:szCs w:val="18"/>
              </w:rPr>
              <w:t>鼓励和扶持</w:t>
            </w:r>
            <w:r>
              <w:rPr>
                <w:rFonts w:ascii="宋体" w:hAnsi="宋体" w:cs="宋体" w:eastAsia="宋体" w:hint="default"/>
                <w:sz w:val="18"/>
                <w:szCs w:val="18"/>
              </w:rPr>
              <w:t> </w:t>
            </w:r>
            <w:r>
              <w:rPr>
                <w:rFonts w:ascii="宋体" w:hAnsi="宋体" w:cs="宋体" w:eastAsia="宋体" w:hint="default"/>
                <w:spacing w:val="11"/>
                <w:sz w:val="18"/>
                <w:szCs w:val="18"/>
              </w:rPr>
              <w:t>特定行业、</w:t>
            </w:r>
            <w:r>
              <w:rPr>
                <w:rFonts w:ascii="宋体" w:hAnsi="宋体" w:cs="宋体" w:eastAsia="宋体" w:hint="default"/>
                <w:sz w:val="18"/>
                <w:szCs w:val="18"/>
              </w:rPr>
              <w:t> </w:t>
            </w:r>
            <w:r>
              <w:rPr>
                <w:rFonts w:ascii="宋体" w:hAnsi="宋体" w:cs="宋体" w:eastAsia="宋体" w:hint="default"/>
                <w:spacing w:val="11"/>
                <w:sz w:val="18"/>
                <w:szCs w:val="18"/>
              </w:rPr>
              <w:t>产业而获得</w:t>
            </w:r>
            <w:r>
              <w:rPr>
                <w:rFonts w:ascii="宋体" w:hAnsi="宋体" w:cs="宋体" w:eastAsia="宋体" w:hint="default"/>
                <w:sz w:val="18"/>
                <w:szCs w:val="18"/>
              </w:rPr>
              <w:t> </w:t>
            </w:r>
            <w:r>
              <w:rPr>
                <w:rFonts w:ascii="宋体" w:hAnsi="宋体" w:cs="宋体" w:eastAsia="宋体" w:hint="default"/>
                <w:spacing w:val="11"/>
                <w:sz w:val="18"/>
                <w:szCs w:val="18"/>
              </w:rPr>
              <w:t>的补助（按</w:t>
            </w:r>
            <w:r>
              <w:rPr>
                <w:rFonts w:ascii="宋体" w:hAnsi="宋体" w:cs="宋体" w:eastAsia="宋体" w:hint="default"/>
                <w:sz w:val="18"/>
                <w:szCs w:val="18"/>
              </w:rPr>
              <w:t> </w:t>
            </w:r>
            <w:r>
              <w:rPr>
                <w:rFonts w:ascii="宋体" w:hAnsi="宋体" w:cs="宋体" w:eastAsia="宋体" w:hint="default"/>
                <w:spacing w:val="11"/>
                <w:sz w:val="18"/>
                <w:szCs w:val="18"/>
              </w:rPr>
              <w:t>国家级政策</w:t>
            </w:r>
            <w:r>
              <w:rPr>
                <w:rFonts w:ascii="宋体" w:hAnsi="宋体" w:cs="宋体" w:eastAsia="宋体" w:hint="default"/>
                <w:sz w:val="18"/>
                <w:szCs w:val="18"/>
              </w:rPr>
              <w:t> </w:t>
            </w:r>
            <w:r>
              <w:rPr>
                <w:rFonts w:ascii="宋体" w:hAnsi="宋体" w:cs="宋体" w:eastAsia="宋体" w:hint="default"/>
                <w:spacing w:val="11"/>
                <w:sz w:val="18"/>
                <w:szCs w:val="18"/>
              </w:rPr>
              <w:t>规定依法取</w:t>
            </w:r>
            <w:r>
              <w:rPr>
                <w:rFonts w:ascii="宋体" w:hAnsi="宋体" w:cs="宋体" w:eastAsia="宋体" w:hint="default"/>
                <w:sz w:val="18"/>
                <w:szCs w:val="18"/>
              </w:rPr>
              <w:t> 得）</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10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8"/>
              <w:ind w:right="99"/>
              <w:jc w:val="right"/>
              <w:rPr>
                <w:rFonts w:ascii="Times New Roman" w:hAnsi="Times New Roman" w:cs="Times New Roman" w:eastAsia="Times New Roman" w:hint="default"/>
                <w:sz w:val="18"/>
                <w:szCs w:val="18"/>
              </w:rPr>
            </w:pPr>
            <w:r>
              <w:rPr>
                <w:rFonts w:ascii="Times New Roman"/>
                <w:spacing w:val="-1"/>
                <w:sz w:val="18"/>
              </w:rPr>
              <w:t>1,370,000.00</w:t>
            </w:r>
          </w:p>
        </w:tc>
        <w:tc>
          <w:tcPr>
            <w:tcW w:w="1162" w:type="dxa"/>
            <w:tcBorders>
              <w:top w:val="single" w:sz="4" w:space="0" w:color="000000"/>
              <w:left w:val="single" w:sz="4" w:space="0" w:color="000000"/>
              <w:bottom w:val="single" w:sz="4" w:space="0" w:color="000000"/>
              <w:right w:val="single" w:sz="4" w:space="0" w:color="000000"/>
            </w:tcBorders>
          </w:tcPr>
          <w:p>
            <w:pPr/>
          </w:p>
        </w:tc>
        <w:tc>
          <w:tcPr>
            <w:tcW w:w="1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right="173"/>
              <w:jc w:val="righ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2586" w:hRule="exact"/>
        </w:trPr>
        <w:tc>
          <w:tcPr>
            <w:tcW w:w="12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4" w:lineRule="auto" w:before="156"/>
              <w:ind w:left="103" w:right="101"/>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年度区 级专利申请 </w:t>
            </w:r>
            <w:r>
              <w:rPr>
                <w:rFonts w:ascii="宋体" w:hAnsi="宋体" w:cs="宋体" w:eastAsia="宋体" w:hint="default"/>
                <w:spacing w:val="-13"/>
                <w:sz w:val="18"/>
                <w:szCs w:val="18"/>
              </w:rPr>
              <w:t>资助、授权资</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助及企业知 识产权管理 人员奖励</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05"/>
              <w:ind w:left="103" w:right="119"/>
              <w:jc w:val="both"/>
              <w:rPr>
                <w:rFonts w:ascii="宋体" w:hAnsi="宋体" w:cs="宋体" w:eastAsia="宋体" w:hint="default"/>
                <w:sz w:val="18"/>
                <w:szCs w:val="18"/>
              </w:rPr>
            </w:pPr>
            <w:r>
              <w:rPr>
                <w:rFonts w:ascii="宋体" w:hAnsi="宋体" w:cs="宋体" w:eastAsia="宋体" w:hint="default"/>
                <w:sz w:val="18"/>
                <w:szCs w:val="18"/>
              </w:rPr>
              <w:t>郑州高新技 术产业开发 区财政国库 集中支付中 心</w:t>
            </w:r>
          </w:p>
        </w:tc>
        <w:tc>
          <w:tcPr>
            <w:tcW w:w="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103" w:right="0"/>
              <w:jc w:val="left"/>
              <w:rPr>
                <w:rFonts w:ascii="宋体" w:hAnsi="宋体" w:cs="宋体" w:eastAsia="宋体" w:hint="default"/>
                <w:sz w:val="18"/>
                <w:szCs w:val="18"/>
              </w:rPr>
            </w:pPr>
            <w:r>
              <w:rPr>
                <w:rFonts w:ascii="宋体" w:hAnsi="宋体" w:cs="宋体" w:eastAsia="宋体" w:hint="default"/>
                <w:sz w:val="18"/>
                <w:szCs w:val="18"/>
              </w:rPr>
              <w:t>奖励</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103"/>
              <w:jc w:val="both"/>
              <w:rPr>
                <w:rFonts w:ascii="宋体" w:hAnsi="宋体" w:cs="宋体" w:eastAsia="宋体" w:hint="default"/>
                <w:sz w:val="18"/>
                <w:szCs w:val="18"/>
              </w:rPr>
            </w:pPr>
            <w:r>
              <w:rPr>
                <w:rFonts w:ascii="宋体" w:hAnsi="宋体" w:cs="宋体" w:eastAsia="宋体" w:hint="default"/>
                <w:spacing w:val="11"/>
                <w:sz w:val="18"/>
                <w:szCs w:val="18"/>
              </w:rPr>
              <w:t>因从事国家</w:t>
            </w:r>
            <w:r>
              <w:rPr>
                <w:rFonts w:ascii="宋体" w:hAnsi="宋体" w:cs="宋体" w:eastAsia="宋体" w:hint="default"/>
                <w:sz w:val="18"/>
                <w:szCs w:val="18"/>
              </w:rPr>
              <w:t> </w:t>
            </w:r>
            <w:r>
              <w:rPr>
                <w:rFonts w:ascii="宋体" w:hAnsi="宋体" w:cs="宋体" w:eastAsia="宋体" w:hint="default"/>
                <w:spacing w:val="11"/>
                <w:sz w:val="18"/>
                <w:szCs w:val="18"/>
              </w:rPr>
              <w:t>鼓励和扶持</w:t>
            </w:r>
            <w:r>
              <w:rPr>
                <w:rFonts w:ascii="宋体" w:hAnsi="宋体" w:cs="宋体" w:eastAsia="宋体" w:hint="default"/>
                <w:sz w:val="18"/>
                <w:szCs w:val="18"/>
              </w:rPr>
              <w:t> </w:t>
            </w:r>
            <w:r>
              <w:rPr>
                <w:rFonts w:ascii="宋体" w:hAnsi="宋体" w:cs="宋体" w:eastAsia="宋体" w:hint="default"/>
                <w:spacing w:val="11"/>
                <w:sz w:val="18"/>
                <w:szCs w:val="18"/>
              </w:rPr>
              <w:t>特定行业、</w:t>
            </w:r>
            <w:r>
              <w:rPr>
                <w:rFonts w:ascii="宋体" w:hAnsi="宋体" w:cs="宋体" w:eastAsia="宋体" w:hint="default"/>
                <w:sz w:val="18"/>
                <w:szCs w:val="18"/>
              </w:rPr>
              <w:t> </w:t>
            </w:r>
            <w:r>
              <w:rPr>
                <w:rFonts w:ascii="宋体" w:hAnsi="宋体" w:cs="宋体" w:eastAsia="宋体" w:hint="default"/>
                <w:spacing w:val="11"/>
                <w:sz w:val="18"/>
                <w:szCs w:val="18"/>
              </w:rPr>
              <w:t>产业而获得</w:t>
            </w:r>
            <w:r>
              <w:rPr>
                <w:rFonts w:ascii="宋体" w:hAnsi="宋体" w:cs="宋体" w:eastAsia="宋体" w:hint="default"/>
                <w:sz w:val="18"/>
                <w:szCs w:val="18"/>
              </w:rPr>
              <w:t> </w:t>
            </w:r>
            <w:r>
              <w:rPr>
                <w:rFonts w:ascii="宋体" w:hAnsi="宋体" w:cs="宋体" w:eastAsia="宋体" w:hint="default"/>
                <w:spacing w:val="11"/>
                <w:sz w:val="18"/>
                <w:szCs w:val="18"/>
              </w:rPr>
              <w:t>的补助（按</w:t>
            </w:r>
            <w:r>
              <w:rPr>
                <w:rFonts w:ascii="宋体" w:hAnsi="宋体" w:cs="宋体" w:eastAsia="宋体" w:hint="default"/>
                <w:sz w:val="18"/>
                <w:szCs w:val="18"/>
              </w:rPr>
              <w:t> </w:t>
            </w:r>
            <w:r>
              <w:rPr>
                <w:rFonts w:ascii="宋体" w:hAnsi="宋体" w:cs="宋体" w:eastAsia="宋体" w:hint="default"/>
                <w:spacing w:val="11"/>
                <w:sz w:val="18"/>
                <w:szCs w:val="18"/>
              </w:rPr>
              <w:t>国家级政策</w:t>
            </w:r>
            <w:r>
              <w:rPr>
                <w:rFonts w:ascii="宋体" w:hAnsi="宋体" w:cs="宋体" w:eastAsia="宋体" w:hint="default"/>
                <w:sz w:val="18"/>
                <w:szCs w:val="18"/>
              </w:rPr>
              <w:t> </w:t>
            </w:r>
            <w:r>
              <w:rPr>
                <w:rFonts w:ascii="宋体" w:hAnsi="宋体" w:cs="宋体" w:eastAsia="宋体" w:hint="default"/>
                <w:spacing w:val="11"/>
                <w:sz w:val="18"/>
                <w:szCs w:val="18"/>
              </w:rPr>
              <w:t>规定依法取</w:t>
            </w:r>
            <w:r>
              <w:rPr>
                <w:rFonts w:ascii="宋体" w:hAnsi="宋体" w:cs="宋体" w:eastAsia="宋体" w:hint="default"/>
                <w:sz w:val="18"/>
                <w:szCs w:val="18"/>
              </w:rPr>
              <w:t> 得）</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61"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8"/>
              <w:ind w:right="100"/>
              <w:jc w:val="right"/>
              <w:rPr>
                <w:rFonts w:ascii="Times New Roman" w:hAnsi="Times New Roman" w:cs="Times New Roman" w:eastAsia="Times New Roman" w:hint="default"/>
                <w:sz w:val="18"/>
                <w:szCs w:val="18"/>
              </w:rPr>
            </w:pPr>
            <w:r>
              <w:rPr>
                <w:rFonts w:ascii="Times New Roman"/>
                <w:sz w:val="18"/>
              </w:rPr>
              <w:t>92,000.00</w:t>
            </w:r>
          </w:p>
        </w:tc>
        <w:tc>
          <w:tcPr>
            <w:tcW w:w="1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right="173"/>
              <w:jc w:val="righ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2586" w:hRule="exact"/>
        </w:trPr>
        <w:tc>
          <w:tcPr>
            <w:tcW w:w="12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4" w:lineRule="auto" w:before="105"/>
              <w:ind w:left="103" w:right="165"/>
              <w:jc w:val="both"/>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年度郑 州市电子信 息产业基地 建设专项资 金</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05"/>
              <w:ind w:left="103" w:right="119"/>
              <w:jc w:val="both"/>
              <w:rPr>
                <w:rFonts w:ascii="宋体" w:hAnsi="宋体" w:cs="宋体" w:eastAsia="宋体" w:hint="default"/>
                <w:sz w:val="18"/>
                <w:szCs w:val="18"/>
              </w:rPr>
            </w:pPr>
            <w:r>
              <w:rPr>
                <w:rFonts w:ascii="宋体" w:hAnsi="宋体" w:cs="宋体" w:eastAsia="宋体" w:hint="default"/>
                <w:sz w:val="18"/>
                <w:szCs w:val="18"/>
              </w:rPr>
              <w:t>郑州高新技 术产业开发 区财政国库 集中支付中 心</w:t>
            </w:r>
          </w:p>
        </w:tc>
        <w:tc>
          <w:tcPr>
            <w:tcW w:w="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103" w:right="0"/>
              <w:jc w:val="left"/>
              <w:rPr>
                <w:rFonts w:ascii="宋体" w:hAnsi="宋体" w:cs="宋体" w:eastAsia="宋体" w:hint="default"/>
                <w:sz w:val="18"/>
                <w:szCs w:val="18"/>
              </w:rPr>
            </w:pPr>
            <w:r>
              <w:rPr>
                <w:rFonts w:ascii="宋体" w:hAnsi="宋体" w:cs="宋体" w:eastAsia="宋体" w:hint="default"/>
                <w:sz w:val="18"/>
                <w:szCs w:val="18"/>
              </w:rPr>
              <w:t>奖励</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103"/>
              <w:jc w:val="both"/>
              <w:rPr>
                <w:rFonts w:ascii="宋体" w:hAnsi="宋体" w:cs="宋体" w:eastAsia="宋体" w:hint="default"/>
                <w:sz w:val="18"/>
                <w:szCs w:val="18"/>
              </w:rPr>
            </w:pPr>
            <w:r>
              <w:rPr>
                <w:rFonts w:ascii="宋体" w:hAnsi="宋体" w:cs="宋体" w:eastAsia="宋体" w:hint="default"/>
                <w:spacing w:val="11"/>
                <w:sz w:val="18"/>
                <w:szCs w:val="18"/>
              </w:rPr>
              <w:t>因从事国家</w:t>
            </w:r>
            <w:r>
              <w:rPr>
                <w:rFonts w:ascii="宋体" w:hAnsi="宋体" w:cs="宋体" w:eastAsia="宋体" w:hint="default"/>
                <w:sz w:val="18"/>
                <w:szCs w:val="18"/>
              </w:rPr>
              <w:t> </w:t>
            </w:r>
            <w:r>
              <w:rPr>
                <w:rFonts w:ascii="宋体" w:hAnsi="宋体" w:cs="宋体" w:eastAsia="宋体" w:hint="default"/>
                <w:spacing w:val="11"/>
                <w:sz w:val="18"/>
                <w:szCs w:val="18"/>
              </w:rPr>
              <w:t>鼓励和扶持</w:t>
            </w:r>
            <w:r>
              <w:rPr>
                <w:rFonts w:ascii="宋体" w:hAnsi="宋体" w:cs="宋体" w:eastAsia="宋体" w:hint="default"/>
                <w:sz w:val="18"/>
                <w:szCs w:val="18"/>
              </w:rPr>
              <w:t> </w:t>
            </w:r>
            <w:r>
              <w:rPr>
                <w:rFonts w:ascii="宋体" w:hAnsi="宋体" w:cs="宋体" w:eastAsia="宋体" w:hint="default"/>
                <w:spacing w:val="11"/>
                <w:sz w:val="18"/>
                <w:szCs w:val="18"/>
              </w:rPr>
              <w:t>特定行业、</w:t>
            </w:r>
            <w:r>
              <w:rPr>
                <w:rFonts w:ascii="宋体" w:hAnsi="宋体" w:cs="宋体" w:eastAsia="宋体" w:hint="default"/>
                <w:sz w:val="18"/>
                <w:szCs w:val="18"/>
              </w:rPr>
              <w:t> </w:t>
            </w:r>
            <w:r>
              <w:rPr>
                <w:rFonts w:ascii="宋体" w:hAnsi="宋体" w:cs="宋体" w:eastAsia="宋体" w:hint="default"/>
                <w:spacing w:val="11"/>
                <w:sz w:val="18"/>
                <w:szCs w:val="18"/>
              </w:rPr>
              <w:t>产业而获得</w:t>
            </w:r>
            <w:r>
              <w:rPr>
                <w:rFonts w:ascii="宋体" w:hAnsi="宋体" w:cs="宋体" w:eastAsia="宋体" w:hint="default"/>
                <w:sz w:val="18"/>
                <w:szCs w:val="18"/>
              </w:rPr>
              <w:t> </w:t>
            </w:r>
            <w:r>
              <w:rPr>
                <w:rFonts w:ascii="宋体" w:hAnsi="宋体" w:cs="宋体" w:eastAsia="宋体" w:hint="default"/>
                <w:spacing w:val="11"/>
                <w:sz w:val="18"/>
                <w:szCs w:val="18"/>
              </w:rPr>
              <w:t>的补助（按</w:t>
            </w:r>
            <w:r>
              <w:rPr>
                <w:rFonts w:ascii="宋体" w:hAnsi="宋体" w:cs="宋体" w:eastAsia="宋体" w:hint="default"/>
                <w:sz w:val="18"/>
                <w:szCs w:val="18"/>
              </w:rPr>
              <w:t> </w:t>
            </w:r>
            <w:r>
              <w:rPr>
                <w:rFonts w:ascii="宋体" w:hAnsi="宋体" w:cs="宋体" w:eastAsia="宋体" w:hint="default"/>
                <w:spacing w:val="11"/>
                <w:sz w:val="18"/>
                <w:szCs w:val="18"/>
              </w:rPr>
              <w:t>国家级政策</w:t>
            </w:r>
            <w:r>
              <w:rPr>
                <w:rFonts w:ascii="宋体" w:hAnsi="宋体" w:cs="宋体" w:eastAsia="宋体" w:hint="default"/>
                <w:sz w:val="18"/>
                <w:szCs w:val="18"/>
              </w:rPr>
              <w:t> </w:t>
            </w:r>
            <w:r>
              <w:rPr>
                <w:rFonts w:ascii="宋体" w:hAnsi="宋体" w:cs="宋体" w:eastAsia="宋体" w:hint="default"/>
                <w:spacing w:val="11"/>
                <w:sz w:val="18"/>
                <w:szCs w:val="18"/>
              </w:rPr>
              <w:t>规定依法取</w:t>
            </w:r>
            <w:r>
              <w:rPr>
                <w:rFonts w:ascii="宋体" w:hAnsi="宋体" w:cs="宋体" w:eastAsia="宋体" w:hint="default"/>
                <w:sz w:val="18"/>
                <w:szCs w:val="18"/>
              </w:rPr>
              <w:t> 得）</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61"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8"/>
              <w:ind w:right="100"/>
              <w:jc w:val="right"/>
              <w:rPr>
                <w:rFonts w:ascii="Times New Roman" w:hAnsi="Times New Roman" w:cs="Times New Roman" w:eastAsia="Times New Roman" w:hint="default"/>
                <w:sz w:val="18"/>
                <w:szCs w:val="18"/>
              </w:rPr>
            </w:pPr>
            <w:r>
              <w:rPr>
                <w:rFonts w:ascii="Times New Roman"/>
                <w:sz w:val="18"/>
              </w:rPr>
              <w:t>104,400.00</w:t>
            </w:r>
          </w:p>
        </w:tc>
        <w:tc>
          <w:tcPr>
            <w:tcW w:w="1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right="173"/>
              <w:jc w:val="righ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986" w:hRule="exact"/>
        </w:trPr>
        <w:tc>
          <w:tcPr>
            <w:tcW w:w="1223"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1"/>
              <w:ind w:left="103" w:right="165"/>
              <w:jc w:val="both"/>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年度郑 州市信息化 发展专项资</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19"/>
              <w:jc w:val="both"/>
              <w:rPr>
                <w:rFonts w:ascii="宋体" w:hAnsi="宋体" w:cs="宋体" w:eastAsia="宋体" w:hint="default"/>
                <w:sz w:val="18"/>
                <w:szCs w:val="18"/>
              </w:rPr>
            </w:pPr>
            <w:r>
              <w:rPr>
                <w:rFonts w:ascii="宋体" w:hAnsi="宋体" w:cs="宋体" w:eastAsia="宋体" w:hint="default"/>
                <w:sz w:val="18"/>
                <w:szCs w:val="18"/>
              </w:rPr>
              <w:t>郑州高新技 术产业开发 区财政国库</w:t>
            </w:r>
          </w:p>
        </w:tc>
        <w:tc>
          <w:tcPr>
            <w:tcW w:w="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7"/>
              <w:ind w:left="103" w:right="0"/>
              <w:jc w:val="left"/>
              <w:rPr>
                <w:rFonts w:ascii="宋体" w:hAnsi="宋体" w:cs="宋体" w:eastAsia="宋体" w:hint="default"/>
                <w:sz w:val="18"/>
                <w:szCs w:val="18"/>
              </w:rPr>
            </w:pPr>
            <w:r>
              <w:rPr>
                <w:rFonts w:ascii="宋体" w:hAnsi="宋体" w:cs="宋体" w:eastAsia="宋体" w:hint="default"/>
                <w:sz w:val="18"/>
                <w:szCs w:val="18"/>
              </w:rPr>
              <w:t>奖励</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03"/>
              <w:jc w:val="both"/>
              <w:rPr>
                <w:rFonts w:ascii="宋体" w:hAnsi="宋体" w:cs="宋体" w:eastAsia="宋体" w:hint="default"/>
                <w:sz w:val="18"/>
                <w:szCs w:val="18"/>
              </w:rPr>
            </w:pPr>
            <w:r>
              <w:rPr>
                <w:rFonts w:ascii="宋体" w:hAnsi="宋体" w:cs="宋体" w:eastAsia="宋体" w:hint="default"/>
                <w:spacing w:val="11"/>
                <w:sz w:val="18"/>
                <w:szCs w:val="18"/>
              </w:rPr>
              <w:t>因从事国家</w:t>
            </w:r>
            <w:r>
              <w:rPr>
                <w:rFonts w:ascii="宋体" w:hAnsi="宋体" w:cs="宋体" w:eastAsia="宋体" w:hint="default"/>
                <w:sz w:val="18"/>
                <w:szCs w:val="18"/>
              </w:rPr>
              <w:t> </w:t>
            </w:r>
            <w:r>
              <w:rPr>
                <w:rFonts w:ascii="宋体" w:hAnsi="宋体" w:cs="宋体" w:eastAsia="宋体" w:hint="default"/>
                <w:spacing w:val="11"/>
                <w:sz w:val="18"/>
                <w:szCs w:val="18"/>
              </w:rPr>
              <w:t>鼓励和扶持</w:t>
            </w:r>
            <w:r>
              <w:rPr>
                <w:rFonts w:ascii="宋体" w:hAnsi="宋体" w:cs="宋体" w:eastAsia="宋体" w:hint="default"/>
                <w:sz w:val="18"/>
                <w:szCs w:val="18"/>
              </w:rPr>
              <w:t> </w:t>
            </w:r>
            <w:r>
              <w:rPr>
                <w:rFonts w:ascii="宋体" w:hAnsi="宋体" w:cs="宋体" w:eastAsia="宋体" w:hint="default"/>
                <w:spacing w:val="11"/>
                <w:sz w:val="18"/>
                <w:szCs w:val="18"/>
              </w:rPr>
              <w:t>特定行业、</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7"/>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7"/>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61"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100,000.00</w:t>
            </w:r>
          </w:p>
        </w:tc>
        <w:tc>
          <w:tcPr>
            <w:tcW w:w="1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7"/>
              <w:ind w:right="173"/>
              <w:jc w:val="right"/>
              <w:rPr>
                <w:rFonts w:ascii="宋体" w:hAnsi="宋体" w:cs="宋体" w:eastAsia="宋体" w:hint="default"/>
                <w:sz w:val="18"/>
                <w:szCs w:val="18"/>
              </w:rPr>
            </w:pPr>
            <w:r>
              <w:rPr>
                <w:rFonts w:ascii="宋体" w:hAnsi="宋体" w:cs="宋体" w:eastAsia="宋体" w:hint="default"/>
                <w:sz w:val="18"/>
                <w:szCs w:val="18"/>
              </w:rPr>
              <w:t>与收益相关</w:t>
            </w:r>
          </w:p>
        </w:tc>
      </w:tr>
    </w:tbl>
    <w:p>
      <w:pPr>
        <w:spacing w:after="0" w:line="240" w:lineRule="auto"/>
        <w:jc w:val="right"/>
        <w:rPr>
          <w:rFonts w:ascii="宋体" w:hAnsi="宋体" w:cs="宋体" w:eastAsia="宋体" w:hint="default"/>
          <w:sz w:val="18"/>
          <w:szCs w:val="18"/>
        </w:rPr>
        <w:sectPr>
          <w:pgSz w:w="11910" w:h="16840"/>
          <w:pgMar w:header="877" w:footer="979" w:top="1060" w:bottom="1160" w:left="8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18" w:type="dxa"/>
        <w:tblLayout w:type="fixed"/>
        <w:tblCellMar>
          <w:top w:w="0" w:type="dxa"/>
          <w:left w:w="0" w:type="dxa"/>
          <w:bottom w:w="0" w:type="dxa"/>
          <w:right w:w="0" w:type="dxa"/>
        </w:tblCellMar>
        <w:tblLook w:val="01E0"/>
      </w:tblPr>
      <w:tblGrid>
        <w:gridCol w:w="1223"/>
        <w:gridCol w:w="1134"/>
        <w:gridCol w:w="808"/>
        <w:gridCol w:w="1176"/>
        <w:gridCol w:w="1134"/>
        <w:gridCol w:w="916"/>
        <w:gridCol w:w="1161"/>
        <w:gridCol w:w="1162"/>
        <w:gridCol w:w="1187"/>
      </w:tblGrid>
      <w:tr>
        <w:trPr>
          <w:trHeight w:val="1611" w:hRule="exact"/>
        </w:trPr>
        <w:tc>
          <w:tcPr>
            <w:tcW w:w="1223"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103" w:right="208"/>
              <w:jc w:val="both"/>
              <w:rPr>
                <w:rFonts w:ascii="宋体" w:hAnsi="宋体" w:cs="宋体" w:eastAsia="宋体" w:hint="default"/>
                <w:sz w:val="18"/>
                <w:szCs w:val="18"/>
              </w:rPr>
            </w:pPr>
            <w:r>
              <w:rPr>
                <w:rFonts w:ascii="宋体" w:hAnsi="宋体" w:cs="宋体" w:eastAsia="宋体" w:hint="default"/>
                <w:sz w:val="18"/>
                <w:szCs w:val="18"/>
              </w:rPr>
              <w:t>金和两化融 合专项资金 拟支持项目</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103" w:right="119"/>
              <w:jc w:val="left"/>
              <w:rPr>
                <w:rFonts w:ascii="宋体" w:hAnsi="宋体" w:cs="宋体" w:eastAsia="宋体" w:hint="default"/>
                <w:sz w:val="18"/>
                <w:szCs w:val="18"/>
              </w:rPr>
            </w:pPr>
            <w:r>
              <w:rPr>
                <w:rFonts w:ascii="宋体" w:hAnsi="宋体" w:cs="宋体" w:eastAsia="宋体" w:hint="default"/>
                <w:sz w:val="18"/>
                <w:szCs w:val="18"/>
              </w:rPr>
              <w:t>集中支付中 心</w:t>
            </w:r>
          </w:p>
        </w:tc>
        <w:tc>
          <w:tcPr>
            <w:tcW w:w="808" w:type="dxa"/>
            <w:tcBorders>
              <w:top w:val="single" w:sz="4" w:space="0" w:color="000000"/>
              <w:left w:val="single" w:sz="4" w:space="0" w:color="000000"/>
              <w:bottom w:val="single" w:sz="4" w:space="0" w:color="000000"/>
              <w:right w:val="single" w:sz="4" w:space="0" w:color="000000"/>
            </w:tcBorders>
          </w:tcPr>
          <w:p>
            <w:pP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103" w:right="103"/>
              <w:jc w:val="both"/>
              <w:rPr>
                <w:rFonts w:ascii="宋体" w:hAnsi="宋体" w:cs="宋体" w:eastAsia="宋体" w:hint="default"/>
                <w:sz w:val="18"/>
                <w:szCs w:val="18"/>
              </w:rPr>
            </w:pPr>
            <w:r>
              <w:rPr>
                <w:rFonts w:ascii="宋体" w:hAnsi="宋体" w:cs="宋体" w:eastAsia="宋体" w:hint="default"/>
                <w:spacing w:val="11"/>
                <w:sz w:val="18"/>
                <w:szCs w:val="18"/>
              </w:rPr>
              <w:t>产业而获得</w:t>
            </w:r>
            <w:r>
              <w:rPr>
                <w:rFonts w:ascii="宋体" w:hAnsi="宋体" w:cs="宋体" w:eastAsia="宋体" w:hint="default"/>
                <w:sz w:val="18"/>
                <w:szCs w:val="18"/>
              </w:rPr>
              <w:t> </w:t>
            </w:r>
            <w:r>
              <w:rPr>
                <w:rFonts w:ascii="宋体" w:hAnsi="宋体" w:cs="宋体" w:eastAsia="宋体" w:hint="default"/>
                <w:spacing w:val="11"/>
                <w:sz w:val="18"/>
                <w:szCs w:val="18"/>
              </w:rPr>
              <w:t>的补助（按</w:t>
            </w:r>
            <w:r>
              <w:rPr>
                <w:rFonts w:ascii="宋体" w:hAnsi="宋体" w:cs="宋体" w:eastAsia="宋体" w:hint="default"/>
                <w:sz w:val="18"/>
                <w:szCs w:val="18"/>
              </w:rPr>
              <w:t> </w:t>
            </w:r>
            <w:r>
              <w:rPr>
                <w:rFonts w:ascii="宋体" w:hAnsi="宋体" w:cs="宋体" w:eastAsia="宋体" w:hint="default"/>
                <w:spacing w:val="11"/>
                <w:sz w:val="18"/>
                <w:szCs w:val="18"/>
              </w:rPr>
              <w:t>国家级政策</w:t>
            </w:r>
            <w:r>
              <w:rPr>
                <w:rFonts w:ascii="宋体" w:hAnsi="宋体" w:cs="宋体" w:eastAsia="宋体" w:hint="default"/>
                <w:sz w:val="18"/>
                <w:szCs w:val="18"/>
              </w:rPr>
              <w:t> </w:t>
            </w:r>
            <w:r>
              <w:rPr>
                <w:rFonts w:ascii="宋体" w:hAnsi="宋体" w:cs="宋体" w:eastAsia="宋体" w:hint="default"/>
                <w:spacing w:val="11"/>
                <w:sz w:val="18"/>
                <w:szCs w:val="18"/>
              </w:rPr>
              <w:t>规定依法取</w:t>
            </w:r>
            <w:r>
              <w:rPr>
                <w:rFonts w:ascii="宋体" w:hAnsi="宋体" w:cs="宋体" w:eastAsia="宋体" w:hint="default"/>
                <w:sz w:val="18"/>
                <w:szCs w:val="18"/>
              </w:rPr>
              <w:t> 得）</w:t>
            </w:r>
          </w:p>
        </w:tc>
        <w:tc>
          <w:tcPr>
            <w:tcW w:w="1134" w:type="dxa"/>
            <w:tcBorders>
              <w:top w:val="single" w:sz="4" w:space="0" w:color="000000"/>
              <w:left w:val="single" w:sz="4" w:space="0" w:color="000000"/>
              <w:bottom w:val="single" w:sz="4" w:space="0" w:color="000000"/>
              <w:right w:val="single" w:sz="4" w:space="0" w:color="000000"/>
            </w:tcBorders>
          </w:tcPr>
          <w:p>
            <w:pPr/>
          </w:p>
        </w:tc>
        <w:tc>
          <w:tcPr>
            <w:tcW w:w="916" w:type="dxa"/>
            <w:tcBorders>
              <w:top w:val="single" w:sz="4" w:space="0" w:color="000000"/>
              <w:left w:val="single" w:sz="4" w:space="0" w:color="000000"/>
              <w:bottom w:val="single" w:sz="4" w:space="0" w:color="000000"/>
              <w:right w:val="single" w:sz="4" w:space="0" w:color="000000"/>
            </w:tcBorders>
          </w:tcPr>
          <w:p>
            <w:pPr/>
          </w:p>
        </w:tc>
        <w:tc>
          <w:tcPr>
            <w:tcW w:w="1161"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1187" w:type="dxa"/>
            <w:tcBorders>
              <w:top w:val="single" w:sz="4" w:space="0" w:color="000000"/>
              <w:left w:val="single" w:sz="4" w:space="0" w:color="000000"/>
              <w:bottom w:val="single" w:sz="4" w:space="0" w:color="000000"/>
              <w:right w:val="single" w:sz="4" w:space="0" w:color="000000"/>
            </w:tcBorders>
          </w:tcPr>
          <w:p>
            <w:pPr/>
          </w:p>
        </w:tc>
      </w:tr>
      <w:tr>
        <w:trPr>
          <w:trHeight w:val="2586" w:hRule="exact"/>
        </w:trPr>
        <w:tc>
          <w:tcPr>
            <w:tcW w:w="12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00" w:lineRule="auto" w:before="159"/>
              <w:ind w:left="103" w:right="165"/>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年高成 长企业奖励</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05"/>
              <w:ind w:left="103" w:right="119"/>
              <w:jc w:val="both"/>
              <w:rPr>
                <w:rFonts w:ascii="宋体" w:hAnsi="宋体" w:cs="宋体" w:eastAsia="宋体" w:hint="default"/>
                <w:sz w:val="18"/>
                <w:szCs w:val="18"/>
              </w:rPr>
            </w:pPr>
            <w:r>
              <w:rPr>
                <w:rFonts w:ascii="宋体" w:hAnsi="宋体" w:cs="宋体" w:eastAsia="宋体" w:hint="default"/>
                <w:sz w:val="18"/>
                <w:szCs w:val="18"/>
              </w:rPr>
              <w:t>郑州高新技 术产业开发 区财政国库 集中支付中 心</w:t>
            </w:r>
          </w:p>
        </w:tc>
        <w:tc>
          <w:tcPr>
            <w:tcW w:w="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103" w:right="0"/>
              <w:jc w:val="left"/>
              <w:rPr>
                <w:rFonts w:ascii="宋体" w:hAnsi="宋体" w:cs="宋体" w:eastAsia="宋体" w:hint="default"/>
                <w:sz w:val="18"/>
                <w:szCs w:val="18"/>
              </w:rPr>
            </w:pPr>
            <w:r>
              <w:rPr>
                <w:rFonts w:ascii="宋体" w:hAnsi="宋体" w:cs="宋体" w:eastAsia="宋体" w:hint="default"/>
                <w:sz w:val="18"/>
                <w:szCs w:val="18"/>
              </w:rPr>
              <w:t>奖励</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03"/>
              <w:jc w:val="both"/>
              <w:rPr>
                <w:rFonts w:ascii="宋体" w:hAnsi="宋体" w:cs="宋体" w:eastAsia="宋体" w:hint="default"/>
                <w:sz w:val="18"/>
                <w:szCs w:val="18"/>
              </w:rPr>
            </w:pPr>
            <w:r>
              <w:rPr>
                <w:rFonts w:ascii="宋体" w:hAnsi="宋体" w:cs="宋体" w:eastAsia="宋体" w:hint="default"/>
                <w:spacing w:val="11"/>
                <w:sz w:val="18"/>
                <w:szCs w:val="18"/>
              </w:rPr>
              <w:t>因从事国家</w:t>
            </w:r>
            <w:r>
              <w:rPr>
                <w:rFonts w:ascii="宋体" w:hAnsi="宋体" w:cs="宋体" w:eastAsia="宋体" w:hint="default"/>
                <w:sz w:val="18"/>
                <w:szCs w:val="18"/>
              </w:rPr>
              <w:t> </w:t>
            </w:r>
            <w:r>
              <w:rPr>
                <w:rFonts w:ascii="宋体" w:hAnsi="宋体" w:cs="宋体" w:eastAsia="宋体" w:hint="default"/>
                <w:spacing w:val="11"/>
                <w:sz w:val="18"/>
                <w:szCs w:val="18"/>
              </w:rPr>
              <w:t>鼓励和扶持</w:t>
            </w:r>
            <w:r>
              <w:rPr>
                <w:rFonts w:ascii="宋体" w:hAnsi="宋体" w:cs="宋体" w:eastAsia="宋体" w:hint="default"/>
                <w:sz w:val="18"/>
                <w:szCs w:val="18"/>
              </w:rPr>
              <w:t> </w:t>
            </w:r>
            <w:r>
              <w:rPr>
                <w:rFonts w:ascii="宋体" w:hAnsi="宋体" w:cs="宋体" w:eastAsia="宋体" w:hint="default"/>
                <w:spacing w:val="11"/>
                <w:sz w:val="18"/>
                <w:szCs w:val="18"/>
              </w:rPr>
              <w:t>特定行业、</w:t>
            </w:r>
            <w:r>
              <w:rPr>
                <w:rFonts w:ascii="宋体" w:hAnsi="宋体" w:cs="宋体" w:eastAsia="宋体" w:hint="default"/>
                <w:sz w:val="18"/>
                <w:szCs w:val="18"/>
              </w:rPr>
              <w:t> </w:t>
            </w:r>
            <w:r>
              <w:rPr>
                <w:rFonts w:ascii="宋体" w:hAnsi="宋体" w:cs="宋体" w:eastAsia="宋体" w:hint="default"/>
                <w:spacing w:val="11"/>
                <w:sz w:val="18"/>
                <w:szCs w:val="18"/>
              </w:rPr>
              <w:t>产业而获得</w:t>
            </w:r>
            <w:r>
              <w:rPr>
                <w:rFonts w:ascii="宋体" w:hAnsi="宋体" w:cs="宋体" w:eastAsia="宋体" w:hint="default"/>
                <w:sz w:val="18"/>
                <w:szCs w:val="18"/>
              </w:rPr>
              <w:t> </w:t>
            </w:r>
            <w:r>
              <w:rPr>
                <w:rFonts w:ascii="宋体" w:hAnsi="宋体" w:cs="宋体" w:eastAsia="宋体" w:hint="default"/>
                <w:spacing w:val="11"/>
                <w:sz w:val="18"/>
                <w:szCs w:val="18"/>
              </w:rPr>
              <w:t>的补助（按</w:t>
            </w:r>
            <w:r>
              <w:rPr>
                <w:rFonts w:ascii="宋体" w:hAnsi="宋体" w:cs="宋体" w:eastAsia="宋体" w:hint="default"/>
                <w:sz w:val="18"/>
                <w:szCs w:val="18"/>
              </w:rPr>
              <w:t> </w:t>
            </w:r>
            <w:r>
              <w:rPr>
                <w:rFonts w:ascii="宋体" w:hAnsi="宋体" w:cs="宋体" w:eastAsia="宋体" w:hint="default"/>
                <w:spacing w:val="11"/>
                <w:sz w:val="18"/>
                <w:szCs w:val="18"/>
              </w:rPr>
              <w:t>国家级政策</w:t>
            </w:r>
            <w:r>
              <w:rPr>
                <w:rFonts w:ascii="宋体" w:hAnsi="宋体" w:cs="宋体" w:eastAsia="宋体" w:hint="default"/>
                <w:sz w:val="18"/>
                <w:szCs w:val="18"/>
              </w:rPr>
              <w:t> </w:t>
            </w:r>
            <w:r>
              <w:rPr>
                <w:rFonts w:ascii="宋体" w:hAnsi="宋体" w:cs="宋体" w:eastAsia="宋体" w:hint="default"/>
                <w:spacing w:val="11"/>
                <w:sz w:val="18"/>
                <w:szCs w:val="18"/>
              </w:rPr>
              <w:t>规定依法取</w:t>
            </w:r>
            <w:r>
              <w:rPr>
                <w:rFonts w:ascii="宋体" w:hAnsi="宋体" w:cs="宋体" w:eastAsia="宋体" w:hint="default"/>
                <w:sz w:val="18"/>
                <w:szCs w:val="18"/>
              </w:rPr>
              <w:t> 得）</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61"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8"/>
              <w:ind w:right="100"/>
              <w:jc w:val="right"/>
              <w:rPr>
                <w:rFonts w:ascii="Times New Roman" w:hAnsi="Times New Roman" w:cs="Times New Roman" w:eastAsia="Times New Roman" w:hint="default"/>
                <w:sz w:val="18"/>
                <w:szCs w:val="18"/>
              </w:rPr>
            </w:pPr>
            <w:r>
              <w:rPr>
                <w:rFonts w:ascii="Times New Roman"/>
                <w:sz w:val="18"/>
              </w:rPr>
              <w:t>250,000.00</w:t>
            </w:r>
          </w:p>
        </w:tc>
        <w:tc>
          <w:tcPr>
            <w:tcW w:w="1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right="68"/>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2586" w:hRule="exact"/>
        </w:trPr>
        <w:tc>
          <w:tcPr>
            <w:tcW w:w="12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312" w:lineRule="auto"/>
              <w:ind w:left="103" w:right="165"/>
              <w:jc w:val="both"/>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年省知 识产权事业 发展专项经 费</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05"/>
              <w:ind w:left="103" w:right="119"/>
              <w:jc w:val="both"/>
              <w:rPr>
                <w:rFonts w:ascii="宋体" w:hAnsi="宋体" w:cs="宋体" w:eastAsia="宋体" w:hint="default"/>
                <w:sz w:val="18"/>
                <w:szCs w:val="18"/>
              </w:rPr>
            </w:pPr>
            <w:r>
              <w:rPr>
                <w:rFonts w:ascii="宋体" w:hAnsi="宋体" w:cs="宋体" w:eastAsia="宋体" w:hint="default"/>
                <w:sz w:val="18"/>
                <w:szCs w:val="18"/>
              </w:rPr>
              <w:t>郑州高新技 术产业开发 区财政国库 集中支付中 心</w:t>
            </w:r>
          </w:p>
        </w:tc>
        <w:tc>
          <w:tcPr>
            <w:tcW w:w="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103" w:right="0"/>
              <w:jc w:val="left"/>
              <w:rPr>
                <w:rFonts w:ascii="宋体" w:hAnsi="宋体" w:cs="宋体" w:eastAsia="宋体" w:hint="default"/>
                <w:sz w:val="18"/>
                <w:szCs w:val="18"/>
              </w:rPr>
            </w:pPr>
            <w:r>
              <w:rPr>
                <w:rFonts w:ascii="宋体" w:hAnsi="宋体" w:cs="宋体" w:eastAsia="宋体" w:hint="default"/>
                <w:sz w:val="18"/>
                <w:szCs w:val="18"/>
              </w:rPr>
              <w:t>奖励</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03"/>
              <w:jc w:val="both"/>
              <w:rPr>
                <w:rFonts w:ascii="宋体" w:hAnsi="宋体" w:cs="宋体" w:eastAsia="宋体" w:hint="default"/>
                <w:sz w:val="18"/>
                <w:szCs w:val="18"/>
              </w:rPr>
            </w:pPr>
            <w:r>
              <w:rPr>
                <w:rFonts w:ascii="宋体" w:hAnsi="宋体" w:cs="宋体" w:eastAsia="宋体" w:hint="default"/>
                <w:spacing w:val="11"/>
                <w:sz w:val="18"/>
                <w:szCs w:val="18"/>
              </w:rPr>
              <w:t>因从事国家</w:t>
            </w:r>
            <w:r>
              <w:rPr>
                <w:rFonts w:ascii="宋体" w:hAnsi="宋体" w:cs="宋体" w:eastAsia="宋体" w:hint="default"/>
                <w:sz w:val="18"/>
                <w:szCs w:val="18"/>
              </w:rPr>
              <w:t> </w:t>
            </w:r>
            <w:r>
              <w:rPr>
                <w:rFonts w:ascii="宋体" w:hAnsi="宋体" w:cs="宋体" w:eastAsia="宋体" w:hint="default"/>
                <w:spacing w:val="11"/>
                <w:sz w:val="18"/>
                <w:szCs w:val="18"/>
              </w:rPr>
              <w:t>鼓励和扶持</w:t>
            </w:r>
            <w:r>
              <w:rPr>
                <w:rFonts w:ascii="宋体" w:hAnsi="宋体" w:cs="宋体" w:eastAsia="宋体" w:hint="default"/>
                <w:sz w:val="18"/>
                <w:szCs w:val="18"/>
              </w:rPr>
              <w:t> </w:t>
            </w:r>
            <w:r>
              <w:rPr>
                <w:rFonts w:ascii="宋体" w:hAnsi="宋体" w:cs="宋体" w:eastAsia="宋体" w:hint="default"/>
                <w:spacing w:val="11"/>
                <w:sz w:val="18"/>
                <w:szCs w:val="18"/>
              </w:rPr>
              <w:t>特定行业、</w:t>
            </w:r>
            <w:r>
              <w:rPr>
                <w:rFonts w:ascii="宋体" w:hAnsi="宋体" w:cs="宋体" w:eastAsia="宋体" w:hint="default"/>
                <w:sz w:val="18"/>
                <w:szCs w:val="18"/>
              </w:rPr>
              <w:t> </w:t>
            </w:r>
            <w:r>
              <w:rPr>
                <w:rFonts w:ascii="宋体" w:hAnsi="宋体" w:cs="宋体" w:eastAsia="宋体" w:hint="default"/>
                <w:spacing w:val="11"/>
                <w:sz w:val="18"/>
                <w:szCs w:val="18"/>
              </w:rPr>
              <w:t>产业而获得</w:t>
            </w:r>
            <w:r>
              <w:rPr>
                <w:rFonts w:ascii="宋体" w:hAnsi="宋体" w:cs="宋体" w:eastAsia="宋体" w:hint="default"/>
                <w:sz w:val="18"/>
                <w:szCs w:val="18"/>
              </w:rPr>
              <w:t> </w:t>
            </w:r>
            <w:r>
              <w:rPr>
                <w:rFonts w:ascii="宋体" w:hAnsi="宋体" w:cs="宋体" w:eastAsia="宋体" w:hint="default"/>
                <w:spacing w:val="11"/>
                <w:sz w:val="18"/>
                <w:szCs w:val="18"/>
              </w:rPr>
              <w:t>的补助（按</w:t>
            </w:r>
            <w:r>
              <w:rPr>
                <w:rFonts w:ascii="宋体" w:hAnsi="宋体" w:cs="宋体" w:eastAsia="宋体" w:hint="default"/>
                <w:sz w:val="18"/>
                <w:szCs w:val="18"/>
              </w:rPr>
              <w:t> </w:t>
            </w:r>
            <w:r>
              <w:rPr>
                <w:rFonts w:ascii="宋体" w:hAnsi="宋体" w:cs="宋体" w:eastAsia="宋体" w:hint="default"/>
                <w:spacing w:val="11"/>
                <w:sz w:val="18"/>
                <w:szCs w:val="18"/>
              </w:rPr>
              <w:t>国家级政策</w:t>
            </w:r>
            <w:r>
              <w:rPr>
                <w:rFonts w:ascii="宋体" w:hAnsi="宋体" w:cs="宋体" w:eastAsia="宋体" w:hint="default"/>
                <w:sz w:val="18"/>
                <w:szCs w:val="18"/>
              </w:rPr>
              <w:t> </w:t>
            </w:r>
            <w:r>
              <w:rPr>
                <w:rFonts w:ascii="宋体" w:hAnsi="宋体" w:cs="宋体" w:eastAsia="宋体" w:hint="default"/>
                <w:spacing w:val="11"/>
                <w:sz w:val="18"/>
                <w:szCs w:val="18"/>
              </w:rPr>
              <w:t>规定依法取</w:t>
            </w:r>
            <w:r>
              <w:rPr>
                <w:rFonts w:ascii="宋体" w:hAnsi="宋体" w:cs="宋体" w:eastAsia="宋体" w:hint="default"/>
                <w:sz w:val="18"/>
                <w:szCs w:val="18"/>
              </w:rPr>
              <w:t> 得）</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61"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8"/>
              <w:ind w:right="100"/>
              <w:jc w:val="right"/>
              <w:rPr>
                <w:rFonts w:ascii="Times New Roman" w:hAnsi="Times New Roman" w:cs="Times New Roman" w:eastAsia="Times New Roman" w:hint="default"/>
                <w:sz w:val="18"/>
                <w:szCs w:val="18"/>
              </w:rPr>
            </w:pPr>
            <w:r>
              <w:rPr>
                <w:rFonts w:ascii="Times New Roman"/>
                <w:sz w:val="18"/>
              </w:rPr>
              <w:t>50,000.00</w:t>
            </w:r>
          </w:p>
        </w:tc>
        <w:tc>
          <w:tcPr>
            <w:tcW w:w="1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right="68"/>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2586" w:hRule="exact"/>
        </w:trPr>
        <w:tc>
          <w:tcPr>
            <w:tcW w:w="12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9"/>
              <w:ind w:left="103" w:right="0"/>
              <w:jc w:val="left"/>
              <w:rPr>
                <w:rFonts w:ascii="宋体" w:hAnsi="宋体" w:cs="宋体" w:eastAsia="宋体" w:hint="default"/>
                <w:sz w:val="18"/>
                <w:szCs w:val="18"/>
              </w:rPr>
            </w:pPr>
            <w:r>
              <w:rPr>
                <w:rFonts w:ascii="宋体" w:hAnsi="宋体" w:cs="宋体" w:eastAsia="宋体" w:hint="default"/>
                <w:sz w:val="18"/>
                <w:szCs w:val="18"/>
              </w:rPr>
              <w:t>创新券补助</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60"/>
              <w:ind w:left="103" w:right="119"/>
              <w:jc w:val="left"/>
              <w:rPr>
                <w:rFonts w:ascii="宋体" w:hAnsi="宋体" w:cs="宋体" w:eastAsia="宋体" w:hint="default"/>
                <w:sz w:val="18"/>
                <w:szCs w:val="18"/>
              </w:rPr>
            </w:pPr>
            <w:r>
              <w:rPr>
                <w:rFonts w:ascii="宋体" w:hAnsi="宋体" w:cs="宋体" w:eastAsia="宋体" w:hint="default"/>
                <w:sz w:val="18"/>
                <w:szCs w:val="18"/>
              </w:rPr>
              <w:t>福州市科技 局</w:t>
            </w:r>
          </w:p>
        </w:tc>
        <w:tc>
          <w:tcPr>
            <w:tcW w:w="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9"/>
              <w:ind w:left="103" w:right="0"/>
              <w:jc w:val="left"/>
              <w:rPr>
                <w:rFonts w:ascii="宋体" w:hAnsi="宋体" w:cs="宋体" w:eastAsia="宋体" w:hint="default"/>
                <w:sz w:val="18"/>
                <w:szCs w:val="18"/>
              </w:rPr>
            </w:pPr>
            <w:r>
              <w:rPr>
                <w:rFonts w:ascii="宋体" w:hAnsi="宋体" w:cs="宋体" w:eastAsia="宋体" w:hint="default"/>
                <w:sz w:val="18"/>
                <w:szCs w:val="18"/>
              </w:rPr>
              <w:t>奖励</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03"/>
              <w:jc w:val="both"/>
              <w:rPr>
                <w:rFonts w:ascii="宋体" w:hAnsi="宋体" w:cs="宋体" w:eastAsia="宋体" w:hint="default"/>
                <w:sz w:val="18"/>
                <w:szCs w:val="18"/>
              </w:rPr>
            </w:pPr>
            <w:r>
              <w:rPr>
                <w:rFonts w:ascii="宋体" w:hAnsi="宋体" w:cs="宋体" w:eastAsia="宋体" w:hint="default"/>
                <w:spacing w:val="11"/>
                <w:sz w:val="18"/>
                <w:szCs w:val="18"/>
              </w:rPr>
              <w:t>因从事国家</w:t>
            </w:r>
            <w:r>
              <w:rPr>
                <w:rFonts w:ascii="宋体" w:hAnsi="宋体" w:cs="宋体" w:eastAsia="宋体" w:hint="default"/>
                <w:sz w:val="18"/>
                <w:szCs w:val="18"/>
              </w:rPr>
              <w:t> </w:t>
            </w:r>
            <w:r>
              <w:rPr>
                <w:rFonts w:ascii="宋体" w:hAnsi="宋体" w:cs="宋体" w:eastAsia="宋体" w:hint="default"/>
                <w:spacing w:val="11"/>
                <w:sz w:val="18"/>
                <w:szCs w:val="18"/>
              </w:rPr>
              <w:t>鼓励和扶持</w:t>
            </w:r>
            <w:r>
              <w:rPr>
                <w:rFonts w:ascii="宋体" w:hAnsi="宋体" w:cs="宋体" w:eastAsia="宋体" w:hint="default"/>
                <w:sz w:val="18"/>
                <w:szCs w:val="18"/>
              </w:rPr>
              <w:t> </w:t>
            </w:r>
            <w:r>
              <w:rPr>
                <w:rFonts w:ascii="宋体" w:hAnsi="宋体" w:cs="宋体" w:eastAsia="宋体" w:hint="default"/>
                <w:spacing w:val="11"/>
                <w:sz w:val="18"/>
                <w:szCs w:val="18"/>
              </w:rPr>
              <w:t>特定行业、</w:t>
            </w:r>
            <w:r>
              <w:rPr>
                <w:rFonts w:ascii="宋体" w:hAnsi="宋体" w:cs="宋体" w:eastAsia="宋体" w:hint="default"/>
                <w:sz w:val="18"/>
                <w:szCs w:val="18"/>
              </w:rPr>
              <w:t> </w:t>
            </w:r>
            <w:r>
              <w:rPr>
                <w:rFonts w:ascii="宋体" w:hAnsi="宋体" w:cs="宋体" w:eastAsia="宋体" w:hint="default"/>
                <w:spacing w:val="11"/>
                <w:sz w:val="18"/>
                <w:szCs w:val="18"/>
              </w:rPr>
              <w:t>产业而获得</w:t>
            </w:r>
            <w:r>
              <w:rPr>
                <w:rFonts w:ascii="宋体" w:hAnsi="宋体" w:cs="宋体" w:eastAsia="宋体" w:hint="default"/>
                <w:sz w:val="18"/>
                <w:szCs w:val="18"/>
              </w:rPr>
              <w:t> </w:t>
            </w:r>
            <w:r>
              <w:rPr>
                <w:rFonts w:ascii="宋体" w:hAnsi="宋体" w:cs="宋体" w:eastAsia="宋体" w:hint="default"/>
                <w:spacing w:val="11"/>
                <w:sz w:val="18"/>
                <w:szCs w:val="18"/>
              </w:rPr>
              <w:t>的补助（按</w:t>
            </w:r>
            <w:r>
              <w:rPr>
                <w:rFonts w:ascii="宋体" w:hAnsi="宋体" w:cs="宋体" w:eastAsia="宋体" w:hint="default"/>
                <w:sz w:val="18"/>
                <w:szCs w:val="18"/>
              </w:rPr>
              <w:t> </w:t>
            </w:r>
            <w:r>
              <w:rPr>
                <w:rFonts w:ascii="宋体" w:hAnsi="宋体" w:cs="宋体" w:eastAsia="宋体" w:hint="default"/>
                <w:spacing w:val="11"/>
                <w:sz w:val="18"/>
                <w:szCs w:val="18"/>
              </w:rPr>
              <w:t>国家级政策</w:t>
            </w:r>
            <w:r>
              <w:rPr>
                <w:rFonts w:ascii="宋体" w:hAnsi="宋体" w:cs="宋体" w:eastAsia="宋体" w:hint="default"/>
                <w:sz w:val="18"/>
                <w:szCs w:val="18"/>
              </w:rPr>
              <w:t> </w:t>
            </w:r>
            <w:r>
              <w:rPr>
                <w:rFonts w:ascii="宋体" w:hAnsi="宋体" w:cs="宋体" w:eastAsia="宋体" w:hint="default"/>
                <w:spacing w:val="11"/>
                <w:sz w:val="18"/>
                <w:szCs w:val="18"/>
              </w:rPr>
              <w:t>规定依法取</w:t>
            </w:r>
            <w:r>
              <w:rPr>
                <w:rFonts w:ascii="宋体" w:hAnsi="宋体" w:cs="宋体" w:eastAsia="宋体" w:hint="default"/>
                <w:sz w:val="18"/>
                <w:szCs w:val="18"/>
              </w:rPr>
              <w:t> 得）</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9"/>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9"/>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61"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8"/>
              <w:ind w:right="100"/>
              <w:jc w:val="right"/>
              <w:rPr>
                <w:rFonts w:ascii="Times New Roman" w:hAnsi="Times New Roman" w:cs="Times New Roman" w:eastAsia="Times New Roman" w:hint="default"/>
                <w:sz w:val="18"/>
                <w:szCs w:val="18"/>
              </w:rPr>
            </w:pPr>
            <w:r>
              <w:rPr>
                <w:rFonts w:ascii="Times New Roman"/>
                <w:sz w:val="18"/>
              </w:rPr>
              <w:t>23,000.00</w:t>
            </w:r>
          </w:p>
        </w:tc>
        <w:tc>
          <w:tcPr>
            <w:tcW w:w="1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9"/>
              <w:ind w:right="68"/>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2586" w:hRule="exact"/>
        </w:trPr>
        <w:tc>
          <w:tcPr>
            <w:tcW w:w="12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316" w:lineRule="auto"/>
              <w:ind w:left="103" w:right="101"/>
              <w:jc w:val="left"/>
              <w:rPr>
                <w:rFonts w:ascii="宋体" w:hAnsi="宋体" w:cs="宋体" w:eastAsia="宋体" w:hint="default"/>
                <w:sz w:val="18"/>
                <w:szCs w:val="18"/>
              </w:rPr>
            </w:pPr>
            <w:r>
              <w:rPr>
                <w:rFonts w:ascii="宋体" w:hAnsi="宋体" w:cs="宋体" w:eastAsia="宋体" w:hint="default"/>
                <w:sz w:val="18"/>
                <w:szCs w:val="18"/>
              </w:rPr>
              <w:t>福州市科技 </w:t>
            </w:r>
            <w:r>
              <w:rPr>
                <w:rFonts w:ascii="宋体" w:hAnsi="宋体" w:cs="宋体" w:eastAsia="宋体" w:hint="default"/>
                <w:spacing w:val="-13"/>
                <w:sz w:val="18"/>
                <w:szCs w:val="18"/>
              </w:rPr>
              <w:t>局，科技小巨</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人奖励</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9"/>
              <w:ind w:left="103" w:right="119"/>
              <w:jc w:val="left"/>
              <w:rPr>
                <w:rFonts w:ascii="宋体" w:hAnsi="宋体" w:cs="宋体" w:eastAsia="宋体" w:hint="default"/>
                <w:sz w:val="18"/>
                <w:szCs w:val="18"/>
              </w:rPr>
            </w:pPr>
            <w:r>
              <w:rPr>
                <w:rFonts w:ascii="宋体" w:hAnsi="宋体" w:cs="宋体" w:eastAsia="宋体" w:hint="default"/>
                <w:sz w:val="18"/>
                <w:szCs w:val="18"/>
              </w:rPr>
              <w:t>福州市科技 局</w:t>
            </w:r>
          </w:p>
        </w:tc>
        <w:tc>
          <w:tcPr>
            <w:tcW w:w="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103" w:right="0"/>
              <w:jc w:val="left"/>
              <w:rPr>
                <w:rFonts w:ascii="宋体" w:hAnsi="宋体" w:cs="宋体" w:eastAsia="宋体" w:hint="default"/>
                <w:sz w:val="18"/>
                <w:szCs w:val="18"/>
              </w:rPr>
            </w:pPr>
            <w:r>
              <w:rPr>
                <w:rFonts w:ascii="宋体" w:hAnsi="宋体" w:cs="宋体" w:eastAsia="宋体" w:hint="default"/>
                <w:sz w:val="18"/>
                <w:szCs w:val="18"/>
              </w:rPr>
              <w:t>奖励</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03"/>
              <w:jc w:val="both"/>
              <w:rPr>
                <w:rFonts w:ascii="宋体" w:hAnsi="宋体" w:cs="宋体" w:eastAsia="宋体" w:hint="default"/>
                <w:sz w:val="18"/>
                <w:szCs w:val="18"/>
              </w:rPr>
            </w:pPr>
            <w:r>
              <w:rPr>
                <w:rFonts w:ascii="宋体" w:hAnsi="宋体" w:cs="宋体" w:eastAsia="宋体" w:hint="default"/>
                <w:spacing w:val="11"/>
                <w:sz w:val="18"/>
                <w:szCs w:val="18"/>
              </w:rPr>
              <w:t>因从事国家</w:t>
            </w:r>
            <w:r>
              <w:rPr>
                <w:rFonts w:ascii="宋体" w:hAnsi="宋体" w:cs="宋体" w:eastAsia="宋体" w:hint="default"/>
                <w:sz w:val="18"/>
                <w:szCs w:val="18"/>
              </w:rPr>
              <w:t> </w:t>
            </w:r>
            <w:r>
              <w:rPr>
                <w:rFonts w:ascii="宋体" w:hAnsi="宋体" w:cs="宋体" w:eastAsia="宋体" w:hint="default"/>
                <w:spacing w:val="11"/>
                <w:sz w:val="18"/>
                <w:szCs w:val="18"/>
              </w:rPr>
              <w:t>鼓励和扶持</w:t>
            </w:r>
            <w:r>
              <w:rPr>
                <w:rFonts w:ascii="宋体" w:hAnsi="宋体" w:cs="宋体" w:eastAsia="宋体" w:hint="default"/>
                <w:sz w:val="18"/>
                <w:szCs w:val="18"/>
              </w:rPr>
              <w:t> </w:t>
            </w:r>
            <w:r>
              <w:rPr>
                <w:rFonts w:ascii="宋体" w:hAnsi="宋体" w:cs="宋体" w:eastAsia="宋体" w:hint="default"/>
                <w:spacing w:val="11"/>
                <w:sz w:val="18"/>
                <w:szCs w:val="18"/>
              </w:rPr>
              <w:t>特定行业、</w:t>
            </w:r>
            <w:r>
              <w:rPr>
                <w:rFonts w:ascii="宋体" w:hAnsi="宋体" w:cs="宋体" w:eastAsia="宋体" w:hint="default"/>
                <w:sz w:val="18"/>
                <w:szCs w:val="18"/>
              </w:rPr>
              <w:t> </w:t>
            </w:r>
            <w:r>
              <w:rPr>
                <w:rFonts w:ascii="宋体" w:hAnsi="宋体" w:cs="宋体" w:eastAsia="宋体" w:hint="default"/>
                <w:spacing w:val="11"/>
                <w:sz w:val="18"/>
                <w:szCs w:val="18"/>
              </w:rPr>
              <w:t>产业而获得</w:t>
            </w:r>
            <w:r>
              <w:rPr>
                <w:rFonts w:ascii="宋体" w:hAnsi="宋体" w:cs="宋体" w:eastAsia="宋体" w:hint="default"/>
                <w:sz w:val="18"/>
                <w:szCs w:val="18"/>
              </w:rPr>
              <w:t> </w:t>
            </w:r>
            <w:r>
              <w:rPr>
                <w:rFonts w:ascii="宋体" w:hAnsi="宋体" w:cs="宋体" w:eastAsia="宋体" w:hint="default"/>
                <w:spacing w:val="11"/>
                <w:sz w:val="18"/>
                <w:szCs w:val="18"/>
              </w:rPr>
              <w:t>的补助（按</w:t>
            </w:r>
            <w:r>
              <w:rPr>
                <w:rFonts w:ascii="宋体" w:hAnsi="宋体" w:cs="宋体" w:eastAsia="宋体" w:hint="default"/>
                <w:sz w:val="18"/>
                <w:szCs w:val="18"/>
              </w:rPr>
              <w:t> </w:t>
            </w:r>
            <w:r>
              <w:rPr>
                <w:rFonts w:ascii="宋体" w:hAnsi="宋体" w:cs="宋体" w:eastAsia="宋体" w:hint="default"/>
                <w:spacing w:val="11"/>
                <w:sz w:val="18"/>
                <w:szCs w:val="18"/>
              </w:rPr>
              <w:t>国家级政策</w:t>
            </w:r>
            <w:r>
              <w:rPr>
                <w:rFonts w:ascii="宋体" w:hAnsi="宋体" w:cs="宋体" w:eastAsia="宋体" w:hint="default"/>
                <w:sz w:val="18"/>
                <w:szCs w:val="18"/>
              </w:rPr>
              <w:t> </w:t>
            </w:r>
            <w:r>
              <w:rPr>
                <w:rFonts w:ascii="宋体" w:hAnsi="宋体" w:cs="宋体" w:eastAsia="宋体" w:hint="default"/>
                <w:spacing w:val="11"/>
                <w:sz w:val="18"/>
                <w:szCs w:val="18"/>
              </w:rPr>
              <w:t>规定依法取</w:t>
            </w:r>
            <w:r>
              <w:rPr>
                <w:rFonts w:ascii="宋体" w:hAnsi="宋体" w:cs="宋体" w:eastAsia="宋体" w:hint="default"/>
                <w:sz w:val="18"/>
                <w:szCs w:val="18"/>
              </w:rPr>
              <w:t> 得）</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61"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8"/>
              <w:ind w:right="100"/>
              <w:jc w:val="right"/>
              <w:rPr>
                <w:rFonts w:ascii="Times New Roman" w:hAnsi="Times New Roman" w:cs="Times New Roman" w:eastAsia="Times New Roman" w:hint="default"/>
                <w:sz w:val="18"/>
                <w:szCs w:val="18"/>
              </w:rPr>
            </w:pPr>
            <w:r>
              <w:rPr>
                <w:rFonts w:ascii="Times New Roman"/>
                <w:sz w:val="18"/>
              </w:rPr>
              <w:t>50,000.00</w:t>
            </w:r>
          </w:p>
        </w:tc>
        <w:tc>
          <w:tcPr>
            <w:tcW w:w="1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right="68"/>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923" w:hRule="exact"/>
        </w:trPr>
        <w:tc>
          <w:tcPr>
            <w:tcW w:w="12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5"/>
                <w:szCs w:val="25"/>
              </w:rPr>
            </w:pPr>
          </w:p>
          <w:p>
            <w:pPr>
              <w:pStyle w:val="TableParagraph"/>
              <w:spacing w:line="319" w:lineRule="auto"/>
              <w:ind w:left="103" w:right="208"/>
              <w:jc w:val="both"/>
              <w:rPr>
                <w:rFonts w:ascii="宋体" w:hAnsi="宋体" w:cs="宋体" w:eastAsia="宋体" w:hint="default"/>
                <w:sz w:val="18"/>
                <w:szCs w:val="18"/>
              </w:rPr>
            </w:pPr>
            <w:r>
              <w:rPr>
                <w:rFonts w:ascii="宋体" w:hAnsi="宋体" w:cs="宋体" w:eastAsia="宋体" w:hint="default"/>
                <w:sz w:val="18"/>
                <w:szCs w:val="18"/>
              </w:rPr>
              <w:t>高新技术企 业政府奖励 金</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0"/>
                <w:szCs w:val="20"/>
              </w:rPr>
            </w:pPr>
          </w:p>
          <w:p>
            <w:pPr>
              <w:pStyle w:val="TableParagraph"/>
              <w:spacing w:line="319" w:lineRule="auto"/>
              <w:ind w:left="103" w:right="119"/>
              <w:jc w:val="left"/>
              <w:rPr>
                <w:rFonts w:ascii="宋体" w:hAnsi="宋体" w:cs="宋体" w:eastAsia="宋体" w:hint="default"/>
                <w:sz w:val="18"/>
                <w:szCs w:val="18"/>
              </w:rPr>
            </w:pPr>
            <w:r>
              <w:rPr>
                <w:rFonts w:ascii="宋体" w:hAnsi="宋体" w:cs="宋体" w:eastAsia="宋体" w:hint="default"/>
                <w:sz w:val="18"/>
                <w:szCs w:val="18"/>
              </w:rPr>
              <w:t>福州市科技 局</w:t>
            </w:r>
          </w:p>
        </w:tc>
        <w:tc>
          <w:tcPr>
            <w:tcW w:w="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奖励</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03"/>
              <w:jc w:val="both"/>
              <w:rPr>
                <w:rFonts w:ascii="宋体" w:hAnsi="宋体" w:cs="宋体" w:eastAsia="宋体" w:hint="default"/>
                <w:sz w:val="18"/>
                <w:szCs w:val="18"/>
              </w:rPr>
            </w:pPr>
            <w:r>
              <w:rPr>
                <w:rFonts w:ascii="宋体" w:hAnsi="宋体" w:cs="宋体" w:eastAsia="宋体" w:hint="default"/>
                <w:spacing w:val="11"/>
                <w:sz w:val="18"/>
                <w:szCs w:val="18"/>
              </w:rPr>
              <w:t>因从事国家</w:t>
            </w:r>
            <w:r>
              <w:rPr>
                <w:rFonts w:ascii="宋体" w:hAnsi="宋体" w:cs="宋体" w:eastAsia="宋体" w:hint="default"/>
                <w:sz w:val="18"/>
                <w:szCs w:val="18"/>
              </w:rPr>
              <w:t> </w:t>
            </w:r>
            <w:r>
              <w:rPr>
                <w:rFonts w:ascii="宋体" w:hAnsi="宋体" w:cs="宋体" w:eastAsia="宋体" w:hint="default"/>
                <w:spacing w:val="11"/>
                <w:sz w:val="18"/>
                <w:szCs w:val="18"/>
              </w:rPr>
              <w:t>鼓励和扶持</w:t>
            </w:r>
            <w:r>
              <w:rPr>
                <w:rFonts w:ascii="宋体" w:hAnsi="宋体" w:cs="宋体" w:eastAsia="宋体" w:hint="default"/>
                <w:sz w:val="18"/>
                <w:szCs w:val="18"/>
              </w:rPr>
              <w:t> </w:t>
            </w:r>
            <w:r>
              <w:rPr>
                <w:rFonts w:ascii="宋体" w:hAnsi="宋体" w:cs="宋体" w:eastAsia="宋体" w:hint="default"/>
                <w:spacing w:val="11"/>
                <w:sz w:val="18"/>
                <w:szCs w:val="18"/>
              </w:rPr>
              <w:t>特定行业、</w:t>
            </w:r>
            <w:r>
              <w:rPr>
                <w:rFonts w:ascii="宋体" w:hAnsi="宋体" w:cs="宋体" w:eastAsia="宋体" w:hint="default"/>
                <w:sz w:val="18"/>
                <w:szCs w:val="18"/>
              </w:rPr>
              <w:t> </w:t>
            </w:r>
            <w:r>
              <w:rPr>
                <w:rFonts w:ascii="宋体" w:hAnsi="宋体" w:cs="宋体" w:eastAsia="宋体" w:hint="default"/>
                <w:spacing w:val="11"/>
                <w:sz w:val="18"/>
                <w:szCs w:val="18"/>
              </w:rPr>
              <w:t>产业而获得</w:t>
            </w:r>
            <w:r>
              <w:rPr>
                <w:rFonts w:ascii="宋体" w:hAnsi="宋体" w:cs="宋体" w:eastAsia="宋体" w:hint="default"/>
                <w:sz w:val="18"/>
                <w:szCs w:val="18"/>
              </w:rPr>
              <w:t> </w:t>
            </w:r>
            <w:r>
              <w:rPr>
                <w:rFonts w:ascii="宋体" w:hAnsi="宋体" w:cs="宋体" w:eastAsia="宋体" w:hint="default"/>
                <w:spacing w:val="11"/>
                <w:sz w:val="18"/>
                <w:szCs w:val="18"/>
              </w:rPr>
              <w:t>的补助（按</w:t>
            </w:r>
            <w:r>
              <w:rPr>
                <w:rFonts w:ascii="宋体" w:hAnsi="宋体" w:cs="宋体" w:eastAsia="宋体" w:hint="default"/>
                <w:sz w:val="18"/>
                <w:szCs w:val="18"/>
              </w:rPr>
              <w:t> </w:t>
            </w:r>
            <w:r>
              <w:rPr>
                <w:rFonts w:ascii="宋体" w:hAnsi="宋体" w:cs="宋体" w:eastAsia="宋体" w:hint="default"/>
                <w:spacing w:val="11"/>
                <w:sz w:val="18"/>
                <w:szCs w:val="18"/>
              </w:rPr>
              <w:t>国家级政策</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61"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0"/>
              <w:ind w:right="0"/>
              <w:jc w:val="left"/>
              <w:rPr>
                <w:rFonts w:ascii="Times New Roman" w:hAnsi="Times New Roman" w:cs="Times New Roman" w:eastAsia="Times New Roman" w:hint="default"/>
                <w:sz w:val="20"/>
                <w:szCs w:val="20"/>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100,000.00</w:t>
            </w:r>
          </w:p>
        </w:tc>
        <w:tc>
          <w:tcPr>
            <w:tcW w:w="1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68"/>
              <w:jc w:val="center"/>
              <w:rPr>
                <w:rFonts w:ascii="宋体" w:hAnsi="宋体" w:cs="宋体" w:eastAsia="宋体" w:hint="default"/>
                <w:sz w:val="18"/>
                <w:szCs w:val="18"/>
              </w:rPr>
            </w:pPr>
            <w:r>
              <w:rPr>
                <w:rFonts w:ascii="宋体" w:hAnsi="宋体" w:cs="宋体" w:eastAsia="宋体" w:hint="default"/>
                <w:sz w:val="18"/>
                <w:szCs w:val="18"/>
              </w:rPr>
              <w:t>与收益相关</w:t>
            </w:r>
          </w:p>
        </w:tc>
      </w:tr>
    </w:tbl>
    <w:p>
      <w:pPr>
        <w:spacing w:after="0" w:line="240" w:lineRule="auto"/>
        <w:jc w:val="center"/>
        <w:rPr>
          <w:rFonts w:ascii="宋体" w:hAnsi="宋体" w:cs="宋体" w:eastAsia="宋体" w:hint="default"/>
          <w:sz w:val="18"/>
          <w:szCs w:val="18"/>
        </w:rPr>
        <w:sectPr>
          <w:pgSz w:w="11910" w:h="16840"/>
          <w:pgMar w:header="877" w:footer="979" w:top="1060" w:bottom="1160" w:left="8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18" w:type="dxa"/>
        <w:tblLayout w:type="fixed"/>
        <w:tblCellMar>
          <w:top w:w="0" w:type="dxa"/>
          <w:left w:w="0" w:type="dxa"/>
          <w:bottom w:w="0" w:type="dxa"/>
          <w:right w:w="0" w:type="dxa"/>
        </w:tblCellMar>
        <w:tblLook w:val="01E0"/>
      </w:tblPr>
      <w:tblGrid>
        <w:gridCol w:w="1223"/>
        <w:gridCol w:w="1134"/>
        <w:gridCol w:w="808"/>
        <w:gridCol w:w="1176"/>
        <w:gridCol w:w="1134"/>
        <w:gridCol w:w="916"/>
        <w:gridCol w:w="1161"/>
        <w:gridCol w:w="1162"/>
        <w:gridCol w:w="1187"/>
      </w:tblGrid>
      <w:tr>
        <w:trPr>
          <w:trHeight w:val="674" w:hRule="exact"/>
        </w:trPr>
        <w:tc>
          <w:tcPr>
            <w:tcW w:w="1223"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808" w:type="dxa"/>
            <w:tcBorders>
              <w:top w:val="single" w:sz="4" w:space="0" w:color="000000"/>
              <w:left w:val="single" w:sz="4" w:space="0" w:color="000000"/>
              <w:bottom w:val="single" w:sz="4" w:space="0" w:color="000000"/>
              <w:right w:val="single" w:sz="4" w:space="0" w:color="000000"/>
            </w:tcBorders>
          </w:tcPr>
          <w:p>
            <w:pP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103" w:right="103"/>
              <w:jc w:val="left"/>
              <w:rPr>
                <w:rFonts w:ascii="宋体" w:hAnsi="宋体" w:cs="宋体" w:eastAsia="宋体" w:hint="default"/>
                <w:sz w:val="18"/>
                <w:szCs w:val="18"/>
              </w:rPr>
            </w:pPr>
            <w:r>
              <w:rPr>
                <w:rFonts w:ascii="宋体" w:hAnsi="宋体" w:cs="宋体" w:eastAsia="宋体" w:hint="default"/>
                <w:spacing w:val="11"/>
                <w:sz w:val="18"/>
                <w:szCs w:val="18"/>
              </w:rPr>
              <w:t>规定依法取</w:t>
            </w:r>
            <w:r>
              <w:rPr>
                <w:rFonts w:ascii="宋体" w:hAnsi="宋体" w:cs="宋体" w:eastAsia="宋体" w:hint="default"/>
                <w:sz w:val="18"/>
                <w:szCs w:val="18"/>
              </w:rPr>
              <w:t> 得）</w:t>
            </w:r>
          </w:p>
        </w:tc>
        <w:tc>
          <w:tcPr>
            <w:tcW w:w="1134" w:type="dxa"/>
            <w:tcBorders>
              <w:top w:val="single" w:sz="4" w:space="0" w:color="000000"/>
              <w:left w:val="single" w:sz="4" w:space="0" w:color="000000"/>
              <w:bottom w:val="single" w:sz="4" w:space="0" w:color="000000"/>
              <w:right w:val="single" w:sz="4" w:space="0" w:color="000000"/>
            </w:tcBorders>
          </w:tcPr>
          <w:p>
            <w:pPr/>
          </w:p>
        </w:tc>
        <w:tc>
          <w:tcPr>
            <w:tcW w:w="916" w:type="dxa"/>
            <w:tcBorders>
              <w:top w:val="single" w:sz="4" w:space="0" w:color="000000"/>
              <w:left w:val="single" w:sz="4" w:space="0" w:color="000000"/>
              <w:bottom w:val="single" w:sz="4" w:space="0" w:color="000000"/>
              <w:right w:val="single" w:sz="4" w:space="0" w:color="000000"/>
            </w:tcBorders>
          </w:tcPr>
          <w:p>
            <w:pPr/>
          </w:p>
        </w:tc>
        <w:tc>
          <w:tcPr>
            <w:tcW w:w="1161"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1187" w:type="dxa"/>
            <w:tcBorders>
              <w:top w:val="single" w:sz="4" w:space="0" w:color="000000"/>
              <w:left w:val="single" w:sz="4" w:space="0" w:color="000000"/>
              <w:bottom w:val="single" w:sz="4" w:space="0" w:color="000000"/>
              <w:right w:val="single" w:sz="4" w:space="0" w:color="000000"/>
            </w:tcBorders>
          </w:tcPr>
          <w:p>
            <w:pPr/>
          </w:p>
        </w:tc>
      </w:tr>
      <w:tr>
        <w:trPr>
          <w:trHeight w:val="2586" w:hRule="exact"/>
        </w:trPr>
        <w:tc>
          <w:tcPr>
            <w:tcW w:w="12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2"/>
                <w:szCs w:val="22"/>
              </w:rPr>
            </w:pPr>
          </w:p>
          <w:p>
            <w:pPr>
              <w:pStyle w:val="TableParagraph"/>
              <w:spacing w:line="316" w:lineRule="auto"/>
              <w:ind w:left="103" w:right="101"/>
              <w:jc w:val="left"/>
              <w:rPr>
                <w:rFonts w:ascii="宋体" w:hAnsi="宋体" w:cs="宋体" w:eastAsia="宋体" w:hint="default"/>
                <w:sz w:val="18"/>
                <w:szCs w:val="18"/>
              </w:rPr>
            </w:pPr>
            <w:r>
              <w:rPr>
                <w:rFonts w:ascii="宋体" w:hAnsi="宋体" w:cs="宋体" w:eastAsia="宋体" w:hint="default"/>
                <w:sz w:val="18"/>
                <w:szCs w:val="18"/>
              </w:rPr>
              <w:t>高新区商务 </w:t>
            </w:r>
            <w:r>
              <w:rPr>
                <w:rFonts w:ascii="宋体" w:hAnsi="宋体" w:cs="宋体" w:eastAsia="宋体" w:hint="default"/>
                <w:spacing w:val="-13"/>
                <w:sz w:val="18"/>
                <w:szCs w:val="18"/>
              </w:rPr>
              <w:t>局，科技计划</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项目经费项 目</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60"/>
              <w:ind w:left="103" w:right="119"/>
              <w:jc w:val="left"/>
              <w:rPr>
                <w:rFonts w:ascii="宋体" w:hAnsi="宋体" w:cs="宋体" w:eastAsia="宋体" w:hint="default"/>
                <w:sz w:val="18"/>
                <w:szCs w:val="18"/>
              </w:rPr>
            </w:pPr>
            <w:r>
              <w:rPr>
                <w:rFonts w:ascii="宋体" w:hAnsi="宋体" w:cs="宋体" w:eastAsia="宋体" w:hint="default"/>
                <w:sz w:val="18"/>
                <w:szCs w:val="18"/>
              </w:rPr>
              <w:t>福州市高新 区商务局</w:t>
            </w:r>
          </w:p>
        </w:tc>
        <w:tc>
          <w:tcPr>
            <w:tcW w:w="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9"/>
              <w:ind w:left="103" w:right="0"/>
              <w:jc w:val="left"/>
              <w:rPr>
                <w:rFonts w:ascii="宋体" w:hAnsi="宋体" w:cs="宋体" w:eastAsia="宋体" w:hint="default"/>
                <w:sz w:val="18"/>
                <w:szCs w:val="18"/>
              </w:rPr>
            </w:pPr>
            <w:r>
              <w:rPr>
                <w:rFonts w:ascii="宋体" w:hAnsi="宋体" w:cs="宋体" w:eastAsia="宋体" w:hint="default"/>
                <w:sz w:val="18"/>
                <w:szCs w:val="18"/>
              </w:rPr>
              <w:t>奖励</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03"/>
              <w:jc w:val="both"/>
              <w:rPr>
                <w:rFonts w:ascii="宋体" w:hAnsi="宋体" w:cs="宋体" w:eastAsia="宋体" w:hint="default"/>
                <w:sz w:val="18"/>
                <w:szCs w:val="18"/>
              </w:rPr>
            </w:pPr>
            <w:r>
              <w:rPr>
                <w:rFonts w:ascii="宋体" w:hAnsi="宋体" w:cs="宋体" w:eastAsia="宋体" w:hint="default"/>
                <w:spacing w:val="11"/>
                <w:sz w:val="18"/>
                <w:szCs w:val="18"/>
              </w:rPr>
              <w:t>因从事国家</w:t>
            </w:r>
            <w:r>
              <w:rPr>
                <w:rFonts w:ascii="宋体" w:hAnsi="宋体" w:cs="宋体" w:eastAsia="宋体" w:hint="default"/>
                <w:sz w:val="18"/>
                <w:szCs w:val="18"/>
              </w:rPr>
              <w:t> </w:t>
            </w:r>
            <w:r>
              <w:rPr>
                <w:rFonts w:ascii="宋体" w:hAnsi="宋体" w:cs="宋体" w:eastAsia="宋体" w:hint="default"/>
                <w:spacing w:val="11"/>
                <w:sz w:val="18"/>
                <w:szCs w:val="18"/>
              </w:rPr>
              <w:t>鼓励和扶持</w:t>
            </w:r>
            <w:r>
              <w:rPr>
                <w:rFonts w:ascii="宋体" w:hAnsi="宋体" w:cs="宋体" w:eastAsia="宋体" w:hint="default"/>
                <w:sz w:val="18"/>
                <w:szCs w:val="18"/>
              </w:rPr>
              <w:t> </w:t>
            </w:r>
            <w:r>
              <w:rPr>
                <w:rFonts w:ascii="宋体" w:hAnsi="宋体" w:cs="宋体" w:eastAsia="宋体" w:hint="default"/>
                <w:spacing w:val="11"/>
                <w:sz w:val="18"/>
                <w:szCs w:val="18"/>
              </w:rPr>
              <w:t>特定行业、</w:t>
            </w:r>
            <w:r>
              <w:rPr>
                <w:rFonts w:ascii="宋体" w:hAnsi="宋体" w:cs="宋体" w:eastAsia="宋体" w:hint="default"/>
                <w:sz w:val="18"/>
                <w:szCs w:val="18"/>
              </w:rPr>
              <w:t> </w:t>
            </w:r>
            <w:r>
              <w:rPr>
                <w:rFonts w:ascii="宋体" w:hAnsi="宋体" w:cs="宋体" w:eastAsia="宋体" w:hint="default"/>
                <w:spacing w:val="11"/>
                <w:sz w:val="18"/>
                <w:szCs w:val="18"/>
              </w:rPr>
              <w:t>产业而获得</w:t>
            </w:r>
            <w:r>
              <w:rPr>
                <w:rFonts w:ascii="宋体" w:hAnsi="宋体" w:cs="宋体" w:eastAsia="宋体" w:hint="default"/>
                <w:sz w:val="18"/>
                <w:szCs w:val="18"/>
              </w:rPr>
              <w:t> </w:t>
            </w:r>
            <w:r>
              <w:rPr>
                <w:rFonts w:ascii="宋体" w:hAnsi="宋体" w:cs="宋体" w:eastAsia="宋体" w:hint="default"/>
                <w:spacing w:val="11"/>
                <w:sz w:val="18"/>
                <w:szCs w:val="18"/>
              </w:rPr>
              <w:t>的补助（按</w:t>
            </w:r>
            <w:r>
              <w:rPr>
                <w:rFonts w:ascii="宋体" w:hAnsi="宋体" w:cs="宋体" w:eastAsia="宋体" w:hint="default"/>
                <w:sz w:val="18"/>
                <w:szCs w:val="18"/>
              </w:rPr>
              <w:t> </w:t>
            </w:r>
            <w:r>
              <w:rPr>
                <w:rFonts w:ascii="宋体" w:hAnsi="宋体" w:cs="宋体" w:eastAsia="宋体" w:hint="default"/>
                <w:spacing w:val="11"/>
                <w:sz w:val="18"/>
                <w:szCs w:val="18"/>
              </w:rPr>
              <w:t>国家级政策</w:t>
            </w:r>
            <w:r>
              <w:rPr>
                <w:rFonts w:ascii="宋体" w:hAnsi="宋体" w:cs="宋体" w:eastAsia="宋体" w:hint="default"/>
                <w:sz w:val="18"/>
                <w:szCs w:val="18"/>
              </w:rPr>
              <w:t> </w:t>
            </w:r>
            <w:r>
              <w:rPr>
                <w:rFonts w:ascii="宋体" w:hAnsi="宋体" w:cs="宋体" w:eastAsia="宋体" w:hint="default"/>
                <w:spacing w:val="11"/>
                <w:sz w:val="18"/>
                <w:szCs w:val="18"/>
              </w:rPr>
              <w:t>规定依法取</w:t>
            </w:r>
            <w:r>
              <w:rPr>
                <w:rFonts w:ascii="宋体" w:hAnsi="宋体" w:cs="宋体" w:eastAsia="宋体" w:hint="default"/>
                <w:sz w:val="18"/>
                <w:szCs w:val="18"/>
              </w:rPr>
              <w:t> 得）</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9"/>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9"/>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61"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8"/>
              <w:ind w:right="100"/>
              <w:jc w:val="right"/>
              <w:rPr>
                <w:rFonts w:ascii="Times New Roman" w:hAnsi="Times New Roman" w:cs="Times New Roman" w:eastAsia="Times New Roman" w:hint="default"/>
                <w:sz w:val="18"/>
                <w:szCs w:val="18"/>
              </w:rPr>
            </w:pPr>
            <w:r>
              <w:rPr>
                <w:rFonts w:ascii="Times New Roman"/>
                <w:sz w:val="18"/>
              </w:rPr>
              <w:t>105,000.00</w:t>
            </w:r>
          </w:p>
        </w:tc>
        <w:tc>
          <w:tcPr>
            <w:tcW w:w="1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9"/>
              <w:ind w:right="68"/>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2586" w:hRule="exact"/>
        </w:trPr>
        <w:tc>
          <w:tcPr>
            <w:tcW w:w="12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9"/>
              <w:ind w:left="103" w:right="208"/>
              <w:jc w:val="left"/>
              <w:rPr>
                <w:rFonts w:ascii="宋体" w:hAnsi="宋体" w:cs="宋体" w:eastAsia="宋体" w:hint="default"/>
                <w:sz w:val="18"/>
                <w:szCs w:val="18"/>
              </w:rPr>
            </w:pPr>
            <w:r>
              <w:rPr>
                <w:rFonts w:ascii="宋体" w:hAnsi="宋体" w:cs="宋体" w:eastAsia="宋体" w:hint="default"/>
                <w:sz w:val="18"/>
                <w:szCs w:val="18"/>
              </w:rPr>
              <w:t>科技小巨人 项目补贴</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9"/>
              <w:ind w:left="103" w:right="119"/>
              <w:jc w:val="left"/>
              <w:rPr>
                <w:rFonts w:ascii="宋体" w:hAnsi="宋体" w:cs="宋体" w:eastAsia="宋体" w:hint="default"/>
                <w:sz w:val="18"/>
                <w:szCs w:val="18"/>
              </w:rPr>
            </w:pPr>
            <w:r>
              <w:rPr>
                <w:rFonts w:ascii="宋体" w:hAnsi="宋体" w:cs="宋体" w:eastAsia="宋体" w:hint="default"/>
                <w:sz w:val="18"/>
                <w:szCs w:val="18"/>
              </w:rPr>
              <w:t>上海市科学 技术委员会</w:t>
            </w:r>
          </w:p>
        </w:tc>
        <w:tc>
          <w:tcPr>
            <w:tcW w:w="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103" w:right="0"/>
              <w:jc w:val="left"/>
              <w:rPr>
                <w:rFonts w:ascii="宋体" w:hAnsi="宋体" w:cs="宋体" w:eastAsia="宋体" w:hint="default"/>
                <w:sz w:val="18"/>
                <w:szCs w:val="18"/>
              </w:rPr>
            </w:pPr>
            <w:r>
              <w:rPr>
                <w:rFonts w:ascii="宋体" w:hAnsi="宋体" w:cs="宋体" w:eastAsia="宋体" w:hint="default"/>
                <w:sz w:val="18"/>
                <w:szCs w:val="18"/>
              </w:rPr>
              <w:t>奖励</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03"/>
              <w:jc w:val="both"/>
              <w:rPr>
                <w:rFonts w:ascii="宋体" w:hAnsi="宋体" w:cs="宋体" w:eastAsia="宋体" w:hint="default"/>
                <w:sz w:val="18"/>
                <w:szCs w:val="18"/>
              </w:rPr>
            </w:pPr>
            <w:r>
              <w:rPr>
                <w:rFonts w:ascii="宋体" w:hAnsi="宋体" w:cs="宋体" w:eastAsia="宋体" w:hint="default"/>
                <w:spacing w:val="11"/>
                <w:sz w:val="18"/>
                <w:szCs w:val="18"/>
              </w:rPr>
              <w:t>因从事国家</w:t>
            </w:r>
            <w:r>
              <w:rPr>
                <w:rFonts w:ascii="宋体" w:hAnsi="宋体" w:cs="宋体" w:eastAsia="宋体" w:hint="default"/>
                <w:sz w:val="18"/>
                <w:szCs w:val="18"/>
              </w:rPr>
              <w:t> </w:t>
            </w:r>
            <w:r>
              <w:rPr>
                <w:rFonts w:ascii="宋体" w:hAnsi="宋体" w:cs="宋体" w:eastAsia="宋体" w:hint="default"/>
                <w:spacing w:val="11"/>
                <w:sz w:val="18"/>
                <w:szCs w:val="18"/>
              </w:rPr>
              <w:t>鼓励和扶持</w:t>
            </w:r>
            <w:r>
              <w:rPr>
                <w:rFonts w:ascii="宋体" w:hAnsi="宋体" w:cs="宋体" w:eastAsia="宋体" w:hint="default"/>
                <w:sz w:val="18"/>
                <w:szCs w:val="18"/>
              </w:rPr>
              <w:t> </w:t>
            </w:r>
            <w:r>
              <w:rPr>
                <w:rFonts w:ascii="宋体" w:hAnsi="宋体" w:cs="宋体" w:eastAsia="宋体" w:hint="default"/>
                <w:spacing w:val="11"/>
                <w:sz w:val="18"/>
                <w:szCs w:val="18"/>
              </w:rPr>
              <w:t>特定行业、</w:t>
            </w:r>
            <w:r>
              <w:rPr>
                <w:rFonts w:ascii="宋体" w:hAnsi="宋体" w:cs="宋体" w:eastAsia="宋体" w:hint="default"/>
                <w:sz w:val="18"/>
                <w:szCs w:val="18"/>
              </w:rPr>
              <w:t> </w:t>
            </w:r>
            <w:r>
              <w:rPr>
                <w:rFonts w:ascii="宋体" w:hAnsi="宋体" w:cs="宋体" w:eastAsia="宋体" w:hint="default"/>
                <w:spacing w:val="11"/>
                <w:sz w:val="18"/>
                <w:szCs w:val="18"/>
              </w:rPr>
              <w:t>产业而获得</w:t>
            </w:r>
            <w:r>
              <w:rPr>
                <w:rFonts w:ascii="宋体" w:hAnsi="宋体" w:cs="宋体" w:eastAsia="宋体" w:hint="default"/>
                <w:sz w:val="18"/>
                <w:szCs w:val="18"/>
              </w:rPr>
              <w:t> </w:t>
            </w:r>
            <w:r>
              <w:rPr>
                <w:rFonts w:ascii="宋体" w:hAnsi="宋体" w:cs="宋体" w:eastAsia="宋体" w:hint="default"/>
                <w:spacing w:val="11"/>
                <w:sz w:val="18"/>
                <w:szCs w:val="18"/>
              </w:rPr>
              <w:t>的补助（按</w:t>
            </w:r>
            <w:r>
              <w:rPr>
                <w:rFonts w:ascii="宋体" w:hAnsi="宋体" w:cs="宋体" w:eastAsia="宋体" w:hint="default"/>
                <w:sz w:val="18"/>
                <w:szCs w:val="18"/>
              </w:rPr>
              <w:t> </w:t>
            </w:r>
            <w:r>
              <w:rPr>
                <w:rFonts w:ascii="宋体" w:hAnsi="宋体" w:cs="宋体" w:eastAsia="宋体" w:hint="default"/>
                <w:spacing w:val="11"/>
                <w:sz w:val="18"/>
                <w:szCs w:val="18"/>
              </w:rPr>
              <w:t>国家级政策</w:t>
            </w:r>
            <w:r>
              <w:rPr>
                <w:rFonts w:ascii="宋体" w:hAnsi="宋体" w:cs="宋体" w:eastAsia="宋体" w:hint="default"/>
                <w:sz w:val="18"/>
                <w:szCs w:val="18"/>
              </w:rPr>
              <w:t> </w:t>
            </w:r>
            <w:r>
              <w:rPr>
                <w:rFonts w:ascii="宋体" w:hAnsi="宋体" w:cs="宋体" w:eastAsia="宋体" w:hint="default"/>
                <w:spacing w:val="11"/>
                <w:sz w:val="18"/>
                <w:szCs w:val="18"/>
              </w:rPr>
              <w:t>规定依法取</w:t>
            </w:r>
            <w:r>
              <w:rPr>
                <w:rFonts w:ascii="宋体" w:hAnsi="宋体" w:cs="宋体" w:eastAsia="宋体" w:hint="default"/>
                <w:sz w:val="18"/>
                <w:szCs w:val="18"/>
              </w:rPr>
              <w:t> 得）</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61"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8"/>
              <w:ind w:right="100"/>
              <w:jc w:val="right"/>
              <w:rPr>
                <w:rFonts w:ascii="Times New Roman" w:hAnsi="Times New Roman" w:cs="Times New Roman" w:eastAsia="Times New Roman" w:hint="default"/>
                <w:sz w:val="18"/>
                <w:szCs w:val="18"/>
              </w:rPr>
            </w:pPr>
            <w:r>
              <w:rPr>
                <w:rFonts w:ascii="Times New Roman"/>
                <w:spacing w:val="-1"/>
                <w:sz w:val="18"/>
              </w:rPr>
              <w:t>1,000,000.00</w:t>
            </w:r>
          </w:p>
        </w:tc>
        <w:tc>
          <w:tcPr>
            <w:tcW w:w="1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right="68"/>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2586" w:hRule="exact"/>
        </w:trPr>
        <w:tc>
          <w:tcPr>
            <w:tcW w:w="12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60"/>
              <w:ind w:left="103" w:right="208"/>
              <w:jc w:val="left"/>
              <w:rPr>
                <w:rFonts w:ascii="宋体" w:hAnsi="宋体" w:cs="宋体" w:eastAsia="宋体" w:hint="default"/>
                <w:sz w:val="18"/>
                <w:szCs w:val="18"/>
              </w:rPr>
            </w:pPr>
            <w:r>
              <w:rPr>
                <w:rFonts w:ascii="宋体" w:hAnsi="宋体" w:cs="宋体" w:eastAsia="宋体" w:hint="default"/>
                <w:sz w:val="18"/>
                <w:szCs w:val="18"/>
              </w:rPr>
              <w:t>轮岗补贴资 金</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60"/>
              <w:ind w:left="103" w:right="119"/>
              <w:jc w:val="left"/>
              <w:rPr>
                <w:rFonts w:ascii="宋体" w:hAnsi="宋体" w:cs="宋体" w:eastAsia="宋体" w:hint="default"/>
                <w:sz w:val="18"/>
                <w:szCs w:val="18"/>
              </w:rPr>
            </w:pPr>
            <w:r>
              <w:rPr>
                <w:rFonts w:ascii="宋体" w:hAnsi="宋体" w:cs="宋体" w:eastAsia="宋体" w:hint="default"/>
                <w:sz w:val="18"/>
                <w:szCs w:val="18"/>
              </w:rPr>
              <w:t>福州市劳动 局</w:t>
            </w:r>
          </w:p>
        </w:tc>
        <w:tc>
          <w:tcPr>
            <w:tcW w:w="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9"/>
              <w:ind w:left="103" w:right="0"/>
              <w:jc w:val="left"/>
              <w:rPr>
                <w:rFonts w:ascii="宋体" w:hAnsi="宋体" w:cs="宋体" w:eastAsia="宋体" w:hint="default"/>
                <w:sz w:val="18"/>
                <w:szCs w:val="18"/>
              </w:rPr>
            </w:pPr>
            <w:r>
              <w:rPr>
                <w:rFonts w:ascii="宋体" w:hAnsi="宋体" w:cs="宋体" w:eastAsia="宋体" w:hint="default"/>
                <w:sz w:val="18"/>
                <w:szCs w:val="18"/>
              </w:rPr>
              <w:t>奖励</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03"/>
              <w:jc w:val="both"/>
              <w:rPr>
                <w:rFonts w:ascii="宋体" w:hAnsi="宋体" w:cs="宋体" w:eastAsia="宋体" w:hint="default"/>
                <w:sz w:val="18"/>
                <w:szCs w:val="18"/>
              </w:rPr>
            </w:pPr>
            <w:r>
              <w:rPr>
                <w:rFonts w:ascii="宋体" w:hAnsi="宋体" w:cs="宋体" w:eastAsia="宋体" w:hint="default"/>
                <w:spacing w:val="11"/>
                <w:sz w:val="18"/>
                <w:szCs w:val="18"/>
              </w:rPr>
              <w:t>因从事国家</w:t>
            </w:r>
            <w:r>
              <w:rPr>
                <w:rFonts w:ascii="宋体" w:hAnsi="宋体" w:cs="宋体" w:eastAsia="宋体" w:hint="default"/>
                <w:sz w:val="18"/>
                <w:szCs w:val="18"/>
              </w:rPr>
              <w:t> </w:t>
            </w:r>
            <w:r>
              <w:rPr>
                <w:rFonts w:ascii="宋体" w:hAnsi="宋体" w:cs="宋体" w:eastAsia="宋体" w:hint="default"/>
                <w:spacing w:val="11"/>
                <w:sz w:val="18"/>
                <w:szCs w:val="18"/>
              </w:rPr>
              <w:t>鼓励和扶持</w:t>
            </w:r>
            <w:r>
              <w:rPr>
                <w:rFonts w:ascii="宋体" w:hAnsi="宋体" w:cs="宋体" w:eastAsia="宋体" w:hint="default"/>
                <w:sz w:val="18"/>
                <w:szCs w:val="18"/>
              </w:rPr>
              <w:t> </w:t>
            </w:r>
            <w:r>
              <w:rPr>
                <w:rFonts w:ascii="宋体" w:hAnsi="宋体" w:cs="宋体" w:eastAsia="宋体" w:hint="default"/>
                <w:spacing w:val="11"/>
                <w:sz w:val="18"/>
                <w:szCs w:val="18"/>
              </w:rPr>
              <w:t>特定行业、</w:t>
            </w:r>
            <w:r>
              <w:rPr>
                <w:rFonts w:ascii="宋体" w:hAnsi="宋体" w:cs="宋体" w:eastAsia="宋体" w:hint="default"/>
                <w:sz w:val="18"/>
                <w:szCs w:val="18"/>
              </w:rPr>
              <w:t> </w:t>
            </w:r>
            <w:r>
              <w:rPr>
                <w:rFonts w:ascii="宋体" w:hAnsi="宋体" w:cs="宋体" w:eastAsia="宋体" w:hint="default"/>
                <w:spacing w:val="11"/>
                <w:sz w:val="18"/>
                <w:szCs w:val="18"/>
              </w:rPr>
              <w:t>产业而获得</w:t>
            </w:r>
            <w:r>
              <w:rPr>
                <w:rFonts w:ascii="宋体" w:hAnsi="宋体" w:cs="宋体" w:eastAsia="宋体" w:hint="default"/>
                <w:sz w:val="18"/>
                <w:szCs w:val="18"/>
              </w:rPr>
              <w:t> </w:t>
            </w:r>
            <w:r>
              <w:rPr>
                <w:rFonts w:ascii="宋体" w:hAnsi="宋体" w:cs="宋体" w:eastAsia="宋体" w:hint="default"/>
                <w:spacing w:val="11"/>
                <w:sz w:val="18"/>
                <w:szCs w:val="18"/>
              </w:rPr>
              <w:t>的补助（按</w:t>
            </w:r>
            <w:r>
              <w:rPr>
                <w:rFonts w:ascii="宋体" w:hAnsi="宋体" w:cs="宋体" w:eastAsia="宋体" w:hint="default"/>
                <w:sz w:val="18"/>
                <w:szCs w:val="18"/>
              </w:rPr>
              <w:t> </w:t>
            </w:r>
            <w:r>
              <w:rPr>
                <w:rFonts w:ascii="宋体" w:hAnsi="宋体" w:cs="宋体" w:eastAsia="宋体" w:hint="default"/>
                <w:spacing w:val="11"/>
                <w:sz w:val="18"/>
                <w:szCs w:val="18"/>
              </w:rPr>
              <w:t>国家级政策</w:t>
            </w:r>
            <w:r>
              <w:rPr>
                <w:rFonts w:ascii="宋体" w:hAnsi="宋体" w:cs="宋体" w:eastAsia="宋体" w:hint="default"/>
                <w:sz w:val="18"/>
                <w:szCs w:val="18"/>
              </w:rPr>
              <w:t> </w:t>
            </w:r>
            <w:r>
              <w:rPr>
                <w:rFonts w:ascii="宋体" w:hAnsi="宋体" w:cs="宋体" w:eastAsia="宋体" w:hint="default"/>
                <w:spacing w:val="11"/>
                <w:sz w:val="18"/>
                <w:szCs w:val="18"/>
              </w:rPr>
              <w:t>规定依法取</w:t>
            </w:r>
            <w:r>
              <w:rPr>
                <w:rFonts w:ascii="宋体" w:hAnsi="宋体" w:cs="宋体" w:eastAsia="宋体" w:hint="default"/>
                <w:sz w:val="18"/>
                <w:szCs w:val="18"/>
              </w:rPr>
              <w:t> 得）</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9"/>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9"/>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61"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8"/>
              <w:ind w:right="100"/>
              <w:jc w:val="right"/>
              <w:rPr>
                <w:rFonts w:ascii="Times New Roman" w:hAnsi="Times New Roman" w:cs="Times New Roman" w:eastAsia="Times New Roman" w:hint="default"/>
                <w:sz w:val="18"/>
                <w:szCs w:val="18"/>
              </w:rPr>
            </w:pPr>
            <w:r>
              <w:rPr>
                <w:rFonts w:ascii="Times New Roman"/>
                <w:sz w:val="18"/>
              </w:rPr>
              <w:t>18,792.00</w:t>
            </w:r>
          </w:p>
        </w:tc>
        <w:tc>
          <w:tcPr>
            <w:tcW w:w="1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9"/>
              <w:ind w:right="68"/>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2586" w:hRule="exact"/>
        </w:trPr>
        <w:tc>
          <w:tcPr>
            <w:tcW w:w="12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9"/>
              <w:ind w:left="103" w:right="208"/>
              <w:jc w:val="left"/>
              <w:rPr>
                <w:rFonts w:ascii="宋体" w:hAnsi="宋体" w:cs="宋体" w:eastAsia="宋体" w:hint="default"/>
                <w:sz w:val="18"/>
                <w:szCs w:val="18"/>
              </w:rPr>
            </w:pPr>
            <w:r>
              <w:rPr>
                <w:rFonts w:ascii="宋体" w:hAnsi="宋体" w:cs="宋体" w:eastAsia="宋体" w:hint="default"/>
                <w:sz w:val="18"/>
                <w:szCs w:val="18"/>
              </w:rPr>
              <w:t>闽侯县政府 专利补助</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103" w:right="0"/>
              <w:jc w:val="left"/>
              <w:rPr>
                <w:rFonts w:ascii="宋体" w:hAnsi="宋体" w:cs="宋体" w:eastAsia="宋体" w:hint="default"/>
                <w:sz w:val="18"/>
                <w:szCs w:val="18"/>
              </w:rPr>
            </w:pPr>
            <w:r>
              <w:rPr>
                <w:rFonts w:ascii="宋体" w:hAnsi="宋体" w:cs="宋体" w:eastAsia="宋体" w:hint="default"/>
                <w:sz w:val="18"/>
                <w:szCs w:val="18"/>
              </w:rPr>
              <w:t>闽侯县政府</w:t>
            </w:r>
          </w:p>
        </w:tc>
        <w:tc>
          <w:tcPr>
            <w:tcW w:w="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103" w:right="0"/>
              <w:jc w:val="left"/>
              <w:rPr>
                <w:rFonts w:ascii="宋体" w:hAnsi="宋体" w:cs="宋体" w:eastAsia="宋体" w:hint="default"/>
                <w:sz w:val="18"/>
                <w:szCs w:val="18"/>
              </w:rPr>
            </w:pPr>
            <w:r>
              <w:rPr>
                <w:rFonts w:ascii="宋体" w:hAnsi="宋体" w:cs="宋体" w:eastAsia="宋体" w:hint="default"/>
                <w:sz w:val="18"/>
                <w:szCs w:val="18"/>
              </w:rPr>
              <w:t>奖励</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03"/>
              <w:jc w:val="both"/>
              <w:rPr>
                <w:rFonts w:ascii="宋体" w:hAnsi="宋体" w:cs="宋体" w:eastAsia="宋体" w:hint="default"/>
                <w:sz w:val="18"/>
                <w:szCs w:val="18"/>
              </w:rPr>
            </w:pPr>
            <w:r>
              <w:rPr>
                <w:rFonts w:ascii="宋体" w:hAnsi="宋体" w:cs="宋体" w:eastAsia="宋体" w:hint="default"/>
                <w:spacing w:val="11"/>
                <w:sz w:val="18"/>
                <w:szCs w:val="18"/>
              </w:rPr>
              <w:t>因从事国家</w:t>
            </w:r>
            <w:r>
              <w:rPr>
                <w:rFonts w:ascii="宋体" w:hAnsi="宋体" w:cs="宋体" w:eastAsia="宋体" w:hint="default"/>
                <w:sz w:val="18"/>
                <w:szCs w:val="18"/>
              </w:rPr>
              <w:t> </w:t>
            </w:r>
            <w:r>
              <w:rPr>
                <w:rFonts w:ascii="宋体" w:hAnsi="宋体" w:cs="宋体" w:eastAsia="宋体" w:hint="default"/>
                <w:spacing w:val="11"/>
                <w:sz w:val="18"/>
                <w:szCs w:val="18"/>
              </w:rPr>
              <w:t>鼓励和扶持</w:t>
            </w:r>
            <w:r>
              <w:rPr>
                <w:rFonts w:ascii="宋体" w:hAnsi="宋体" w:cs="宋体" w:eastAsia="宋体" w:hint="default"/>
                <w:sz w:val="18"/>
                <w:szCs w:val="18"/>
              </w:rPr>
              <w:t> </w:t>
            </w:r>
            <w:r>
              <w:rPr>
                <w:rFonts w:ascii="宋体" w:hAnsi="宋体" w:cs="宋体" w:eastAsia="宋体" w:hint="default"/>
                <w:spacing w:val="11"/>
                <w:sz w:val="18"/>
                <w:szCs w:val="18"/>
              </w:rPr>
              <w:t>特定行业、</w:t>
            </w:r>
            <w:r>
              <w:rPr>
                <w:rFonts w:ascii="宋体" w:hAnsi="宋体" w:cs="宋体" w:eastAsia="宋体" w:hint="default"/>
                <w:sz w:val="18"/>
                <w:szCs w:val="18"/>
              </w:rPr>
              <w:t> </w:t>
            </w:r>
            <w:r>
              <w:rPr>
                <w:rFonts w:ascii="宋体" w:hAnsi="宋体" w:cs="宋体" w:eastAsia="宋体" w:hint="default"/>
                <w:spacing w:val="11"/>
                <w:sz w:val="18"/>
                <w:szCs w:val="18"/>
              </w:rPr>
              <w:t>产业而获得</w:t>
            </w:r>
            <w:r>
              <w:rPr>
                <w:rFonts w:ascii="宋体" w:hAnsi="宋体" w:cs="宋体" w:eastAsia="宋体" w:hint="default"/>
                <w:sz w:val="18"/>
                <w:szCs w:val="18"/>
              </w:rPr>
              <w:t> </w:t>
            </w:r>
            <w:r>
              <w:rPr>
                <w:rFonts w:ascii="宋体" w:hAnsi="宋体" w:cs="宋体" w:eastAsia="宋体" w:hint="default"/>
                <w:spacing w:val="11"/>
                <w:sz w:val="18"/>
                <w:szCs w:val="18"/>
              </w:rPr>
              <w:t>的补助（按</w:t>
            </w:r>
            <w:r>
              <w:rPr>
                <w:rFonts w:ascii="宋体" w:hAnsi="宋体" w:cs="宋体" w:eastAsia="宋体" w:hint="default"/>
                <w:sz w:val="18"/>
                <w:szCs w:val="18"/>
              </w:rPr>
              <w:t> </w:t>
            </w:r>
            <w:r>
              <w:rPr>
                <w:rFonts w:ascii="宋体" w:hAnsi="宋体" w:cs="宋体" w:eastAsia="宋体" w:hint="default"/>
                <w:spacing w:val="11"/>
                <w:sz w:val="18"/>
                <w:szCs w:val="18"/>
              </w:rPr>
              <w:t>国家级政策</w:t>
            </w:r>
            <w:r>
              <w:rPr>
                <w:rFonts w:ascii="宋体" w:hAnsi="宋体" w:cs="宋体" w:eastAsia="宋体" w:hint="default"/>
                <w:sz w:val="18"/>
                <w:szCs w:val="18"/>
              </w:rPr>
              <w:t> </w:t>
            </w:r>
            <w:r>
              <w:rPr>
                <w:rFonts w:ascii="宋体" w:hAnsi="宋体" w:cs="宋体" w:eastAsia="宋体" w:hint="default"/>
                <w:spacing w:val="11"/>
                <w:sz w:val="18"/>
                <w:szCs w:val="18"/>
              </w:rPr>
              <w:t>规定依法取</w:t>
            </w:r>
            <w:r>
              <w:rPr>
                <w:rFonts w:ascii="宋体" w:hAnsi="宋体" w:cs="宋体" w:eastAsia="宋体" w:hint="default"/>
                <w:sz w:val="18"/>
                <w:szCs w:val="18"/>
              </w:rPr>
              <w:t> 得）</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61"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8"/>
              <w:ind w:right="100"/>
              <w:jc w:val="right"/>
              <w:rPr>
                <w:rFonts w:ascii="Times New Roman" w:hAnsi="Times New Roman" w:cs="Times New Roman" w:eastAsia="Times New Roman" w:hint="default"/>
                <w:sz w:val="18"/>
                <w:szCs w:val="18"/>
              </w:rPr>
            </w:pPr>
            <w:r>
              <w:rPr>
                <w:rFonts w:ascii="Times New Roman"/>
                <w:sz w:val="18"/>
              </w:rPr>
              <w:t>6,000.00</w:t>
            </w:r>
          </w:p>
        </w:tc>
        <w:tc>
          <w:tcPr>
            <w:tcW w:w="1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right="68"/>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2586" w:hRule="exact"/>
        </w:trPr>
        <w:tc>
          <w:tcPr>
            <w:tcW w:w="12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312" w:lineRule="auto"/>
              <w:ind w:left="103" w:right="163"/>
              <w:jc w:val="both"/>
              <w:rPr>
                <w:rFonts w:ascii="宋体" w:hAnsi="宋体" w:cs="宋体" w:eastAsia="宋体" w:hint="default"/>
                <w:sz w:val="18"/>
                <w:szCs w:val="18"/>
              </w:rPr>
            </w:pPr>
            <w:r>
              <w:rPr>
                <w:rFonts w:ascii="宋体" w:hAnsi="宋体" w:cs="宋体" w:eastAsia="宋体" w:hint="default"/>
                <w:sz w:val="18"/>
                <w:szCs w:val="18"/>
              </w:rPr>
              <w:t>郑州市</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 </w:t>
            </w:r>
            <w:r>
              <w:rPr>
                <w:rFonts w:ascii="宋体" w:hAnsi="宋体" w:cs="宋体" w:eastAsia="宋体" w:hint="default"/>
                <w:sz w:val="18"/>
                <w:szCs w:val="18"/>
              </w:rPr>
              <w:t>年第二批科 技计划项目 经费</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05"/>
              <w:ind w:left="103" w:right="119"/>
              <w:jc w:val="both"/>
              <w:rPr>
                <w:rFonts w:ascii="宋体" w:hAnsi="宋体" w:cs="宋体" w:eastAsia="宋体" w:hint="default"/>
                <w:sz w:val="18"/>
                <w:szCs w:val="18"/>
              </w:rPr>
            </w:pPr>
            <w:r>
              <w:rPr>
                <w:rFonts w:ascii="宋体" w:hAnsi="宋体" w:cs="宋体" w:eastAsia="宋体" w:hint="default"/>
                <w:sz w:val="18"/>
                <w:szCs w:val="18"/>
              </w:rPr>
              <w:t>郑州高新技 术产业开发 区财政国库 集中支付中 心</w:t>
            </w:r>
          </w:p>
        </w:tc>
        <w:tc>
          <w:tcPr>
            <w:tcW w:w="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103" w:right="0"/>
              <w:jc w:val="left"/>
              <w:rPr>
                <w:rFonts w:ascii="宋体" w:hAnsi="宋体" w:cs="宋体" w:eastAsia="宋体" w:hint="default"/>
                <w:sz w:val="18"/>
                <w:szCs w:val="18"/>
              </w:rPr>
            </w:pPr>
            <w:r>
              <w:rPr>
                <w:rFonts w:ascii="宋体" w:hAnsi="宋体" w:cs="宋体" w:eastAsia="宋体" w:hint="default"/>
                <w:sz w:val="18"/>
                <w:szCs w:val="18"/>
              </w:rPr>
              <w:t>奖励</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03"/>
              <w:jc w:val="both"/>
              <w:rPr>
                <w:rFonts w:ascii="宋体" w:hAnsi="宋体" w:cs="宋体" w:eastAsia="宋体" w:hint="default"/>
                <w:sz w:val="18"/>
                <w:szCs w:val="18"/>
              </w:rPr>
            </w:pPr>
            <w:r>
              <w:rPr>
                <w:rFonts w:ascii="宋体" w:hAnsi="宋体" w:cs="宋体" w:eastAsia="宋体" w:hint="default"/>
                <w:spacing w:val="11"/>
                <w:sz w:val="18"/>
                <w:szCs w:val="18"/>
              </w:rPr>
              <w:t>因从事国家</w:t>
            </w:r>
            <w:r>
              <w:rPr>
                <w:rFonts w:ascii="宋体" w:hAnsi="宋体" w:cs="宋体" w:eastAsia="宋体" w:hint="default"/>
                <w:sz w:val="18"/>
                <w:szCs w:val="18"/>
              </w:rPr>
              <w:t> </w:t>
            </w:r>
            <w:r>
              <w:rPr>
                <w:rFonts w:ascii="宋体" w:hAnsi="宋体" w:cs="宋体" w:eastAsia="宋体" w:hint="default"/>
                <w:spacing w:val="11"/>
                <w:sz w:val="18"/>
                <w:szCs w:val="18"/>
              </w:rPr>
              <w:t>鼓励和扶持</w:t>
            </w:r>
            <w:r>
              <w:rPr>
                <w:rFonts w:ascii="宋体" w:hAnsi="宋体" w:cs="宋体" w:eastAsia="宋体" w:hint="default"/>
                <w:sz w:val="18"/>
                <w:szCs w:val="18"/>
              </w:rPr>
              <w:t> </w:t>
            </w:r>
            <w:r>
              <w:rPr>
                <w:rFonts w:ascii="宋体" w:hAnsi="宋体" w:cs="宋体" w:eastAsia="宋体" w:hint="default"/>
                <w:spacing w:val="11"/>
                <w:sz w:val="18"/>
                <w:szCs w:val="18"/>
              </w:rPr>
              <w:t>特定行业、</w:t>
            </w:r>
            <w:r>
              <w:rPr>
                <w:rFonts w:ascii="宋体" w:hAnsi="宋体" w:cs="宋体" w:eastAsia="宋体" w:hint="default"/>
                <w:sz w:val="18"/>
                <w:szCs w:val="18"/>
              </w:rPr>
              <w:t> </w:t>
            </w:r>
            <w:r>
              <w:rPr>
                <w:rFonts w:ascii="宋体" w:hAnsi="宋体" w:cs="宋体" w:eastAsia="宋体" w:hint="default"/>
                <w:spacing w:val="11"/>
                <w:sz w:val="18"/>
                <w:szCs w:val="18"/>
              </w:rPr>
              <w:t>产业而获得</w:t>
            </w:r>
            <w:r>
              <w:rPr>
                <w:rFonts w:ascii="宋体" w:hAnsi="宋体" w:cs="宋体" w:eastAsia="宋体" w:hint="default"/>
                <w:sz w:val="18"/>
                <w:szCs w:val="18"/>
              </w:rPr>
              <w:t> </w:t>
            </w:r>
            <w:r>
              <w:rPr>
                <w:rFonts w:ascii="宋体" w:hAnsi="宋体" w:cs="宋体" w:eastAsia="宋体" w:hint="default"/>
                <w:spacing w:val="11"/>
                <w:sz w:val="18"/>
                <w:szCs w:val="18"/>
              </w:rPr>
              <w:t>的补助（按</w:t>
            </w:r>
            <w:r>
              <w:rPr>
                <w:rFonts w:ascii="宋体" w:hAnsi="宋体" w:cs="宋体" w:eastAsia="宋体" w:hint="default"/>
                <w:sz w:val="18"/>
                <w:szCs w:val="18"/>
              </w:rPr>
              <w:t> </w:t>
            </w:r>
            <w:r>
              <w:rPr>
                <w:rFonts w:ascii="宋体" w:hAnsi="宋体" w:cs="宋体" w:eastAsia="宋体" w:hint="default"/>
                <w:spacing w:val="11"/>
                <w:sz w:val="18"/>
                <w:szCs w:val="18"/>
              </w:rPr>
              <w:t>国家级政策</w:t>
            </w:r>
            <w:r>
              <w:rPr>
                <w:rFonts w:ascii="宋体" w:hAnsi="宋体" w:cs="宋体" w:eastAsia="宋体" w:hint="default"/>
                <w:sz w:val="18"/>
                <w:szCs w:val="18"/>
              </w:rPr>
              <w:t> </w:t>
            </w:r>
            <w:r>
              <w:rPr>
                <w:rFonts w:ascii="宋体" w:hAnsi="宋体" w:cs="宋体" w:eastAsia="宋体" w:hint="default"/>
                <w:spacing w:val="11"/>
                <w:sz w:val="18"/>
                <w:szCs w:val="18"/>
              </w:rPr>
              <w:t>规定依法取</w:t>
            </w:r>
            <w:r>
              <w:rPr>
                <w:rFonts w:ascii="宋体" w:hAnsi="宋体" w:cs="宋体" w:eastAsia="宋体" w:hint="default"/>
                <w:sz w:val="18"/>
                <w:szCs w:val="18"/>
              </w:rPr>
              <w:t> 得）</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61"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8"/>
              <w:ind w:right="100"/>
              <w:jc w:val="right"/>
              <w:rPr>
                <w:rFonts w:ascii="Times New Roman" w:hAnsi="Times New Roman" w:cs="Times New Roman" w:eastAsia="Times New Roman" w:hint="default"/>
                <w:sz w:val="18"/>
                <w:szCs w:val="18"/>
              </w:rPr>
            </w:pPr>
            <w:r>
              <w:rPr>
                <w:rFonts w:ascii="Times New Roman"/>
                <w:sz w:val="18"/>
              </w:rPr>
              <w:t>124,500.00</w:t>
            </w:r>
          </w:p>
        </w:tc>
        <w:tc>
          <w:tcPr>
            <w:tcW w:w="1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right="68"/>
              <w:jc w:val="center"/>
              <w:rPr>
                <w:rFonts w:ascii="宋体" w:hAnsi="宋体" w:cs="宋体" w:eastAsia="宋体" w:hint="default"/>
                <w:sz w:val="18"/>
                <w:szCs w:val="18"/>
              </w:rPr>
            </w:pPr>
            <w:r>
              <w:rPr>
                <w:rFonts w:ascii="宋体" w:hAnsi="宋体" w:cs="宋体" w:eastAsia="宋体" w:hint="default"/>
                <w:sz w:val="18"/>
                <w:szCs w:val="18"/>
              </w:rPr>
              <w:t>与收益相关</w:t>
            </w:r>
          </w:p>
        </w:tc>
      </w:tr>
    </w:tbl>
    <w:p>
      <w:pPr>
        <w:spacing w:after="0" w:line="240" w:lineRule="auto"/>
        <w:jc w:val="center"/>
        <w:rPr>
          <w:rFonts w:ascii="宋体" w:hAnsi="宋体" w:cs="宋体" w:eastAsia="宋体" w:hint="default"/>
          <w:sz w:val="18"/>
          <w:szCs w:val="18"/>
        </w:rPr>
        <w:sectPr>
          <w:pgSz w:w="11910" w:h="16840"/>
          <w:pgMar w:header="877" w:footer="979" w:top="1060" w:bottom="1160" w:left="8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18" w:type="dxa"/>
        <w:tblLayout w:type="fixed"/>
        <w:tblCellMar>
          <w:top w:w="0" w:type="dxa"/>
          <w:left w:w="0" w:type="dxa"/>
          <w:bottom w:w="0" w:type="dxa"/>
          <w:right w:w="0" w:type="dxa"/>
        </w:tblCellMar>
        <w:tblLook w:val="01E0"/>
      </w:tblPr>
      <w:tblGrid>
        <w:gridCol w:w="1223"/>
        <w:gridCol w:w="1134"/>
        <w:gridCol w:w="808"/>
        <w:gridCol w:w="1176"/>
        <w:gridCol w:w="1134"/>
        <w:gridCol w:w="916"/>
        <w:gridCol w:w="1161"/>
        <w:gridCol w:w="1162"/>
        <w:gridCol w:w="1187"/>
      </w:tblGrid>
      <w:tr>
        <w:trPr>
          <w:trHeight w:val="2586" w:hRule="exact"/>
        </w:trPr>
        <w:tc>
          <w:tcPr>
            <w:tcW w:w="12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312" w:lineRule="auto"/>
              <w:ind w:left="103" w:right="163"/>
              <w:jc w:val="both"/>
              <w:rPr>
                <w:rFonts w:ascii="宋体" w:hAnsi="宋体" w:cs="宋体" w:eastAsia="宋体" w:hint="default"/>
                <w:sz w:val="18"/>
                <w:szCs w:val="18"/>
              </w:rPr>
            </w:pPr>
            <w:r>
              <w:rPr>
                <w:rFonts w:ascii="宋体" w:hAnsi="宋体" w:cs="宋体" w:eastAsia="宋体" w:hint="default"/>
                <w:sz w:val="18"/>
                <w:szCs w:val="18"/>
              </w:rPr>
              <w:t>郑州市</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 </w:t>
            </w:r>
            <w:r>
              <w:rPr>
                <w:rFonts w:ascii="宋体" w:hAnsi="宋体" w:cs="宋体" w:eastAsia="宋体" w:hint="default"/>
                <w:sz w:val="18"/>
                <w:szCs w:val="18"/>
              </w:rPr>
              <w:t>年第二批拟 支持科技计 划项目</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05"/>
              <w:ind w:left="103" w:right="119"/>
              <w:jc w:val="both"/>
              <w:rPr>
                <w:rFonts w:ascii="宋体" w:hAnsi="宋体" w:cs="宋体" w:eastAsia="宋体" w:hint="default"/>
                <w:sz w:val="18"/>
                <w:szCs w:val="18"/>
              </w:rPr>
            </w:pPr>
            <w:r>
              <w:rPr>
                <w:rFonts w:ascii="宋体" w:hAnsi="宋体" w:cs="宋体" w:eastAsia="宋体" w:hint="default"/>
                <w:sz w:val="18"/>
                <w:szCs w:val="18"/>
              </w:rPr>
              <w:t>郑州高新技 术产业开发 区财政国库 集中支付中 心</w:t>
            </w:r>
          </w:p>
        </w:tc>
        <w:tc>
          <w:tcPr>
            <w:tcW w:w="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103" w:right="0"/>
              <w:jc w:val="left"/>
              <w:rPr>
                <w:rFonts w:ascii="宋体" w:hAnsi="宋体" w:cs="宋体" w:eastAsia="宋体" w:hint="default"/>
                <w:sz w:val="18"/>
                <w:szCs w:val="18"/>
              </w:rPr>
            </w:pPr>
            <w:r>
              <w:rPr>
                <w:rFonts w:ascii="宋体" w:hAnsi="宋体" w:cs="宋体" w:eastAsia="宋体" w:hint="default"/>
                <w:sz w:val="18"/>
                <w:szCs w:val="18"/>
              </w:rPr>
              <w:t>奖励</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103"/>
              <w:jc w:val="both"/>
              <w:rPr>
                <w:rFonts w:ascii="宋体" w:hAnsi="宋体" w:cs="宋体" w:eastAsia="宋体" w:hint="default"/>
                <w:sz w:val="18"/>
                <w:szCs w:val="18"/>
              </w:rPr>
            </w:pPr>
            <w:r>
              <w:rPr>
                <w:rFonts w:ascii="宋体" w:hAnsi="宋体" w:cs="宋体" w:eastAsia="宋体" w:hint="default"/>
                <w:spacing w:val="11"/>
                <w:sz w:val="18"/>
                <w:szCs w:val="18"/>
              </w:rPr>
              <w:t>因从事国家</w:t>
            </w:r>
            <w:r>
              <w:rPr>
                <w:rFonts w:ascii="宋体" w:hAnsi="宋体" w:cs="宋体" w:eastAsia="宋体" w:hint="default"/>
                <w:sz w:val="18"/>
                <w:szCs w:val="18"/>
              </w:rPr>
              <w:t> </w:t>
            </w:r>
            <w:r>
              <w:rPr>
                <w:rFonts w:ascii="宋体" w:hAnsi="宋体" w:cs="宋体" w:eastAsia="宋体" w:hint="default"/>
                <w:spacing w:val="11"/>
                <w:sz w:val="18"/>
                <w:szCs w:val="18"/>
              </w:rPr>
              <w:t>鼓励和扶持</w:t>
            </w:r>
            <w:r>
              <w:rPr>
                <w:rFonts w:ascii="宋体" w:hAnsi="宋体" w:cs="宋体" w:eastAsia="宋体" w:hint="default"/>
                <w:sz w:val="18"/>
                <w:szCs w:val="18"/>
              </w:rPr>
              <w:t> </w:t>
            </w:r>
            <w:r>
              <w:rPr>
                <w:rFonts w:ascii="宋体" w:hAnsi="宋体" w:cs="宋体" w:eastAsia="宋体" w:hint="default"/>
                <w:spacing w:val="11"/>
                <w:sz w:val="18"/>
                <w:szCs w:val="18"/>
              </w:rPr>
              <w:t>特定行业、</w:t>
            </w:r>
            <w:r>
              <w:rPr>
                <w:rFonts w:ascii="宋体" w:hAnsi="宋体" w:cs="宋体" w:eastAsia="宋体" w:hint="default"/>
                <w:sz w:val="18"/>
                <w:szCs w:val="18"/>
              </w:rPr>
              <w:t> </w:t>
            </w:r>
            <w:r>
              <w:rPr>
                <w:rFonts w:ascii="宋体" w:hAnsi="宋体" w:cs="宋体" w:eastAsia="宋体" w:hint="default"/>
                <w:spacing w:val="11"/>
                <w:sz w:val="18"/>
                <w:szCs w:val="18"/>
              </w:rPr>
              <w:t>产业而获得</w:t>
            </w:r>
            <w:r>
              <w:rPr>
                <w:rFonts w:ascii="宋体" w:hAnsi="宋体" w:cs="宋体" w:eastAsia="宋体" w:hint="default"/>
                <w:sz w:val="18"/>
                <w:szCs w:val="18"/>
              </w:rPr>
              <w:t> </w:t>
            </w:r>
            <w:r>
              <w:rPr>
                <w:rFonts w:ascii="宋体" w:hAnsi="宋体" w:cs="宋体" w:eastAsia="宋体" w:hint="default"/>
                <w:spacing w:val="11"/>
                <w:sz w:val="18"/>
                <w:szCs w:val="18"/>
              </w:rPr>
              <w:t>的补助（按</w:t>
            </w:r>
            <w:r>
              <w:rPr>
                <w:rFonts w:ascii="宋体" w:hAnsi="宋体" w:cs="宋体" w:eastAsia="宋体" w:hint="default"/>
                <w:sz w:val="18"/>
                <w:szCs w:val="18"/>
              </w:rPr>
              <w:t> </w:t>
            </w:r>
            <w:r>
              <w:rPr>
                <w:rFonts w:ascii="宋体" w:hAnsi="宋体" w:cs="宋体" w:eastAsia="宋体" w:hint="default"/>
                <w:spacing w:val="11"/>
                <w:sz w:val="18"/>
                <w:szCs w:val="18"/>
              </w:rPr>
              <w:t>国家级政策</w:t>
            </w:r>
            <w:r>
              <w:rPr>
                <w:rFonts w:ascii="宋体" w:hAnsi="宋体" w:cs="宋体" w:eastAsia="宋体" w:hint="default"/>
                <w:sz w:val="18"/>
                <w:szCs w:val="18"/>
              </w:rPr>
              <w:t> </w:t>
            </w:r>
            <w:r>
              <w:rPr>
                <w:rFonts w:ascii="宋体" w:hAnsi="宋体" w:cs="宋体" w:eastAsia="宋体" w:hint="default"/>
                <w:spacing w:val="11"/>
                <w:sz w:val="18"/>
                <w:szCs w:val="18"/>
              </w:rPr>
              <w:t>规定依法取</w:t>
            </w:r>
            <w:r>
              <w:rPr>
                <w:rFonts w:ascii="宋体" w:hAnsi="宋体" w:cs="宋体" w:eastAsia="宋体" w:hint="default"/>
                <w:sz w:val="18"/>
                <w:szCs w:val="18"/>
              </w:rPr>
              <w:t> 得）</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61"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8"/>
              <w:ind w:right="100"/>
              <w:jc w:val="right"/>
              <w:rPr>
                <w:rFonts w:ascii="Times New Roman" w:hAnsi="Times New Roman" w:cs="Times New Roman" w:eastAsia="Times New Roman" w:hint="default"/>
                <w:sz w:val="18"/>
                <w:szCs w:val="18"/>
              </w:rPr>
            </w:pPr>
            <w:r>
              <w:rPr>
                <w:rFonts w:ascii="Times New Roman"/>
                <w:sz w:val="18"/>
              </w:rPr>
              <w:t>191,500.00</w:t>
            </w:r>
          </w:p>
        </w:tc>
        <w:tc>
          <w:tcPr>
            <w:tcW w:w="1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right="68"/>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2586" w:hRule="exact"/>
        </w:trPr>
        <w:tc>
          <w:tcPr>
            <w:tcW w:w="12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312" w:lineRule="auto"/>
              <w:ind w:left="103" w:right="163"/>
              <w:jc w:val="both"/>
              <w:rPr>
                <w:rFonts w:ascii="宋体" w:hAnsi="宋体" w:cs="宋体" w:eastAsia="宋体" w:hint="default"/>
                <w:sz w:val="18"/>
                <w:szCs w:val="18"/>
              </w:rPr>
            </w:pPr>
            <w:r>
              <w:rPr>
                <w:rFonts w:ascii="宋体" w:hAnsi="宋体" w:cs="宋体" w:eastAsia="宋体" w:hint="default"/>
                <w:sz w:val="18"/>
                <w:szCs w:val="18"/>
              </w:rPr>
              <w:t>郑州市</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 </w:t>
            </w:r>
            <w:r>
              <w:rPr>
                <w:rFonts w:ascii="宋体" w:hAnsi="宋体" w:cs="宋体" w:eastAsia="宋体" w:hint="default"/>
                <w:sz w:val="18"/>
                <w:szCs w:val="18"/>
              </w:rPr>
              <w:t>年度第二批 专利申请资 助资金</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05"/>
              <w:ind w:left="103" w:right="119"/>
              <w:jc w:val="both"/>
              <w:rPr>
                <w:rFonts w:ascii="宋体" w:hAnsi="宋体" w:cs="宋体" w:eastAsia="宋体" w:hint="default"/>
                <w:sz w:val="18"/>
                <w:szCs w:val="18"/>
              </w:rPr>
            </w:pPr>
            <w:r>
              <w:rPr>
                <w:rFonts w:ascii="宋体" w:hAnsi="宋体" w:cs="宋体" w:eastAsia="宋体" w:hint="default"/>
                <w:sz w:val="18"/>
                <w:szCs w:val="18"/>
              </w:rPr>
              <w:t>郑州高新技 术产业开发 区财政国库 集中支付中 心</w:t>
            </w:r>
          </w:p>
        </w:tc>
        <w:tc>
          <w:tcPr>
            <w:tcW w:w="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103" w:right="0"/>
              <w:jc w:val="left"/>
              <w:rPr>
                <w:rFonts w:ascii="宋体" w:hAnsi="宋体" w:cs="宋体" w:eastAsia="宋体" w:hint="default"/>
                <w:sz w:val="18"/>
                <w:szCs w:val="18"/>
              </w:rPr>
            </w:pPr>
            <w:r>
              <w:rPr>
                <w:rFonts w:ascii="宋体" w:hAnsi="宋体" w:cs="宋体" w:eastAsia="宋体" w:hint="default"/>
                <w:sz w:val="18"/>
                <w:szCs w:val="18"/>
              </w:rPr>
              <w:t>奖励</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103"/>
              <w:jc w:val="both"/>
              <w:rPr>
                <w:rFonts w:ascii="宋体" w:hAnsi="宋体" w:cs="宋体" w:eastAsia="宋体" w:hint="default"/>
                <w:sz w:val="18"/>
                <w:szCs w:val="18"/>
              </w:rPr>
            </w:pPr>
            <w:r>
              <w:rPr>
                <w:rFonts w:ascii="宋体" w:hAnsi="宋体" w:cs="宋体" w:eastAsia="宋体" w:hint="default"/>
                <w:spacing w:val="11"/>
                <w:sz w:val="18"/>
                <w:szCs w:val="18"/>
              </w:rPr>
              <w:t>因从事国家</w:t>
            </w:r>
            <w:r>
              <w:rPr>
                <w:rFonts w:ascii="宋体" w:hAnsi="宋体" w:cs="宋体" w:eastAsia="宋体" w:hint="default"/>
                <w:sz w:val="18"/>
                <w:szCs w:val="18"/>
              </w:rPr>
              <w:t> </w:t>
            </w:r>
            <w:r>
              <w:rPr>
                <w:rFonts w:ascii="宋体" w:hAnsi="宋体" w:cs="宋体" w:eastAsia="宋体" w:hint="default"/>
                <w:spacing w:val="11"/>
                <w:sz w:val="18"/>
                <w:szCs w:val="18"/>
              </w:rPr>
              <w:t>鼓励和扶持</w:t>
            </w:r>
            <w:r>
              <w:rPr>
                <w:rFonts w:ascii="宋体" w:hAnsi="宋体" w:cs="宋体" w:eastAsia="宋体" w:hint="default"/>
                <w:sz w:val="18"/>
                <w:szCs w:val="18"/>
              </w:rPr>
              <w:t> </w:t>
            </w:r>
            <w:r>
              <w:rPr>
                <w:rFonts w:ascii="宋体" w:hAnsi="宋体" w:cs="宋体" w:eastAsia="宋体" w:hint="default"/>
                <w:spacing w:val="11"/>
                <w:sz w:val="18"/>
                <w:szCs w:val="18"/>
              </w:rPr>
              <w:t>特定行业、</w:t>
            </w:r>
            <w:r>
              <w:rPr>
                <w:rFonts w:ascii="宋体" w:hAnsi="宋体" w:cs="宋体" w:eastAsia="宋体" w:hint="default"/>
                <w:sz w:val="18"/>
                <w:szCs w:val="18"/>
              </w:rPr>
              <w:t> </w:t>
            </w:r>
            <w:r>
              <w:rPr>
                <w:rFonts w:ascii="宋体" w:hAnsi="宋体" w:cs="宋体" w:eastAsia="宋体" w:hint="default"/>
                <w:spacing w:val="11"/>
                <w:sz w:val="18"/>
                <w:szCs w:val="18"/>
              </w:rPr>
              <w:t>产业而获得</w:t>
            </w:r>
            <w:r>
              <w:rPr>
                <w:rFonts w:ascii="宋体" w:hAnsi="宋体" w:cs="宋体" w:eastAsia="宋体" w:hint="default"/>
                <w:sz w:val="18"/>
                <w:szCs w:val="18"/>
              </w:rPr>
              <w:t> </w:t>
            </w:r>
            <w:r>
              <w:rPr>
                <w:rFonts w:ascii="宋体" w:hAnsi="宋体" w:cs="宋体" w:eastAsia="宋体" w:hint="default"/>
                <w:spacing w:val="11"/>
                <w:sz w:val="18"/>
                <w:szCs w:val="18"/>
              </w:rPr>
              <w:t>的补助（按</w:t>
            </w:r>
            <w:r>
              <w:rPr>
                <w:rFonts w:ascii="宋体" w:hAnsi="宋体" w:cs="宋体" w:eastAsia="宋体" w:hint="default"/>
                <w:sz w:val="18"/>
                <w:szCs w:val="18"/>
              </w:rPr>
              <w:t> </w:t>
            </w:r>
            <w:r>
              <w:rPr>
                <w:rFonts w:ascii="宋体" w:hAnsi="宋体" w:cs="宋体" w:eastAsia="宋体" w:hint="default"/>
                <w:spacing w:val="11"/>
                <w:sz w:val="18"/>
                <w:szCs w:val="18"/>
              </w:rPr>
              <w:t>国家级政策</w:t>
            </w:r>
            <w:r>
              <w:rPr>
                <w:rFonts w:ascii="宋体" w:hAnsi="宋体" w:cs="宋体" w:eastAsia="宋体" w:hint="default"/>
                <w:sz w:val="18"/>
                <w:szCs w:val="18"/>
              </w:rPr>
              <w:t> </w:t>
            </w:r>
            <w:r>
              <w:rPr>
                <w:rFonts w:ascii="宋体" w:hAnsi="宋体" w:cs="宋体" w:eastAsia="宋体" w:hint="default"/>
                <w:spacing w:val="11"/>
                <w:sz w:val="18"/>
                <w:szCs w:val="18"/>
              </w:rPr>
              <w:t>规定依法取</w:t>
            </w:r>
            <w:r>
              <w:rPr>
                <w:rFonts w:ascii="宋体" w:hAnsi="宋体" w:cs="宋体" w:eastAsia="宋体" w:hint="default"/>
                <w:sz w:val="18"/>
                <w:szCs w:val="18"/>
              </w:rPr>
              <w:t> 得）</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61"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8"/>
              <w:ind w:right="100"/>
              <w:jc w:val="right"/>
              <w:rPr>
                <w:rFonts w:ascii="Times New Roman" w:hAnsi="Times New Roman" w:cs="Times New Roman" w:eastAsia="Times New Roman" w:hint="default"/>
                <w:sz w:val="18"/>
                <w:szCs w:val="18"/>
              </w:rPr>
            </w:pPr>
            <w:r>
              <w:rPr>
                <w:rFonts w:ascii="Times New Roman"/>
                <w:sz w:val="18"/>
              </w:rPr>
              <w:t>23,600.00</w:t>
            </w:r>
          </w:p>
        </w:tc>
        <w:tc>
          <w:tcPr>
            <w:tcW w:w="1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right="68"/>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2586" w:hRule="exact"/>
        </w:trPr>
        <w:tc>
          <w:tcPr>
            <w:tcW w:w="12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312" w:lineRule="auto"/>
              <w:ind w:left="103" w:right="163"/>
              <w:jc w:val="both"/>
              <w:rPr>
                <w:rFonts w:ascii="宋体" w:hAnsi="宋体" w:cs="宋体" w:eastAsia="宋体" w:hint="default"/>
                <w:sz w:val="18"/>
                <w:szCs w:val="18"/>
              </w:rPr>
            </w:pPr>
            <w:r>
              <w:rPr>
                <w:rFonts w:ascii="宋体" w:hAnsi="宋体" w:cs="宋体" w:eastAsia="宋体" w:hint="default"/>
                <w:sz w:val="18"/>
                <w:szCs w:val="18"/>
              </w:rPr>
              <w:t>郑州市</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 </w:t>
            </w:r>
            <w:r>
              <w:rPr>
                <w:rFonts w:ascii="宋体" w:hAnsi="宋体" w:cs="宋体" w:eastAsia="宋体" w:hint="default"/>
                <w:sz w:val="18"/>
                <w:szCs w:val="18"/>
              </w:rPr>
              <w:t>年度第一批 专利申请资 助资金</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05"/>
              <w:ind w:left="103" w:right="119"/>
              <w:jc w:val="both"/>
              <w:rPr>
                <w:rFonts w:ascii="宋体" w:hAnsi="宋体" w:cs="宋体" w:eastAsia="宋体" w:hint="default"/>
                <w:sz w:val="18"/>
                <w:szCs w:val="18"/>
              </w:rPr>
            </w:pPr>
            <w:r>
              <w:rPr>
                <w:rFonts w:ascii="宋体" w:hAnsi="宋体" w:cs="宋体" w:eastAsia="宋体" w:hint="default"/>
                <w:sz w:val="18"/>
                <w:szCs w:val="18"/>
              </w:rPr>
              <w:t>郑州高新技 术产业开发 区财政国库 集中支付中 心</w:t>
            </w:r>
          </w:p>
        </w:tc>
        <w:tc>
          <w:tcPr>
            <w:tcW w:w="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103" w:right="0"/>
              <w:jc w:val="left"/>
              <w:rPr>
                <w:rFonts w:ascii="宋体" w:hAnsi="宋体" w:cs="宋体" w:eastAsia="宋体" w:hint="default"/>
                <w:sz w:val="18"/>
                <w:szCs w:val="18"/>
              </w:rPr>
            </w:pPr>
            <w:r>
              <w:rPr>
                <w:rFonts w:ascii="宋体" w:hAnsi="宋体" w:cs="宋体" w:eastAsia="宋体" w:hint="default"/>
                <w:sz w:val="18"/>
                <w:szCs w:val="18"/>
              </w:rPr>
              <w:t>奖励</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103"/>
              <w:jc w:val="both"/>
              <w:rPr>
                <w:rFonts w:ascii="宋体" w:hAnsi="宋体" w:cs="宋体" w:eastAsia="宋体" w:hint="default"/>
                <w:sz w:val="18"/>
                <w:szCs w:val="18"/>
              </w:rPr>
            </w:pPr>
            <w:r>
              <w:rPr>
                <w:rFonts w:ascii="宋体" w:hAnsi="宋体" w:cs="宋体" w:eastAsia="宋体" w:hint="default"/>
                <w:spacing w:val="11"/>
                <w:sz w:val="18"/>
                <w:szCs w:val="18"/>
              </w:rPr>
              <w:t>因从事国家</w:t>
            </w:r>
            <w:r>
              <w:rPr>
                <w:rFonts w:ascii="宋体" w:hAnsi="宋体" w:cs="宋体" w:eastAsia="宋体" w:hint="default"/>
                <w:sz w:val="18"/>
                <w:szCs w:val="18"/>
              </w:rPr>
              <w:t> </w:t>
            </w:r>
            <w:r>
              <w:rPr>
                <w:rFonts w:ascii="宋体" w:hAnsi="宋体" w:cs="宋体" w:eastAsia="宋体" w:hint="default"/>
                <w:spacing w:val="11"/>
                <w:sz w:val="18"/>
                <w:szCs w:val="18"/>
              </w:rPr>
              <w:t>鼓励和扶持</w:t>
            </w:r>
            <w:r>
              <w:rPr>
                <w:rFonts w:ascii="宋体" w:hAnsi="宋体" w:cs="宋体" w:eastAsia="宋体" w:hint="default"/>
                <w:sz w:val="18"/>
                <w:szCs w:val="18"/>
              </w:rPr>
              <w:t> </w:t>
            </w:r>
            <w:r>
              <w:rPr>
                <w:rFonts w:ascii="宋体" w:hAnsi="宋体" w:cs="宋体" w:eastAsia="宋体" w:hint="default"/>
                <w:spacing w:val="11"/>
                <w:sz w:val="18"/>
                <w:szCs w:val="18"/>
              </w:rPr>
              <w:t>特定行业、</w:t>
            </w:r>
            <w:r>
              <w:rPr>
                <w:rFonts w:ascii="宋体" w:hAnsi="宋体" w:cs="宋体" w:eastAsia="宋体" w:hint="default"/>
                <w:sz w:val="18"/>
                <w:szCs w:val="18"/>
              </w:rPr>
              <w:t> </w:t>
            </w:r>
            <w:r>
              <w:rPr>
                <w:rFonts w:ascii="宋体" w:hAnsi="宋体" w:cs="宋体" w:eastAsia="宋体" w:hint="default"/>
                <w:spacing w:val="11"/>
                <w:sz w:val="18"/>
                <w:szCs w:val="18"/>
              </w:rPr>
              <w:t>产业而获得</w:t>
            </w:r>
            <w:r>
              <w:rPr>
                <w:rFonts w:ascii="宋体" w:hAnsi="宋体" w:cs="宋体" w:eastAsia="宋体" w:hint="default"/>
                <w:sz w:val="18"/>
                <w:szCs w:val="18"/>
              </w:rPr>
              <w:t> </w:t>
            </w:r>
            <w:r>
              <w:rPr>
                <w:rFonts w:ascii="宋体" w:hAnsi="宋体" w:cs="宋体" w:eastAsia="宋体" w:hint="default"/>
                <w:spacing w:val="11"/>
                <w:sz w:val="18"/>
                <w:szCs w:val="18"/>
              </w:rPr>
              <w:t>的补助（按</w:t>
            </w:r>
            <w:r>
              <w:rPr>
                <w:rFonts w:ascii="宋体" w:hAnsi="宋体" w:cs="宋体" w:eastAsia="宋体" w:hint="default"/>
                <w:sz w:val="18"/>
                <w:szCs w:val="18"/>
              </w:rPr>
              <w:t> </w:t>
            </w:r>
            <w:r>
              <w:rPr>
                <w:rFonts w:ascii="宋体" w:hAnsi="宋体" w:cs="宋体" w:eastAsia="宋体" w:hint="default"/>
                <w:spacing w:val="11"/>
                <w:sz w:val="18"/>
                <w:szCs w:val="18"/>
              </w:rPr>
              <w:t>国家级政策</w:t>
            </w:r>
            <w:r>
              <w:rPr>
                <w:rFonts w:ascii="宋体" w:hAnsi="宋体" w:cs="宋体" w:eastAsia="宋体" w:hint="default"/>
                <w:sz w:val="18"/>
                <w:szCs w:val="18"/>
              </w:rPr>
              <w:t> </w:t>
            </w:r>
            <w:r>
              <w:rPr>
                <w:rFonts w:ascii="宋体" w:hAnsi="宋体" w:cs="宋体" w:eastAsia="宋体" w:hint="default"/>
                <w:spacing w:val="11"/>
                <w:sz w:val="18"/>
                <w:szCs w:val="18"/>
              </w:rPr>
              <w:t>规定依法取</w:t>
            </w:r>
            <w:r>
              <w:rPr>
                <w:rFonts w:ascii="宋体" w:hAnsi="宋体" w:cs="宋体" w:eastAsia="宋体" w:hint="default"/>
                <w:sz w:val="18"/>
                <w:szCs w:val="18"/>
              </w:rPr>
              <w:t> 得）</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61"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8"/>
              <w:ind w:right="100"/>
              <w:jc w:val="right"/>
              <w:rPr>
                <w:rFonts w:ascii="Times New Roman" w:hAnsi="Times New Roman" w:cs="Times New Roman" w:eastAsia="Times New Roman" w:hint="default"/>
                <w:sz w:val="18"/>
                <w:szCs w:val="18"/>
              </w:rPr>
            </w:pPr>
            <w:r>
              <w:rPr>
                <w:rFonts w:ascii="Times New Roman"/>
                <w:sz w:val="18"/>
              </w:rPr>
              <w:t>64,000.00</w:t>
            </w:r>
          </w:p>
        </w:tc>
        <w:tc>
          <w:tcPr>
            <w:tcW w:w="1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right="68"/>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2586" w:hRule="exact"/>
        </w:trPr>
        <w:tc>
          <w:tcPr>
            <w:tcW w:w="12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312" w:lineRule="auto"/>
              <w:ind w:left="103" w:right="163"/>
              <w:jc w:val="both"/>
              <w:rPr>
                <w:rFonts w:ascii="宋体" w:hAnsi="宋体" w:cs="宋体" w:eastAsia="宋体" w:hint="default"/>
                <w:sz w:val="18"/>
                <w:szCs w:val="18"/>
              </w:rPr>
            </w:pPr>
            <w:r>
              <w:rPr>
                <w:rFonts w:ascii="宋体" w:hAnsi="宋体" w:cs="宋体" w:eastAsia="宋体" w:hint="default"/>
                <w:sz w:val="18"/>
                <w:szCs w:val="18"/>
              </w:rPr>
              <w:t>郑州市</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 </w:t>
            </w:r>
            <w:r>
              <w:rPr>
                <w:rFonts w:ascii="宋体" w:hAnsi="宋体" w:cs="宋体" w:eastAsia="宋体" w:hint="default"/>
                <w:sz w:val="18"/>
                <w:szCs w:val="18"/>
              </w:rPr>
              <w:t>年第二批专 利申请资助 资金</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05"/>
              <w:ind w:left="103" w:right="119"/>
              <w:jc w:val="both"/>
              <w:rPr>
                <w:rFonts w:ascii="宋体" w:hAnsi="宋体" w:cs="宋体" w:eastAsia="宋体" w:hint="default"/>
                <w:sz w:val="18"/>
                <w:szCs w:val="18"/>
              </w:rPr>
            </w:pPr>
            <w:r>
              <w:rPr>
                <w:rFonts w:ascii="宋体" w:hAnsi="宋体" w:cs="宋体" w:eastAsia="宋体" w:hint="default"/>
                <w:sz w:val="18"/>
                <w:szCs w:val="18"/>
              </w:rPr>
              <w:t>郑州高新技 术产业开发 区财政国库 集中支付中 心</w:t>
            </w:r>
          </w:p>
        </w:tc>
        <w:tc>
          <w:tcPr>
            <w:tcW w:w="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103" w:right="0"/>
              <w:jc w:val="left"/>
              <w:rPr>
                <w:rFonts w:ascii="宋体" w:hAnsi="宋体" w:cs="宋体" w:eastAsia="宋体" w:hint="default"/>
                <w:sz w:val="18"/>
                <w:szCs w:val="18"/>
              </w:rPr>
            </w:pPr>
            <w:r>
              <w:rPr>
                <w:rFonts w:ascii="宋体" w:hAnsi="宋体" w:cs="宋体" w:eastAsia="宋体" w:hint="default"/>
                <w:sz w:val="18"/>
                <w:szCs w:val="18"/>
              </w:rPr>
              <w:t>奖励</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103"/>
              <w:jc w:val="both"/>
              <w:rPr>
                <w:rFonts w:ascii="宋体" w:hAnsi="宋体" w:cs="宋体" w:eastAsia="宋体" w:hint="default"/>
                <w:sz w:val="18"/>
                <w:szCs w:val="18"/>
              </w:rPr>
            </w:pPr>
            <w:r>
              <w:rPr>
                <w:rFonts w:ascii="宋体" w:hAnsi="宋体" w:cs="宋体" w:eastAsia="宋体" w:hint="default"/>
                <w:spacing w:val="11"/>
                <w:sz w:val="18"/>
                <w:szCs w:val="18"/>
              </w:rPr>
              <w:t>因从事国家</w:t>
            </w:r>
            <w:r>
              <w:rPr>
                <w:rFonts w:ascii="宋体" w:hAnsi="宋体" w:cs="宋体" w:eastAsia="宋体" w:hint="default"/>
                <w:sz w:val="18"/>
                <w:szCs w:val="18"/>
              </w:rPr>
              <w:t> </w:t>
            </w:r>
            <w:r>
              <w:rPr>
                <w:rFonts w:ascii="宋体" w:hAnsi="宋体" w:cs="宋体" w:eastAsia="宋体" w:hint="default"/>
                <w:spacing w:val="11"/>
                <w:sz w:val="18"/>
                <w:szCs w:val="18"/>
              </w:rPr>
              <w:t>鼓励和扶持</w:t>
            </w:r>
            <w:r>
              <w:rPr>
                <w:rFonts w:ascii="宋体" w:hAnsi="宋体" w:cs="宋体" w:eastAsia="宋体" w:hint="default"/>
                <w:sz w:val="18"/>
                <w:szCs w:val="18"/>
              </w:rPr>
              <w:t> </w:t>
            </w:r>
            <w:r>
              <w:rPr>
                <w:rFonts w:ascii="宋体" w:hAnsi="宋体" w:cs="宋体" w:eastAsia="宋体" w:hint="default"/>
                <w:spacing w:val="11"/>
                <w:sz w:val="18"/>
                <w:szCs w:val="18"/>
              </w:rPr>
              <w:t>特定行业、</w:t>
            </w:r>
            <w:r>
              <w:rPr>
                <w:rFonts w:ascii="宋体" w:hAnsi="宋体" w:cs="宋体" w:eastAsia="宋体" w:hint="default"/>
                <w:sz w:val="18"/>
                <w:szCs w:val="18"/>
              </w:rPr>
              <w:t> </w:t>
            </w:r>
            <w:r>
              <w:rPr>
                <w:rFonts w:ascii="宋体" w:hAnsi="宋体" w:cs="宋体" w:eastAsia="宋体" w:hint="default"/>
                <w:spacing w:val="11"/>
                <w:sz w:val="18"/>
                <w:szCs w:val="18"/>
              </w:rPr>
              <w:t>产业而获得</w:t>
            </w:r>
            <w:r>
              <w:rPr>
                <w:rFonts w:ascii="宋体" w:hAnsi="宋体" w:cs="宋体" w:eastAsia="宋体" w:hint="default"/>
                <w:sz w:val="18"/>
                <w:szCs w:val="18"/>
              </w:rPr>
              <w:t> </w:t>
            </w:r>
            <w:r>
              <w:rPr>
                <w:rFonts w:ascii="宋体" w:hAnsi="宋体" w:cs="宋体" w:eastAsia="宋体" w:hint="default"/>
                <w:spacing w:val="11"/>
                <w:sz w:val="18"/>
                <w:szCs w:val="18"/>
              </w:rPr>
              <w:t>的补助（按</w:t>
            </w:r>
            <w:r>
              <w:rPr>
                <w:rFonts w:ascii="宋体" w:hAnsi="宋体" w:cs="宋体" w:eastAsia="宋体" w:hint="default"/>
                <w:sz w:val="18"/>
                <w:szCs w:val="18"/>
              </w:rPr>
              <w:t> </w:t>
            </w:r>
            <w:r>
              <w:rPr>
                <w:rFonts w:ascii="宋体" w:hAnsi="宋体" w:cs="宋体" w:eastAsia="宋体" w:hint="default"/>
                <w:spacing w:val="11"/>
                <w:sz w:val="18"/>
                <w:szCs w:val="18"/>
              </w:rPr>
              <w:t>国家级政策</w:t>
            </w:r>
            <w:r>
              <w:rPr>
                <w:rFonts w:ascii="宋体" w:hAnsi="宋体" w:cs="宋体" w:eastAsia="宋体" w:hint="default"/>
                <w:sz w:val="18"/>
                <w:szCs w:val="18"/>
              </w:rPr>
              <w:t> </w:t>
            </w:r>
            <w:r>
              <w:rPr>
                <w:rFonts w:ascii="宋体" w:hAnsi="宋体" w:cs="宋体" w:eastAsia="宋体" w:hint="default"/>
                <w:spacing w:val="11"/>
                <w:sz w:val="18"/>
                <w:szCs w:val="18"/>
              </w:rPr>
              <w:t>规定依法取</w:t>
            </w:r>
            <w:r>
              <w:rPr>
                <w:rFonts w:ascii="宋体" w:hAnsi="宋体" w:cs="宋体" w:eastAsia="宋体" w:hint="default"/>
                <w:sz w:val="18"/>
                <w:szCs w:val="18"/>
              </w:rPr>
              <w:t> 得）</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61"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8"/>
              <w:ind w:right="100"/>
              <w:jc w:val="right"/>
              <w:rPr>
                <w:rFonts w:ascii="Times New Roman" w:hAnsi="Times New Roman" w:cs="Times New Roman" w:eastAsia="Times New Roman" w:hint="default"/>
                <w:sz w:val="18"/>
                <w:szCs w:val="18"/>
              </w:rPr>
            </w:pPr>
            <w:r>
              <w:rPr>
                <w:rFonts w:ascii="Times New Roman"/>
                <w:sz w:val="18"/>
              </w:rPr>
              <w:t>18,000.00</w:t>
            </w:r>
          </w:p>
        </w:tc>
        <w:tc>
          <w:tcPr>
            <w:tcW w:w="1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right="68"/>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2586" w:hRule="exact"/>
        </w:trPr>
        <w:tc>
          <w:tcPr>
            <w:tcW w:w="12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4" w:lineRule="auto" w:before="156"/>
              <w:ind w:left="103" w:right="119"/>
              <w:jc w:val="left"/>
              <w:rPr>
                <w:rFonts w:ascii="宋体" w:hAnsi="宋体" w:cs="宋体" w:eastAsia="宋体" w:hint="default"/>
                <w:sz w:val="18"/>
                <w:szCs w:val="18"/>
              </w:rPr>
            </w:pPr>
            <w:r>
              <w:rPr>
                <w:rFonts w:ascii="宋体" w:hAnsi="宋体" w:cs="宋体" w:eastAsia="宋体" w:hint="default"/>
                <w:sz w:val="18"/>
                <w:szCs w:val="18"/>
              </w:rPr>
              <w:t>郑州市财政 局</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 三批省企业 技术创新引 导专项项目 经费</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05"/>
              <w:ind w:left="103" w:right="119"/>
              <w:jc w:val="both"/>
              <w:rPr>
                <w:rFonts w:ascii="宋体" w:hAnsi="宋体" w:cs="宋体" w:eastAsia="宋体" w:hint="default"/>
                <w:sz w:val="18"/>
                <w:szCs w:val="18"/>
              </w:rPr>
            </w:pPr>
            <w:r>
              <w:rPr>
                <w:rFonts w:ascii="宋体" w:hAnsi="宋体" w:cs="宋体" w:eastAsia="宋体" w:hint="default"/>
                <w:sz w:val="18"/>
                <w:szCs w:val="18"/>
              </w:rPr>
              <w:t>郑州高新技 术产业开发 区财政国库 集中支付中 心</w:t>
            </w:r>
          </w:p>
        </w:tc>
        <w:tc>
          <w:tcPr>
            <w:tcW w:w="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103" w:right="0"/>
              <w:jc w:val="left"/>
              <w:rPr>
                <w:rFonts w:ascii="宋体" w:hAnsi="宋体" w:cs="宋体" w:eastAsia="宋体" w:hint="default"/>
                <w:sz w:val="18"/>
                <w:szCs w:val="18"/>
              </w:rPr>
            </w:pPr>
            <w:r>
              <w:rPr>
                <w:rFonts w:ascii="宋体" w:hAnsi="宋体" w:cs="宋体" w:eastAsia="宋体" w:hint="default"/>
                <w:sz w:val="18"/>
                <w:szCs w:val="18"/>
              </w:rPr>
              <w:t>奖励</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103"/>
              <w:jc w:val="both"/>
              <w:rPr>
                <w:rFonts w:ascii="宋体" w:hAnsi="宋体" w:cs="宋体" w:eastAsia="宋体" w:hint="default"/>
                <w:sz w:val="18"/>
                <w:szCs w:val="18"/>
              </w:rPr>
            </w:pPr>
            <w:r>
              <w:rPr>
                <w:rFonts w:ascii="宋体" w:hAnsi="宋体" w:cs="宋体" w:eastAsia="宋体" w:hint="default"/>
                <w:spacing w:val="11"/>
                <w:sz w:val="18"/>
                <w:szCs w:val="18"/>
              </w:rPr>
              <w:t>因从事国家</w:t>
            </w:r>
            <w:r>
              <w:rPr>
                <w:rFonts w:ascii="宋体" w:hAnsi="宋体" w:cs="宋体" w:eastAsia="宋体" w:hint="default"/>
                <w:sz w:val="18"/>
                <w:szCs w:val="18"/>
              </w:rPr>
              <w:t> </w:t>
            </w:r>
            <w:r>
              <w:rPr>
                <w:rFonts w:ascii="宋体" w:hAnsi="宋体" w:cs="宋体" w:eastAsia="宋体" w:hint="default"/>
                <w:spacing w:val="11"/>
                <w:sz w:val="18"/>
                <w:szCs w:val="18"/>
              </w:rPr>
              <w:t>鼓励和扶持</w:t>
            </w:r>
            <w:r>
              <w:rPr>
                <w:rFonts w:ascii="宋体" w:hAnsi="宋体" w:cs="宋体" w:eastAsia="宋体" w:hint="default"/>
                <w:sz w:val="18"/>
                <w:szCs w:val="18"/>
              </w:rPr>
              <w:t> </w:t>
            </w:r>
            <w:r>
              <w:rPr>
                <w:rFonts w:ascii="宋体" w:hAnsi="宋体" w:cs="宋体" w:eastAsia="宋体" w:hint="default"/>
                <w:spacing w:val="11"/>
                <w:sz w:val="18"/>
                <w:szCs w:val="18"/>
              </w:rPr>
              <w:t>特定行业、</w:t>
            </w:r>
            <w:r>
              <w:rPr>
                <w:rFonts w:ascii="宋体" w:hAnsi="宋体" w:cs="宋体" w:eastAsia="宋体" w:hint="default"/>
                <w:sz w:val="18"/>
                <w:szCs w:val="18"/>
              </w:rPr>
              <w:t> </w:t>
            </w:r>
            <w:r>
              <w:rPr>
                <w:rFonts w:ascii="宋体" w:hAnsi="宋体" w:cs="宋体" w:eastAsia="宋体" w:hint="default"/>
                <w:spacing w:val="11"/>
                <w:sz w:val="18"/>
                <w:szCs w:val="18"/>
              </w:rPr>
              <w:t>产业而获得</w:t>
            </w:r>
            <w:r>
              <w:rPr>
                <w:rFonts w:ascii="宋体" w:hAnsi="宋体" w:cs="宋体" w:eastAsia="宋体" w:hint="default"/>
                <w:sz w:val="18"/>
                <w:szCs w:val="18"/>
              </w:rPr>
              <w:t> </w:t>
            </w:r>
            <w:r>
              <w:rPr>
                <w:rFonts w:ascii="宋体" w:hAnsi="宋体" w:cs="宋体" w:eastAsia="宋体" w:hint="default"/>
                <w:spacing w:val="11"/>
                <w:sz w:val="18"/>
                <w:szCs w:val="18"/>
              </w:rPr>
              <w:t>的补助（按</w:t>
            </w:r>
            <w:r>
              <w:rPr>
                <w:rFonts w:ascii="宋体" w:hAnsi="宋体" w:cs="宋体" w:eastAsia="宋体" w:hint="default"/>
                <w:sz w:val="18"/>
                <w:szCs w:val="18"/>
              </w:rPr>
              <w:t> </w:t>
            </w:r>
            <w:r>
              <w:rPr>
                <w:rFonts w:ascii="宋体" w:hAnsi="宋体" w:cs="宋体" w:eastAsia="宋体" w:hint="default"/>
                <w:spacing w:val="11"/>
                <w:sz w:val="18"/>
                <w:szCs w:val="18"/>
              </w:rPr>
              <w:t>国家级政策</w:t>
            </w:r>
            <w:r>
              <w:rPr>
                <w:rFonts w:ascii="宋体" w:hAnsi="宋体" w:cs="宋体" w:eastAsia="宋体" w:hint="default"/>
                <w:sz w:val="18"/>
                <w:szCs w:val="18"/>
              </w:rPr>
              <w:t> </w:t>
            </w:r>
            <w:r>
              <w:rPr>
                <w:rFonts w:ascii="宋体" w:hAnsi="宋体" w:cs="宋体" w:eastAsia="宋体" w:hint="default"/>
                <w:spacing w:val="11"/>
                <w:sz w:val="18"/>
                <w:szCs w:val="18"/>
              </w:rPr>
              <w:t>规定依法取</w:t>
            </w:r>
            <w:r>
              <w:rPr>
                <w:rFonts w:ascii="宋体" w:hAnsi="宋体" w:cs="宋体" w:eastAsia="宋体" w:hint="default"/>
                <w:sz w:val="18"/>
                <w:szCs w:val="18"/>
              </w:rPr>
              <w:t> 得）</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61"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8"/>
              <w:ind w:right="100"/>
              <w:jc w:val="right"/>
              <w:rPr>
                <w:rFonts w:ascii="Times New Roman" w:hAnsi="Times New Roman" w:cs="Times New Roman" w:eastAsia="Times New Roman" w:hint="default"/>
                <w:sz w:val="18"/>
                <w:szCs w:val="18"/>
              </w:rPr>
            </w:pPr>
            <w:r>
              <w:rPr>
                <w:rFonts w:ascii="Times New Roman"/>
                <w:sz w:val="18"/>
              </w:rPr>
              <w:t>350,000.00</w:t>
            </w:r>
          </w:p>
        </w:tc>
        <w:tc>
          <w:tcPr>
            <w:tcW w:w="1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right="68"/>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986" w:hRule="exact"/>
        </w:trPr>
        <w:tc>
          <w:tcPr>
            <w:tcW w:w="12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7"/>
              <w:ind w:left="103" w:right="0"/>
              <w:jc w:val="left"/>
              <w:rPr>
                <w:rFonts w:ascii="宋体" w:hAnsi="宋体" w:cs="宋体" w:eastAsia="宋体" w:hint="default"/>
                <w:sz w:val="18"/>
                <w:szCs w:val="18"/>
              </w:rPr>
            </w:pPr>
            <w:r>
              <w:rPr>
                <w:rFonts w:ascii="宋体" w:hAnsi="宋体" w:cs="宋体" w:eastAsia="宋体" w:hint="default"/>
                <w:sz w:val="18"/>
                <w:szCs w:val="18"/>
              </w:rPr>
              <w:t>政府贴息款</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7"/>
              <w:ind w:left="103" w:right="0"/>
              <w:jc w:val="left"/>
              <w:rPr>
                <w:rFonts w:ascii="宋体" w:hAnsi="宋体" w:cs="宋体" w:eastAsia="宋体" w:hint="default"/>
                <w:sz w:val="18"/>
                <w:szCs w:val="18"/>
              </w:rPr>
            </w:pPr>
            <w:r>
              <w:rPr>
                <w:rFonts w:ascii="宋体" w:hAnsi="宋体" w:cs="宋体" w:eastAsia="宋体" w:hint="default"/>
                <w:sz w:val="18"/>
                <w:szCs w:val="18"/>
              </w:rPr>
              <w:t>中关村园区</w:t>
            </w:r>
          </w:p>
        </w:tc>
        <w:tc>
          <w:tcPr>
            <w:tcW w:w="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7"/>
              <w:ind w:left="103" w:right="0"/>
              <w:jc w:val="left"/>
              <w:rPr>
                <w:rFonts w:ascii="宋体" w:hAnsi="宋体" w:cs="宋体" w:eastAsia="宋体" w:hint="default"/>
                <w:sz w:val="18"/>
                <w:szCs w:val="18"/>
              </w:rPr>
            </w:pPr>
            <w:r>
              <w:rPr>
                <w:rFonts w:ascii="宋体" w:hAnsi="宋体" w:cs="宋体" w:eastAsia="宋体" w:hint="default"/>
                <w:sz w:val="18"/>
                <w:szCs w:val="18"/>
              </w:rPr>
              <w:t>奖励</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03"/>
              <w:jc w:val="both"/>
              <w:rPr>
                <w:rFonts w:ascii="宋体" w:hAnsi="宋体" w:cs="宋体" w:eastAsia="宋体" w:hint="default"/>
                <w:sz w:val="18"/>
                <w:szCs w:val="18"/>
              </w:rPr>
            </w:pPr>
            <w:r>
              <w:rPr>
                <w:rFonts w:ascii="宋体" w:hAnsi="宋体" w:cs="宋体" w:eastAsia="宋体" w:hint="default"/>
                <w:spacing w:val="11"/>
                <w:sz w:val="18"/>
                <w:szCs w:val="18"/>
              </w:rPr>
              <w:t>因从事国家</w:t>
            </w:r>
            <w:r>
              <w:rPr>
                <w:rFonts w:ascii="宋体" w:hAnsi="宋体" w:cs="宋体" w:eastAsia="宋体" w:hint="default"/>
                <w:sz w:val="18"/>
                <w:szCs w:val="18"/>
              </w:rPr>
              <w:t> </w:t>
            </w:r>
            <w:r>
              <w:rPr>
                <w:rFonts w:ascii="宋体" w:hAnsi="宋体" w:cs="宋体" w:eastAsia="宋体" w:hint="default"/>
                <w:spacing w:val="11"/>
                <w:sz w:val="18"/>
                <w:szCs w:val="18"/>
              </w:rPr>
              <w:t>鼓励和扶持</w:t>
            </w:r>
            <w:r>
              <w:rPr>
                <w:rFonts w:ascii="宋体" w:hAnsi="宋体" w:cs="宋体" w:eastAsia="宋体" w:hint="default"/>
                <w:sz w:val="18"/>
                <w:szCs w:val="18"/>
              </w:rPr>
              <w:t> </w:t>
            </w:r>
            <w:r>
              <w:rPr>
                <w:rFonts w:ascii="宋体" w:hAnsi="宋体" w:cs="宋体" w:eastAsia="宋体" w:hint="default"/>
                <w:spacing w:val="11"/>
                <w:sz w:val="18"/>
                <w:szCs w:val="18"/>
              </w:rPr>
              <w:t>特定行业、</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7"/>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7"/>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61"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67,556.00</w:t>
            </w:r>
          </w:p>
        </w:tc>
        <w:tc>
          <w:tcPr>
            <w:tcW w:w="1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7"/>
              <w:ind w:right="68"/>
              <w:jc w:val="center"/>
              <w:rPr>
                <w:rFonts w:ascii="宋体" w:hAnsi="宋体" w:cs="宋体" w:eastAsia="宋体" w:hint="default"/>
                <w:sz w:val="18"/>
                <w:szCs w:val="18"/>
              </w:rPr>
            </w:pPr>
            <w:r>
              <w:rPr>
                <w:rFonts w:ascii="宋体" w:hAnsi="宋体" w:cs="宋体" w:eastAsia="宋体" w:hint="default"/>
                <w:sz w:val="18"/>
                <w:szCs w:val="18"/>
              </w:rPr>
              <w:t>与收益相关</w:t>
            </w:r>
          </w:p>
        </w:tc>
      </w:tr>
    </w:tbl>
    <w:p>
      <w:pPr>
        <w:spacing w:after="0" w:line="240" w:lineRule="auto"/>
        <w:jc w:val="center"/>
        <w:rPr>
          <w:rFonts w:ascii="宋体" w:hAnsi="宋体" w:cs="宋体" w:eastAsia="宋体" w:hint="default"/>
          <w:sz w:val="18"/>
          <w:szCs w:val="18"/>
        </w:rPr>
        <w:sectPr>
          <w:pgSz w:w="11910" w:h="16840"/>
          <w:pgMar w:header="877" w:footer="979" w:top="1060" w:bottom="1160" w:left="8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18" w:type="dxa"/>
        <w:tblLayout w:type="fixed"/>
        <w:tblCellMar>
          <w:top w:w="0" w:type="dxa"/>
          <w:left w:w="0" w:type="dxa"/>
          <w:bottom w:w="0" w:type="dxa"/>
          <w:right w:w="0" w:type="dxa"/>
        </w:tblCellMar>
        <w:tblLook w:val="01E0"/>
      </w:tblPr>
      <w:tblGrid>
        <w:gridCol w:w="1223"/>
        <w:gridCol w:w="1134"/>
        <w:gridCol w:w="808"/>
        <w:gridCol w:w="1176"/>
        <w:gridCol w:w="1134"/>
        <w:gridCol w:w="916"/>
        <w:gridCol w:w="1161"/>
        <w:gridCol w:w="1162"/>
        <w:gridCol w:w="1187"/>
      </w:tblGrid>
      <w:tr>
        <w:trPr>
          <w:trHeight w:val="1611" w:hRule="exact"/>
        </w:trPr>
        <w:tc>
          <w:tcPr>
            <w:tcW w:w="1223"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808" w:type="dxa"/>
            <w:tcBorders>
              <w:top w:val="single" w:sz="4" w:space="0" w:color="000000"/>
              <w:left w:val="single" w:sz="4" w:space="0" w:color="000000"/>
              <w:bottom w:val="single" w:sz="4" w:space="0" w:color="000000"/>
              <w:right w:val="single" w:sz="4" w:space="0" w:color="000000"/>
            </w:tcBorders>
          </w:tcPr>
          <w:p>
            <w:pP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103" w:right="103"/>
              <w:jc w:val="both"/>
              <w:rPr>
                <w:rFonts w:ascii="宋体" w:hAnsi="宋体" w:cs="宋体" w:eastAsia="宋体" w:hint="default"/>
                <w:sz w:val="18"/>
                <w:szCs w:val="18"/>
              </w:rPr>
            </w:pPr>
            <w:r>
              <w:rPr>
                <w:rFonts w:ascii="宋体" w:hAnsi="宋体" w:cs="宋体" w:eastAsia="宋体" w:hint="default"/>
                <w:spacing w:val="11"/>
                <w:sz w:val="18"/>
                <w:szCs w:val="18"/>
              </w:rPr>
              <w:t>产业而获得</w:t>
            </w:r>
            <w:r>
              <w:rPr>
                <w:rFonts w:ascii="宋体" w:hAnsi="宋体" w:cs="宋体" w:eastAsia="宋体" w:hint="default"/>
                <w:sz w:val="18"/>
                <w:szCs w:val="18"/>
              </w:rPr>
              <w:t> </w:t>
            </w:r>
            <w:r>
              <w:rPr>
                <w:rFonts w:ascii="宋体" w:hAnsi="宋体" w:cs="宋体" w:eastAsia="宋体" w:hint="default"/>
                <w:spacing w:val="11"/>
                <w:sz w:val="18"/>
                <w:szCs w:val="18"/>
              </w:rPr>
              <w:t>的补助（按</w:t>
            </w:r>
            <w:r>
              <w:rPr>
                <w:rFonts w:ascii="宋体" w:hAnsi="宋体" w:cs="宋体" w:eastAsia="宋体" w:hint="default"/>
                <w:sz w:val="18"/>
                <w:szCs w:val="18"/>
              </w:rPr>
              <w:t> </w:t>
            </w:r>
            <w:r>
              <w:rPr>
                <w:rFonts w:ascii="宋体" w:hAnsi="宋体" w:cs="宋体" w:eastAsia="宋体" w:hint="default"/>
                <w:spacing w:val="11"/>
                <w:sz w:val="18"/>
                <w:szCs w:val="18"/>
              </w:rPr>
              <w:t>国家级政策</w:t>
            </w:r>
            <w:r>
              <w:rPr>
                <w:rFonts w:ascii="宋体" w:hAnsi="宋体" w:cs="宋体" w:eastAsia="宋体" w:hint="default"/>
                <w:sz w:val="18"/>
                <w:szCs w:val="18"/>
              </w:rPr>
              <w:t> </w:t>
            </w:r>
            <w:r>
              <w:rPr>
                <w:rFonts w:ascii="宋体" w:hAnsi="宋体" w:cs="宋体" w:eastAsia="宋体" w:hint="default"/>
                <w:spacing w:val="11"/>
                <w:sz w:val="18"/>
                <w:szCs w:val="18"/>
              </w:rPr>
              <w:t>规定依法取</w:t>
            </w:r>
            <w:r>
              <w:rPr>
                <w:rFonts w:ascii="宋体" w:hAnsi="宋体" w:cs="宋体" w:eastAsia="宋体" w:hint="default"/>
                <w:sz w:val="18"/>
                <w:szCs w:val="18"/>
              </w:rPr>
              <w:t> 得）</w:t>
            </w:r>
          </w:p>
        </w:tc>
        <w:tc>
          <w:tcPr>
            <w:tcW w:w="1134" w:type="dxa"/>
            <w:tcBorders>
              <w:top w:val="single" w:sz="4" w:space="0" w:color="000000"/>
              <w:left w:val="single" w:sz="4" w:space="0" w:color="000000"/>
              <w:bottom w:val="single" w:sz="4" w:space="0" w:color="000000"/>
              <w:right w:val="single" w:sz="4" w:space="0" w:color="000000"/>
            </w:tcBorders>
          </w:tcPr>
          <w:p>
            <w:pPr/>
          </w:p>
        </w:tc>
        <w:tc>
          <w:tcPr>
            <w:tcW w:w="916" w:type="dxa"/>
            <w:tcBorders>
              <w:top w:val="single" w:sz="4" w:space="0" w:color="000000"/>
              <w:left w:val="single" w:sz="4" w:space="0" w:color="000000"/>
              <w:bottom w:val="single" w:sz="4" w:space="0" w:color="000000"/>
              <w:right w:val="single" w:sz="4" w:space="0" w:color="000000"/>
            </w:tcBorders>
          </w:tcPr>
          <w:p>
            <w:pPr/>
          </w:p>
        </w:tc>
        <w:tc>
          <w:tcPr>
            <w:tcW w:w="1161"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118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134" w:type="dxa"/>
            <w:tcBorders>
              <w:top w:val="single" w:sz="4" w:space="0" w:color="000000"/>
              <w:left w:val="single" w:sz="4" w:space="0" w:color="000000"/>
              <w:bottom w:val="single" w:sz="4" w:space="0" w:color="000000"/>
              <w:right w:val="single" w:sz="4" w:space="0" w:color="000000"/>
            </w:tcBorders>
          </w:tcPr>
          <w:p>
            <w:pPr/>
          </w:p>
        </w:tc>
        <w:tc>
          <w:tcPr>
            <w:tcW w:w="808" w:type="dxa"/>
            <w:tcBorders>
              <w:top w:val="single" w:sz="4" w:space="0" w:color="000000"/>
              <w:left w:val="single" w:sz="4" w:space="0" w:color="000000"/>
              <w:bottom w:val="single" w:sz="4" w:space="0" w:color="000000"/>
              <w:right w:val="single" w:sz="4" w:space="0" w:color="000000"/>
            </w:tcBorders>
          </w:tcPr>
          <w:p>
            <w:pPr/>
          </w:p>
        </w:tc>
        <w:tc>
          <w:tcPr>
            <w:tcW w:w="117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916" w:type="dxa"/>
            <w:tcBorders>
              <w:top w:val="single" w:sz="4" w:space="0" w:color="000000"/>
              <w:left w:val="single" w:sz="4" w:space="0" w:color="000000"/>
              <w:bottom w:val="single" w:sz="4" w:space="0" w:color="000000"/>
              <w:right w:val="single" w:sz="4" w:space="0" w:color="000000"/>
            </w:tcBorders>
          </w:tcPr>
          <w:p>
            <w:pPr/>
          </w:p>
        </w:tc>
        <w:tc>
          <w:tcPr>
            <w:tcW w:w="11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4" w:right="0"/>
              <w:jc w:val="left"/>
              <w:rPr>
                <w:rFonts w:ascii="Times New Roman" w:hAnsi="Times New Roman" w:cs="Times New Roman" w:eastAsia="Times New Roman" w:hint="default"/>
                <w:sz w:val="18"/>
                <w:szCs w:val="18"/>
              </w:rPr>
            </w:pPr>
            <w:r>
              <w:rPr>
                <w:rFonts w:ascii="Times New Roman"/>
                <w:sz w:val="18"/>
              </w:rPr>
              <w:t>3,101,100.00</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4" w:right="0"/>
              <w:jc w:val="left"/>
              <w:rPr>
                <w:rFonts w:ascii="Times New Roman" w:hAnsi="Times New Roman" w:cs="Times New Roman" w:eastAsia="Times New Roman" w:hint="default"/>
                <w:sz w:val="18"/>
                <w:szCs w:val="18"/>
              </w:rPr>
            </w:pPr>
            <w:r>
              <w:rPr>
                <w:rFonts w:ascii="Times New Roman"/>
                <w:sz w:val="18"/>
              </w:rPr>
              <w:t>2,738,348.00</w:t>
            </w:r>
          </w:p>
        </w:tc>
        <w:tc>
          <w:tcPr>
            <w:tcW w:w="1187" w:type="dxa"/>
            <w:tcBorders>
              <w:top w:val="single" w:sz="4" w:space="0" w:color="000000"/>
              <w:left w:val="single" w:sz="4" w:space="0" w:color="000000"/>
              <w:bottom w:val="single" w:sz="4" w:space="0" w:color="000000"/>
              <w:right w:val="single" w:sz="4" w:space="0" w:color="000000"/>
            </w:tcBorders>
          </w:tcPr>
          <w:p>
            <w:pPr/>
          </w:p>
        </w:tc>
      </w:tr>
    </w:tbl>
    <w:p>
      <w:pPr>
        <w:spacing w:before="51"/>
        <w:ind w:left="254" w:right="127"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pStyle w:val="Heading4"/>
        <w:spacing w:line="240" w:lineRule="auto"/>
        <w:ind w:left="254" w:right="127"/>
        <w:jc w:val="left"/>
        <w:rPr>
          <w:b w:val="0"/>
          <w:bCs w:val="0"/>
        </w:rPr>
      </w:pPr>
      <w:bookmarkStart w:name="45、营业外支出" w:id="322"/>
      <w:bookmarkEnd w:id="322"/>
      <w:r>
        <w:rPr>
          <w:b w:val="0"/>
          <w:bCs w:val="0"/>
        </w:rPr>
      </w:r>
      <w:r>
        <w:rPr>
          <w:rFonts w:ascii="Times New Roman" w:hAnsi="Times New Roman" w:cs="Times New Roman" w:eastAsia="Times New Roman" w:hint="default"/>
        </w:rPr>
        <w:t>45</w:t>
      </w:r>
      <w:r>
        <w:rPr/>
        <w:t>、营业外支出</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249" w:type="dxa"/>
        <w:tblLayout w:type="fixed"/>
        <w:tblCellMar>
          <w:top w:w="0" w:type="dxa"/>
          <w:left w:w="0" w:type="dxa"/>
          <w:bottom w:w="0" w:type="dxa"/>
          <w:right w:w="0" w:type="dxa"/>
        </w:tblCellMar>
        <w:tblLook w:val="01E0"/>
      </w:tblPr>
      <w:tblGrid>
        <w:gridCol w:w="2390"/>
        <w:gridCol w:w="2396"/>
        <w:gridCol w:w="2392"/>
        <w:gridCol w:w="2392"/>
      </w:tblGrid>
      <w:tr>
        <w:trPr>
          <w:trHeight w:val="161" w:hRule="exact"/>
        </w:trPr>
        <w:tc>
          <w:tcPr>
            <w:tcW w:w="2390" w:type="dxa"/>
            <w:tcBorders>
              <w:top w:val="single" w:sz="4" w:space="0" w:color="000000"/>
              <w:left w:val="single" w:sz="4" w:space="0" w:color="000000"/>
              <w:bottom w:val="nil" w:sz="6" w:space="0" w:color="auto"/>
              <w:right w:val="single" w:sz="4" w:space="0" w:color="000000"/>
            </w:tcBorders>
            <w:shd w:val="clear" w:color="auto" w:fill="D2D2D2"/>
          </w:tcPr>
          <w:p>
            <w:pPr/>
          </w:p>
        </w:tc>
        <w:tc>
          <w:tcPr>
            <w:tcW w:w="2396" w:type="dxa"/>
            <w:tcBorders>
              <w:top w:val="single" w:sz="4" w:space="0" w:color="000000"/>
              <w:left w:val="single" w:sz="4" w:space="0" w:color="000000"/>
              <w:bottom w:val="nil" w:sz="6" w:space="0" w:color="auto"/>
              <w:right w:val="single" w:sz="4" w:space="0" w:color="000000"/>
            </w:tcBorders>
            <w:shd w:val="clear" w:color="auto" w:fill="D2D2D2"/>
          </w:tcPr>
          <w:p>
            <w:pPr/>
          </w:p>
        </w:tc>
        <w:tc>
          <w:tcPr>
            <w:tcW w:w="2392" w:type="dxa"/>
            <w:tcBorders>
              <w:top w:val="single" w:sz="4" w:space="0" w:color="000000"/>
              <w:left w:val="single" w:sz="4" w:space="0" w:color="000000"/>
              <w:bottom w:val="nil" w:sz="6" w:space="0" w:color="auto"/>
              <w:right w:val="single" w:sz="4" w:space="0" w:color="000000"/>
            </w:tcBorders>
            <w:shd w:val="clear" w:color="auto" w:fill="D2D2D2"/>
          </w:tcPr>
          <w:p>
            <w:pPr/>
          </w:p>
        </w:tc>
        <w:tc>
          <w:tcPr>
            <w:tcW w:w="2392"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1"/>
              <w:ind w:left="1100" w:right="109" w:hanging="990"/>
              <w:jc w:val="left"/>
              <w:rPr>
                <w:rFonts w:ascii="宋体" w:hAnsi="宋体" w:cs="宋体" w:eastAsia="宋体" w:hint="default"/>
                <w:sz w:val="18"/>
                <w:szCs w:val="18"/>
              </w:rPr>
            </w:pPr>
            <w:r>
              <w:rPr>
                <w:rFonts w:ascii="宋体" w:hAnsi="宋体" w:cs="宋体" w:eastAsia="宋体" w:hint="default"/>
                <w:sz w:val="18"/>
                <w:szCs w:val="18"/>
              </w:rPr>
              <w:t>计入当期非经常性损益的金 额</w:t>
            </w:r>
          </w:p>
        </w:tc>
      </w:tr>
      <w:tr>
        <w:trPr>
          <w:trHeight w:val="392" w:hRule="exact"/>
        </w:trPr>
        <w:tc>
          <w:tcPr>
            <w:tcW w:w="239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39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741"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39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740" w:right="0"/>
              <w:jc w:val="left"/>
              <w:rPr>
                <w:rFonts w:ascii="宋体" w:hAnsi="宋体" w:cs="宋体" w:eastAsia="宋体" w:hint="default"/>
                <w:sz w:val="18"/>
                <w:szCs w:val="18"/>
              </w:rPr>
            </w:pPr>
            <w:r>
              <w:rPr>
                <w:rFonts w:ascii="宋体" w:hAnsi="宋体" w:cs="宋体" w:eastAsia="宋体" w:hint="default"/>
                <w:sz w:val="18"/>
                <w:szCs w:val="18"/>
              </w:rPr>
              <w:t>上期发生额</w:t>
            </w:r>
          </w:p>
        </w:tc>
        <w:tc>
          <w:tcPr>
            <w:tcW w:w="2392" w:type="dxa"/>
            <w:vMerge/>
            <w:tcBorders>
              <w:left w:val="single" w:sz="4" w:space="0" w:color="000000"/>
              <w:right w:val="single" w:sz="4" w:space="0" w:color="000000"/>
            </w:tcBorders>
            <w:shd w:val="clear" w:color="auto" w:fill="D2D2D2"/>
          </w:tcPr>
          <w:p>
            <w:pPr/>
          </w:p>
        </w:tc>
      </w:tr>
      <w:tr>
        <w:trPr>
          <w:trHeight w:val="161" w:hRule="exact"/>
        </w:trPr>
        <w:tc>
          <w:tcPr>
            <w:tcW w:w="2390" w:type="dxa"/>
            <w:tcBorders>
              <w:top w:val="nil" w:sz="6" w:space="0" w:color="auto"/>
              <w:left w:val="single" w:sz="4" w:space="0" w:color="000000"/>
              <w:bottom w:val="single" w:sz="4" w:space="0" w:color="000000"/>
              <w:right w:val="single" w:sz="4" w:space="0" w:color="000000"/>
            </w:tcBorders>
            <w:shd w:val="clear" w:color="auto" w:fill="D2D2D2"/>
          </w:tcPr>
          <w:p>
            <w:pPr/>
          </w:p>
        </w:tc>
        <w:tc>
          <w:tcPr>
            <w:tcW w:w="2396" w:type="dxa"/>
            <w:tcBorders>
              <w:top w:val="nil" w:sz="6" w:space="0" w:color="auto"/>
              <w:left w:val="single" w:sz="4" w:space="0" w:color="000000"/>
              <w:bottom w:val="single" w:sz="4" w:space="0" w:color="000000"/>
              <w:right w:val="single" w:sz="4" w:space="0" w:color="000000"/>
            </w:tcBorders>
            <w:shd w:val="clear" w:color="auto" w:fill="D2D2D2"/>
          </w:tcPr>
          <w:p>
            <w:pPr/>
          </w:p>
        </w:tc>
        <w:tc>
          <w:tcPr>
            <w:tcW w:w="2392" w:type="dxa"/>
            <w:tcBorders>
              <w:top w:val="nil" w:sz="6" w:space="0" w:color="auto"/>
              <w:left w:val="single" w:sz="4" w:space="0" w:color="000000"/>
              <w:bottom w:val="single" w:sz="4" w:space="0" w:color="000000"/>
              <w:right w:val="single" w:sz="4" w:space="0" w:color="000000"/>
            </w:tcBorders>
            <w:shd w:val="clear" w:color="auto" w:fill="D2D2D2"/>
          </w:tcPr>
          <w:p>
            <w:pPr/>
          </w:p>
        </w:tc>
        <w:tc>
          <w:tcPr>
            <w:tcW w:w="2392"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对外捐赠</w:t>
            </w:r>
          </w:p>
        </w:tc>
        <w:tc>
          <w:tcPr>
            <w:tcW w:w="239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780,000.00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780,000.00</w:t>
            </w: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233,307.56</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44,686.35</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233,307.56</w:t>
            </w: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1,013,307.56</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45,686.35</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1,013,307.56</w:t>
            </w:r>
          </w:p>
        </w:tc>
      </w:tr>
    </w:tbl>
    <w:p>
      <w:pPr>
        <w:spacing w:before="51"/>
        <w:ind w:left="254" w:right="127"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pStyle w:val="Heading4"/>
        <w:spacing w:line="240" w:lineRule="auto"/>
        <w:ind w:left="254" w:right="127"/>
        <w:jc w:val="left"/>
        <w:rPr>
          <w:b w:val="0"/>
          <w:bCs w:val="0"/>
        </w:rPr>
      </w:pPr>
      <w:bookmarkStart w:name="46、所得税费用" w:id="323"/>
      <w:bookmarkEnd w:id="323"/>
      <w:r>
        <w:rPr>
          <w:b w:val="0"/>
          <w:bCs w:val="0"/>
        </w:rPr>
      </w:r>
      <w:r>
        <w:rPr>
          <w:rFonts w:ascii="Times New Roman" w:hAnsi="Times New Roman" w:cs="Times New Roman" w:eastAsia="Times New Roman" w:hint="default"/>
        </w:rPr>
        <w:t>46</w:t>
      </w:r>
      <w:r>
        <w:rPr/>
        <w:t>、所得税费用</w:t>
      </w:r>
      <w:r>
        <w:rPr>
          <w:b w:val="0"/>
          <w:bCs w:val="0"/>
        </w:rPr>
      </w:r>
    </w:p>
    <w:p>
      <w:pPr>
        <w:spacing w:line="240" w:lineRule="auto" w:before="9"/>
        <w:rPr>
          <w:rFonts w:ascii="宋体" w:hAnsi="宋体" w:cs="宋体" w:eastAsia="宋体" w:hint="default"/>
          <w:b/>
          <w:bCs/>
          <w:sz w:val="24"/>
          <w:szCs w:val="24"/>
        </w:rPr>
      </w:pPr>
    </w:p>
    <w:p>
      <w:pPr>
        <w:pStyle w:val="Heading4"/>
        <w:spacing w:line="240" w:lineRule="auto"/>
        <w:ind w:left="254" w:right="127"/>
        <w:jc w:val="left"/>
        <w:rPr>
          <w:b w:val="0"/>
          <w:bCs w:val="0"/>
        </w:rPr>
      </w:pPr>
      <w:bookmarkStart w:name="（1）所得税费用表" w:id="324"/>
      <w:bookmarkEnd w:id="324"/>
      <w:r>
        <w:rPr>
          <w:b w:val="0"/>
          <w:bCs w:val="0"/>
        </w:rPr>
      </w:r>
      <w:r>
        <w:rPr/>
        <w:t>（</w:t>
      </w:r>
      <w:r>
        <w:rPr>
          <w:rFonts w:ascii="Times New Roman" w:hAnsi="Times New Roman" w:cs="Times New Roman" w:eastAsia="Times New Roman" w:hint="default"/>
        </w:rPr>
        <w:t>1</w:t>
      </w:r>
      <w:r>
        <w:rPr/>
        <w:t>）所得税费用表</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260" w:type="dxa"/>
        <w:tblLayout w:type="fixed"/>
        <w:tblCellMar>
          <w:top w:w="0" w:type="dxa"/>
          <w:left w:w="0" w:type="dxa"/>
          <w:bottom w:w="0" w:type="dxa"/>
          <w:right w:w="0" w:type="dxa"/>
        </w:tblCellMar>
        <w:tblLook w:val="01E0"/>
      </w:tblPr>
      <w:tblGrid>
        <w:gridCol w:w="3164"/>
        <w:gridCol w:w="3206"/>
        <w:gridCol w:w="3189"/>
      </w:tblGrid>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当期所得税费用</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14,451,184.75</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16,858,506.47</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递延所得税费用</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-2,460,697.64</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-3,791,118.84</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2"/>
                <w:sz w:val="18"/>
              </w:rPr>
              <w:t>11,990,487.11</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13,067,387.63</w:t>
            </w:r>
          </w:p>
        </w:tc>
      </w:tr>
    </w:tbl>
    <w:p>
      <w:pPr>
        <w:spacing w:line="240" w:lineRule="auto" w:before="2"/>
        <w:rPr>
          <w:rFonts w:ascii="宋体" w:hAnsi="宋体" w:cs="宋体" w:eastAsia="宋体" w:hint="default"/>
          <w:sz w:val="19"/>
          <w:szCs w:val="19"/>
        </w:rPr>
      </w:pPr>
    </w:p>
    <w:p>
      <w:pPr>
        <w:pStyle w:val="Heading4"/>
        <w:spacing w:line="240" w:lineRule="auto" w:before="35"/>
        <w:ind w:left="254" w:right="127"/>
        <w:jc w:val="left"/>
        <w:rPr>
          <w:b w:val="0"/>
          <w:bCs w:val="0"/>
        </w:rPr>
      </w:pPr>
      <w:bookmarkStart w:name="（2）会计利润与所得税费用调整过程" w:id="325"/>
      <w:bookmarkEnd w:id="325"/>
      <w:r>
        <w:rPr>
          <w:b w:val="0"/>
          <w:bCs w:val="0"/>
        </w:rPr>
      </w:r>
      <w:r>
        <w:rPr/>
        <w:t>（</w:t>
      </w:r>
      <w:r>
        <w:rPr>
          <w:rFonts w:ascii="Times New Roman" w:hAnsi="Times New Roman" w:cs="Times New Roman" w:eastAsia="Times New Roman" w:hint="default"/>
        </w:rPr>
        <w:t>2</w:t>
      </w:r>
      <w:r>
        <w:rPr/>
        <w:t>）会计利润与所得税费用调整过程</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260" w:type="dxa"/>
        <w:tblLayout w:type="fixed"/>
        <w:tblCellMar>
          <w:top w:w="0" w:type="dxa"/>
          <w:left w:w="0" w:type="dxa"/>
          <w:bottom w:w="0" w:type="dxa"/>
          <w:right w:w="0" w:type="dxa"/>
        </w:tblCellMar>
        <w:tblLook w:val="01E0"/>
      </w:tblPr>
      <w:tblGrid>
        <w:gridCol w:w="4757"/>
        <w:gridCol w:w="4800"/>
      </w:tblGrid>
      <w:tr>
        <w:trPr>
          <w:trHeight w:val="402" w:hRule="exact"/>
        </w:trPr>
        <w:tc>
          <w:tcPr>
            <w:tcW w:w="4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8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本期发生额</w:t>
            </w:r>
          </w:p>
        </w:tc>
      </w:tr>
      <w:tr>
        <w:trPr>
          <w:trHeight w:val="402" w:hRule="exact"/>
        </w:trPr>
        <w:tc>
          <w:tcPr>
            <w:tcW w:w="4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利润总额</w:t>
            </w:r>
          </w:p>
        </w:tc>
        <w:tc>
          <w:tcPr>
            <w:tcW w:w="480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109,317,676.36</w:t>
            </w:r>
          </w:p>
        </w:tc>
      </w:tr>
      <w:tr>
        <w:trPr>
          <w:trHeight w:val="402" w:hRule="exact"/>
        </w:trPr>
        <w:tc>
          <w:tcPr>
            <w:tcW w:w="4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按法定</w:t>
            </w:r>
            <w:r>
              <w:rPr>
                <w:rFonts w:ascii="Times New Roman" w:hAnsi="Times New Roman" w:cs="Times New Roman" w:eastAsia="Times New Roman" w:hint="default"/>
                <w:sz w:val="18"/>
                <w:szCs w:val="18"/>
              </w:rPr>
              <w:t>/</w:t>
            </w:r>
            <w:r>
              <w:rPr>
                <w:rFonts w:ascii="宋体" w:hAnsi="宋体" w:cs="宋体" w:eastAsia="宋体" w:hint="default"/>
                <w:sz w:val="18"/>
                <w:szCs w:val="18"/>
              </w:rPr>
              <w:t>适用税率计算的所得税费用</w:t>
            </w:r>
          </w:p>
        </w:tc>
        <w:tc>
          <w:tcPr>
            <w:tcW w:w="480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16,397,651.45</w:t>
            </w:r>
          </w:p>
        </w:tc>
      </w:tr>
      <w:tr>
        <w:trPr>
          <w:trHeight w:val="402" w:hRule="exact"/>
        </w:trPr>
        <w:tc>
          <w:tcPr>
            <w:tcW w:w="4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子公司适用不同税率的影响</w:t>
            </w:r>
          </w:p>
        </w:tc>
        <w:tc>
          <w:tcPr>
            <w:tcW w:w="480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-18,460.51</w:t>
            </w:r>
            <w:r>
              <w:rPr>
                <w:rFonts w:ascii="Times New Roman"/>
                <w:sz w:val="18"/>
              </w:rPr>
            </w:r>
          </w:p>
        </w:tc>
      </w:tr>
      <w:tr>
        <w:trPr>
          <w:trHeight w:val="402" w:hRule="exact"/>
        </w:trPr>
        <w:tc>
          <w:tcPr>
            <w:tcW w:w="4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调整以前期间所得税的影响</w:t>
            </w:r>
          </w:p>
        </w:tc>
        <w:tc>
          <w:tcPr>
            <w:tcW w:w="480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886,748.86</w:t>
            </w:r>
          </w:p>
        </w:tc>
      </w:tr>
      <w:tr>
        <w:trPr>
          <w:trHeight w:val="402" w:hRule="exact"/>
        </w:trPr>
        <w:tc>
          <w:tcPr>
            <w:tcW w:w="4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非应税收入的影响</w:t>
            </w:r>
          </w:p>
        </w:tc>
        <w:tc>
          <w:tcPr>
            <w:tcW w:w="480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-3,940,649.66</w:t>
            </w:r>
          </w:p>
        </w:tc>
      </w:tr>
      <w:tr>
        <w:trPr>
          <w:trHeight w:val="402" w:hRule="exact"/>
        </w:trPr>
        <w:tc>
          <w:tcPr>
            <w:tcW w:w="4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不可抵扣的成本、费用和损失的影响</w:t>
            </w:r>
          </w:p>
        </w:tc>
        <w:tc>
          <w:tcPr>
            <w:tcW w:w="480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7,080,724.32</w:t>
            </w:r>
          </w:p>
        </w:tc>
      </w:tr>
      <w:tr>
        <w:trPr>
          <w:trHeight w:val="402" w:hRule="exact"/>
        </w:trPr>
        <w:tc>
          <w:tcPr>
            <w:tcW w:w="47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税法规定的额外可扣除费用</w:t>
            </w:r>
          </w:p>
        </w:tc>
        <w:tc>
          <w:tcPr>
            <w:tcW w:w="4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-1,381,556.64</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79" w:top="1060" w:bottom="1160" w:left="8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4780"/>
        <w:gridCol w:w="4788"/>
      </w:tblGrid>
      <w:tr>
        <w:trPr>
          <w:trHeight w:val="402" w:hRule="exact"/>
        </w:trPr>
        <w:tc>
          <w:tcPr>
            <w:tcW w:w="4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加计扣除的研发费用</w:t>
            </w:r>
          </w:p>
        </w:tc>
        <w:tc>
          <w:tcPr>
            <w:tcW w:w="4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-7,033,970.71</w:t>
            </w:r>
          </w:p>
        </w:tc>
      </w:tr>
      <w:tr>
        <w:trPr>
          <w:trHeight w:val="402" w:hRule="exact"/>
        </w:trPr>
        <w:tc>
          <w:tcPr>
            <w:tcW w:w="4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所得税费用</w:t>
            </w:r>
          </w:p>
        </w:tc>
        <w:tc>
          <w:tcPr>
            <w:tcW w:w="4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2"/>
                <w:sz w:val="18"/>
              </w:rPr>
              <w:t>11,990,487.11</w:t>
            </w:r>
          </w:p>
        </w:tc>
      </w:tr>
    </w:tbl>
    <w:p>
      <w:pPr>
        <w:spacing w:before="51"/>
        <w:ind w:left="154" w:right="1117"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pStyle w:val="Heading4"/>
        <w:spacing w:line="240" w:lineRule="auto"/>
        <w:ind w:right="1117"/>
        <w:jc w:val="left"/>
        <w:rPr>
          <w:b w:val="0"/>
          <w:bCs w:val="0"/>
        </w:rPr>
      </w:pPr>
      <w:bookmarkStart w:name="47、其他综合收益" w:id="326"/>
      <w:bookmarkEnd w:id="326"/>
      <w:r>
        <w:rPr>
          <w:b w:val="0"/>
          <w:bCs w:val="0"/>
        </w:rPr>
      </w:r>
      <w:r>
        <w:rPr>
          <w:rFonts w:ascii="Times New Roman" w:hAnsi="Times New Roman" w:cs="Times New Roman" w:eastAsia="Times New Roman" w:hint="default"/>
        </w:rPr>
        <w:t>47</w:t>
      </w:r>
      <w:r>
        <w:rPr/>
        <w:t>、其他综合收益</w:t>
      </w:r>
      <w:r>
        <w:rPr>
          <w:b w:val="0"/>
          <w:bCs w:val="0"/>
        </w:rPr>
      </w:r>
    </w:p>
    <w:p>
      <w:pPr>
        <w:spacing w:line="240" w:lineRule="auto" w:before="9"/>
        <w:rPr>
          <w:rFonts w:ascii="宋体" w:hAnsi="宋体" w:cs="宋体" w:eastAsia="宋体" w:hint="default"/>
          <w:b/>
          <w:bCs/>
          <w:sz w:val="26"/>
          <w:szCs w:val="26"/>
        </w:rPr>
      </w:pPr>
    </w:p>
    <w:p>
      <w:pPr>
        <w:spacing w:before="0"/>
        <w:ind w:left="154" w:right="1117" w:firstLine="0"/>
        <w:jc w:val="left"/>
        <w:rPr>
          <w:rFonts w:ascii="宋体" w:hAnsi="宋体" w:cs="宋体" w:eastAsia="宋体" w:hint="default"/>
          <w:sz w:val="18"/>
          <w:szCs w:val="18"/>
        </w:rPr>
      </w:pPr>
      <w:r>
        <w:rPr>
          <w:rFonts w:ascii="宋体" w:hAnsi="宋体" w:cs="宋体" w:eastAsia="宋体" w:hint="default"/>
          <w:sz w:val="18"/>
          <w:szCs w:val="18"/>
        </w:rPr>
        <w:t>详见附注。</w:t>
      </w:r>
    </w:p>
    <w:p>
      <w:pPr>
        <w:spacing w:line="240" w:lineRule="auto" w:before="10"/>
        <w:rPr>
          <w:rFonts w:ascii="宋体" w:hAnsi="宋体" w:cs="宋体" w:eastAsia="宋体" w:hint="default"/>
          <w:sz w:val="26"/>
          <w:szCs w:val="26"/>
        </w:rPr>
      </w:pPr>
    </w:p>
    <w:p>
      <w:pPr>
        <w:pStyle w:val="Heading4"/>
        <w:spacing w:line="240" w:lineRule="auto"/>
        <w:ind w:right="1117"/>
        <w:jc w:val="left"/>
        <w:rPr>
          <w:b w:val="0"/>
          <w:bCs w:val="0"/>
        </w:rPr>
      </w:pPr>
      <w:bookmarkStart w:name="48、现金流量表项目" w:id="327"/>
      <w:bookmarkEnd w:id="327"/>
      <w:r>
        <w:rPr>
          <w:b w:val="0"/>
          <w:bCs w:val="0"/>
        </w:rPr>
      </w:r>
      <w:r>
        <w:rPr>
          <w:rFonts w:ascii="Times New Roman" w:hAnsi="Times New Roman" w:cs="Times New Roman" w:eastAsia="Times New Roman" w:hint="default"/>
        </w:rPr>
        <w:t>48</w:t>
      </w:r>
      <w:r>
        <w:rPr/>
        <w:t>、现金流量表项目</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1117"/>
        <w:jc w:val="left"/>
        <w:rPr>
          <w:b w:val="0"/>
          <w:bCs w:val="0"/>
        </w:rPr>
      </w:pPr>
      <w:bookmarkStart w:name="（1）收到的其他与经营活动有关的现金" w:id="328"/>
      <w:bookmarkEnd w:id="328"/>
      <w:r>
        <w:rPr>
          <w:b w:val="0"/>
          <w:bCs w:val="0"/>
        </w:rPr>
      </w:r>
      <w:r>
        <w:rPr/>
        <w:t>（</w:t>
      </w:r>
      <w:r>
        <w:rPr>
          <w:rFonts w:ascii="Times New Roman" w:hAnsi="Times New Roman" w:cs="Times New Roman" w:eastAsia="Times New Roman" w:hint="default"/>
        </w:rPr>
        <w:t>1</w:t>
      </w:r>
      <w:r>
        <w:rPr/>
        <w:t>）收到的其他与经营活动有关的现金</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利息收入</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2,610,946.83</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4,564,134.34</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租金收入</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4,064,000.00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4,617,200.00</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政府补助</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4,695,155.19</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5,530,930.41</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662,023.69</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20,249.22</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12,032,125.71</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14,732,513.97</w:t>
            </w:r>
          </w:p>
        </w:tc>
      </w:tr>
    </w:tbl>
    <w:p>
      <w:pPr>
        <w:spacing w:before="51"/>
        <w:ind w:left="154" w:right="1117" w:firstLine="0"/>
        <w:jc w:val="left"/>
        <w:rPr>
          <w:rFonts w:ascii="宋体" w:hAnsi="宋体" w:cs="宋体" w:eastAsia="宋体" w:hint="default"/>
          <w:sz w:val="18"/>
          <w:szCs w:val="18"/>
        </w:rPr>
      </w:pPr>
      <w:r>
        <w:rPr>
          <w:rFonts w:ascii="宋体" w:hAnsi="宋体" w:cs="宋体" w:eastAsia="宋体" w:hint="default"/>
          <w:sz w:val="18"/>
          <w:szCs w:val="18"/>
        </w:rPr>
        <w:t>收到的其他与经营活动有关的现金说明：</w:t>
      </w:r>
    </w:p>
    <w:p>
      <w:pPr>
        <w:spacing w:line="240" w:lineRule="auto" w:before="10"/>
        <w:rPr>
          <w:rFonts w:ascii="宋体" w:hAnsi="宋体" w:cs="宋体" w:eastAsia="宋体" w:hint="default"/>
          <w:sz w:val="26"/>
          <w:szCs w:val="26"/>
        </w:rPr>
      </w:pPr>
    </w:p>
    <w:p>
      <w:pPr>
        <w:pStyle w:val="Heading4"/>
        <w:spacing w:line="240" w:lineRule="auto"/>
        <w:ind w:right="1117"/>
        <w:jc w:val="left"/>
        <w:rPr>
          <w:b w:val="0"/>
          <w:bCs w:val="0"/>
        </w:rPr>
      </w:pPr>
      <w:bookmarkStart w:name="（2）支付的其他与经营活动有关的现金" w:id="329"/>
      <w:bookmarkEnd w:id="329"/>
      <w:r>
        <w:rPr>
          <w:b w:val="0"/>
          <w:bCs w:val="0"/>
        </w:rPr>
      </w:r>
      <w:r>
        <w:rPr/>
        <w:t>（</w:t>
      </w:r>
      <w:r>
        <w:rPr>
          <w:rFonts w:ascii="Times New Roman" w:hAnsi="Times New Roman" w:cs="Times New Roman" w:eastAsia="Times New Roman" w:hint="default"/>
        </w:rPr>
        <w:t>2</w:t>
      </w:r>
      <w:r>
        <w:rPr/>
        <w:t>）支付的其他与经营活动有关的现金</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办公费</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27,292,122.88</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21,887,941.23</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差旅费</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19,883,425.47</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16,891,680.61</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业务招待费</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15,797,072.19</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14,115,827.45</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劳务费</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54,745,534.91</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37,690,397.47</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交通费</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7,734,593.22</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7,165,590.51</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运输费</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3,195,592.64</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2,966,601.40</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中介费</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1,544,973.12</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1,445,265.95</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广告宣传费</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1,041,336.63</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3,616,416.39</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电话费</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1,405,215.52</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1,383,770.02</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2" w:right="0"/>
              <w:jc w:val="left"/>
              <w:rPr>
                <w:rFonts w:ascii="宋体" w:hAnsi="宋体" w:cs="宋体" w:eastAsia="宋体" w:hint="default"/>
                <w:sz w:val="18"/>
                <w:szCs w:val="18"/>
              </w:rPr>
            </w:pPr>
            <w:r>
              <w:rPr>
                <w:rFonts w:ascii="宋体" w:hAnsi="宋体" w:cs="宋体" w:eastAsia="宋体" w:hint="default"/>
                <w:sz w:val="18"/>
                <w:szCs w:val="18"/>
              </w:rPr>
              <w:t>会议费</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1,491,373.40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1,254,927.06</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咨询费</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1,188,224.75</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940,199.87</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技术图书资料费</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128,568.34</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1,169,883.27</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试验检测鉴定费</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107,321.12</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896,356.28</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材料费</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836,467.84</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834,692.28</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新产品设计费</w:t>
            </w:r>
          </w:p>
        </w:tc>
        <w:tc>
          <w:tcPr>
            <w:tcW w:w="3194" w:type="dxa"/>
            <w:tcBorders>
              <w:top w:val="single" w:sz="4" w:space="0" w:color="000000"/>
              <w:left w:val="single" w:sz="4" w:space="0" w:color="000000"/>
              <w:bottom w:val="single" w:sz="4" w:space="0" w:color="000000"/>
              <w:right w:val="single" w:sz="4" w:space="0" w:color="000000"/>
            </w:tcBorders>
          </w:tcPr>
          <w:p>
            <w:pP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29,545.36</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其他间接费用</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748,351.05</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89,098.05</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银行手续费</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228,229.83</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161,923.73</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其他及往来款</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36,443,347.85</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15,411,769.49</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173,811,750.76</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127,951,886.42</w:t>
            </w:r>
          </w:p>
        </w:tc>
      </w:tr>
    </w:tbl>
    <w:p>
      <w:pPr>
        <w:spacing w:before="51"/>
        <w:ind w:left="154" w:right="1117" w:firstLine="0"/>
        <w:jc w:val="left"/>
        <w:rPr>
          <w:rFonts w:ascii="宋体" w:hAnsi="宋体" w:cs="宋体" w:eastAsia="宋体" w:hint="default"/>
          <w:sz w:val="18"/>
          <w:szCs w:val="18"/>
        </w:rPr>
      </w:pPr>
      <w:r>
        <w:rPr>
          <w:rFonts w:ascii="宋体" w:hAnsi="宋体" w:cs="宋体" w:eastAsia="宋体" w:hint="default"/>
          <w:sz w:val="18"/>
          <w:szCs w:val="18"/>
        </w:rPr>
        <w:t>支付的其他与经营活动有关的现金说明：</w:t>
      </w:r>
    </w:p>
    <w:p>
      <w:pPr>
        <w:spacing w:line="240" w:lineRule="auto" w:before="11"/>
        <w:rPr>
          <w:rFonts w:ascii="宋体" w:hAnsi="宋体" w:cs="宋体" w:eastAsia="宋体" w:hint="default"/>
          <w:sz w:val="26"/>
          <w:szCs w:val="26"/>
        </w:rPr>
      </w:pPr>
    </w:p>
    <w:p>
      <w:pPr>
        <w:pStyle w:val="Heading4"/>
        <w:spacing w:line="240" w:lineRule="auto"/>
        <w:ind w:right="1117"/>
        <w:jc w:val="left"/>
        <w:rPr>
          <w:b w:val="0"/>
          <w:bCs w:val="0"/>
        </w:rPr>
      </w:pPr>
      <w:bookmarkStart w:name="（3）收到的其他与投资活动有关的现金" w:id="330"/>
      <w:bookmarkEnd w:id="330"/>
      <w:r>
        <w:rPr>
          <w:b w:val="0"/>
          <w:bCs w:val="0"/>
        </w:rPr>
      </w:r>
      <w:r>
        <w:rPr/>
        <w:t>（</w:t>
      </w:r>
      <w:r>
        <w:rPr>
          <w:rFonts w:ascii="Times New Roman" w:hAnsi="Times New Roman" w:cs="Times New Roman" w:eastAsia="Times New Roman" w:hint="default"/>
        </w:rPr>
        <w:t>3</w:t>
      </w:r>
      <w:r>
        <w:rPr/>
        <w:t>）收到的其他与投资活动有关的现金</w:t>
      </w:r>
      <w:r>
        <w:rPr>
          <w:b w:val="0"/>
          <w:bCs w:val="0"/>
        </w:rPr>
      </w:r>
    </w:p>
    <w:p>
      <w:pPr>
        <w:spacing w:line="240" w:lineRule="auto" w:before="9"/>
        <w:rPr>
          <w:rFonts w:ascii="宋体" w:hAnsi="宋体" w:cs="宋体" w:eastAsia="宋体" w:hint="default"/>
          <w:b/>
          <w:bCs/>
          <w:sz w:val="26"/>
          <w:szCs w:val="26"/>
        </w:rPr>
      </w:pPr>
    </w:p>
    <w:p>
      <w:pPr>
        <w:spacing w:before="0"/>
        <w:ind w:left="154" w:right="1117" w:firstLine="0"/>
        <w:jc w:val="left"/>
        <w:rPr>
          <w:rFonts w:ascii="宋体" w:hAnsi="宋体" w:cs="宋体" w:eastAsia="宋体" w:hint="default"/>
          <w:sz w:val="18"/>
          <w:szCs w:val="18"/>
        </w:rPr>
      </w:pPr>
      <w:r>
        <w:rPr>
          <w:rFonts w:ascii="宋体" w:hAnsi="宋体" w:cs="宋体" w:eastAsia="宋体" w:hint="default"/>
          <w:sz w:val="18"/>
          <w:szCs w:val="18"/>
        </w:rPr>
        <w:t>收到的其他与投资活动有关的现金说明：</w:t>
      </w:r>
    </w:p>
    <w:p>
      <w:pPr>
        <w:spacing w:line="240" w:lineRule="auto" w:before="10"/>
        <w:rPr>
          <w:rFonts w:ascii="宋体" w:hAnsi="宋体" w:cs="宋体" w:eastAsia="宋体" w:hint="default"/>
          <w:sz w:val="26"/>
          <w:szCs w:val="26"/>
        </w:rPr>
      </w:pPr>
    </w:p>
    <w:p>
      <w:pPr>
        <w:pStyle w:val="Heading4"/>
        <w:spacing w:line="240" w:lineRule="auto"/>
        <w:ind w:right="1117"/>
        <w:jc w:val="left"/>
        <w:rPr>
          <w:b w:val="0"/>
          <w:bCs w:val="0"/>
        </w:rPr>
      </w:pPr>
      <w:bookmarkStart w:name="（4）支付的其他与投资活动有关的现金" w:id="331"/>
      <w:bookmarkEnd w:id="331"/>
      <w:r>
        <w:rPr>
          <w:b w:val="0"/>
          <w:bCs w:val="0"/>
        </w:rPr>
      </w:r>
      <w:r>
        <w:rPr/>
        <w:t>（</w:t>
      </w:r>
      <w:r>
        <w:rPr>
          <w:rFonts w:ascii="Times New Roman" w:hAnsi="Times New Roman" w:cs="Times New Roman" w:eastAsia="Times New Roman" w:hint="default"/>
        </w:rPr>
        <w:t>4</w:t>
      </w:r>
      <w:r>
        <w:rPr/>
        <w:t>）支付的其他与投资活动有关的现金</w:t>
      </w:r>
      <w:r>
        <w:rPr>
          <w:b w:val="0"/>
          <w:bCs w:val="0"/>
        </w:rPr>
      </w:r>
    </w:p>
    <w:p>
      <w:pPr>
        <w:spacing w:line="240" w:lineRule="auto" w:before="9"/>
        <w:rPr>
          <w:rFonts w:ascii="宋体" w:hAnsi="宋体" w:cs="宋体" w:eastAsia="宋体" w:hint="default"/>
          <w:b/>
          <w:bCs/>
          <w:sz w:val="26"/>
          <w:szCs w:val="26"/>
        </w:rPr>
      </w:pPr>
    </w:p>
    <w:p>
      <w:pPr>
        <w:spacing w:before="0"/>
        <w:ind w:left="154" w:right="1117" w:firstLine="0"/>
        <w:jc w:val="left"/>
        <w:rPr>
          <w:rFonts w:ascii="宋体" w:hAnsi="宋体" w:cs="宋体" w:eastAsia="宋体" w:hint="default"/>
          <w:sz w:val="18"/>
          <w:szCs w:val="18"/>
        </w:rPr>
      </w:pPr>
      <w:r>
        <w:rPr>
          <w:rFonts w:ascii="宋体" w:hAnsi="宋体" w:cs="宋体" w:eastAsia="宋体" w:hint="default"/>
          <w:sz w:val="18"/>
          <w:szCs w:val="18"/>
        </w:rPr>
        <w:t>支付的其他与投资活动有关的现金说明：</w:t>
      </w:r>
    </w:p>
    <w:p>
      <w:pPr>
        <w:spacing w:line="240" w:lineRule="auto" w:before="10"/>
        <w:rPr>
          <w:rFonts w:ascii="宋体" w:hAnsi="宋体" w:cs="宋体" w:eastAsia="宋体" w:hint="default"/>
          <w:sz w:val="26"/>
          <w:szCs w:val="26"/>
        </w:rPr>
      </w:pPr>
    </w:p>
    <w:p>
      <w:pPr>
        <w:pStyle w:val="Heading4"/>
        <w:spacing w:line="240" w:lineRule="auto"/>
        <w:ind w:right="1117"/>
        <w:jc w:val="left"/>
        <w:rPr>
          <w:b w:val="0"/>
          <w:bCs w:val="0"/>
        </w:rPr>
      </w:pPr>
      <w:bookmarkStart w:name="（5）收到的其他与筹资活动有关的现金" w:id="332"/>
      <w:bookmarkEnd w:id="332"/>
      <w:r>
        <w:rPr>
          <w:b w:val="0"/>
          <w:bCs w:val="0"/>
        </w:rPr>
      </w:r>
      <w:r>
        <w:rPr/>
        <w:t>（</w:t>
      </w:r>
      <w:r>
        <w:rPr>
          <w:rFonts w:ascii="Times New Roman" w:hAnsi="Times New Roman" w:cs="Times New Roman" w:eastAsia="Times New Roman" w:hint="default"/>
        </w:rPr>
        <w:t>5</w:t>
      </w:r>
      <w:r>
        <w:rPr/>
        <w:t>）收到的其他与筹资活动有关的现金</w:t>
      </w:r>
      <w:r>
        <w:rPr>
          <w:b w:val="0"/>
          <w:bCs w:val="0"/>
        </w:rPr>
      </w:r>
    </w:p>
    <w:p>
      <w:pPr>
        <w:spacing w:line="240" w:lineRule="auto" w:before="9"/>
        <w:rPr>
          <w:rFonts w:ascii="宋体" w:hAnsi="宋体" w:cs="宋体" w:eastAsia="宋体" w:hint="default"/>
          <w:b/>
          <w:bCs/>
          <w:sz w:val="26"/>
          <w:szCs w:val="26"/>
        </w:rPr>
      </w:pPr>
    </w:p>
    <w:p>
      <w:pPr>
        <w:spacing w:before="0"/>
        <w:ind w:left="154" w:right="1117" w:firstLine="0"/>
        <w:jc w:val="left"/>
        <w:rPr>
          <w:rFonts w:ascii="宋体" w:hAnsi="宋体" w:cs="宋体" w:eastAsia="宋体" w:hint="default"/>
          <w:sz w:val="18"/>
          <w:szCs w:val="18"/>
        </w:rPr>
      </w:pPr>
      <w:r>
        <w:rPr>
          <w:rFonts w:ascii="宋体" w:hAnsi="宋体" w:cs="宋体" w:eastAsia="宋体" w:hint="default"/>
          <w:sz w:val="18"/>
          <w:szCs w:val="18"/>
        </w:rPr>
        <w:t>收到的其他与筹资活动有关的现金说明：</w:t>
      </w:r>
    </w:p>
    <w:p>
      <w:pPr>
        <w:spacing w:line="240" w:lineRule="auto" w:before="10"/>
        <w:rPr>
          <w:rFonts w:ascii="宋体" w:hAnsi="宋体" w:cs="宋体" w:eastAsia="宋体" w:hint="default"/>
          <w:sz w:val="26"/>
          <w:szCs w:val="26"/>
        </w:rPr>
      </w:pPr>
    </w:p>
    <w:p>
      <w:pPr>
        <w:pStyle w:val="Heading4"/>
        <w:spacing w:line="240" w:lineRule="auto"/>
        <w:ind w:right="1117"/>
        <w:jc w:val="left"/>
        <w:rPr>
          <w:b w:val="0"/>
          <w:bCs w:val="0"/>
        </w:rPr>
      </w:pPr>
      <w:bookmarkStart w:name="（6）支付的其他与筹资活动有关的现金" w:id="333"/>
      <w:bookmarkEnd w:id="333"/>
      <w:r>
        <w:rPr>
          <w:b w:val="0"/>
          <w:bCs w:val="0"/>
        </w:rPr>
      </w:r>
      <w:r>
        <w:rPr/>
        <w:t>（</w:t>
      </w:r>
      <w:r>
        <w:rPr>
          <w:rFonts w:ascii="Times New Roman" w:hAnsi="Times New Roman" w:cs="Times New Roman" w:eastAsia="Times New Roman" w:hint="default"/>
        </w:rPr>
        <w:t>6</w:t>
      </w:r>
      <w:r>
        <w:rPr/>
        <w:t>）支付的其他与筹资活动有关的现金</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财务顾问费</w:t>
            </w:r>
          </w:p>
        </w:tc>
        <w:tc>
          <w:tcPr>
            <w:tcW w:w="3194" w:type="dxa"/>
            <w:tcBorders>
              <w:top w:val="single" w:sz="4" w:space="0" w:color="000000"/>
              <w:left w:val="single" w:sz="4" w:space="0" w:color="000000"/>
              <w:bottom w:val="single" w:sz="4" w:space="0" w:color="000000"/>
              <w:right w:val="single" w:sz="4" w:space="0" w:color="000000"/>
            </w:tcBorders>
          </w:tcPr>
          <w:p>
            <w:pP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1,500,000.00</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股权激励及非公开相关中介费</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69,528,553.80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1,382,966.00</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派息手续费</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172,328.58</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25,067.18</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69,700,882.38</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2,908,033.18</w:t>
            </w:r>
          </w:p>
        </w:tc>
      </w:tr>
    </w:tbl>
    <w:p>
      <w:pPr>
        <w:spacing w:before="51"/>
        <w:ind w:left="154" w:right="1117" w:firstLine="0"/>
        <w:jc w:val="left"/>
        <w:rPr>
          <w:rFonts w:ascii="宋体" w:hAnsi="宋体" w:cs="宋体" w:eastAsia="宋体" w:hint="default"/>
          <w:sz w:val="18"/>
          <w:szCs w:val="18"/>
        </w:rPr>
      </w:pPr>
      <w:r>
        <w:rPr>
          <w:rFonts w:ascii="宋体" w:hAnsi="宋体" w:cs="宋体" w:eastAsia="宋体" w:hint="default"/>
          <w:sz w:val="18"/>
          <w:szCs w:val="18"/>
        </w:rPr>
        <w:t>支付的其他与筹资活动有关的现金说明：</w:t>
      </w:r>
    </w:p>
    <w:p>
      <w:pPr>
        <w:spacing w:line="240" w:lineRule="auto" w:before="10"/>
        <w:rPr>
          <w:rFonts w:ascii="宋体" w:hAnsi="宋体" w:cs="宋体" w:eastAsia="宋体" w:hint="default"/>
          <w:sz w:val="26"/>
          <w:szCs w:val="26"/>
        </w:rPr>
      </w:pPr>
    </w:p>
    <w:p>
      <w:pPr>
        <w:pStyle w:val="Heading4"/>
        <w:spacing w:line="240" w:lineRule="auto"/>
        <w:ind w:right="1117"/>
        <w:jc w:val="left"/>
        <w:rPr>
          <w:b w:val="0"/>
          <w:bCs w:val="0"/>
        </w:rPr>
      </w:pPr>
      <w:bookmarkStart w:name="49、现金流量表补充资料" w:id="334"/>
      <w:bookmarkEnd w:id="334"/>
      <w:r>
        <w:rPr>
          <w:b w:val="0"/>
          <w:bCs w:val="0"/>
        </w:rPr>
      </w:r>
      <w:r>
        <w:rPr>
          <w:rFonts w:ascii="Times New Roman" w:hAnsi="Times New Roman" w:cs="Times New Roman" w:eastAsia="Times New Roman" w:hint="default"/>
        </w:rPr>
        <w:t>49</w:t>
      </w:r>
      <w:r>
        <w:rPr/>
        <w:t>、现金流量表补充资料</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1117"/>
        <w:jc w:val="left"/>
        <w:rPr>
          <w:b w:val="0"/>
          <w:bCs w:val="0"/>
        </w:rPr>
      </w:pPr>
      <w:bookmarkStart w:name="（1）现金流量表补充资料" w:id="335"/>
      <w:bookmarkEnd w:id="335"/>
      <w:r>
        <w:rPr>
          <w:b w:val="0"/>
          <w:bCs w:val="0"/>
        </w:rPr>
      </w:r>
      <w:r>
        <w:rPr/>
        <w:t>（</w:t>
      </w:r>
      <w:r>
        <w:rPr>
          <w:rFonts w:ascii="Times New Roman" w:hAnsi="Times New Roman" w:cs="Times New Roman" w:eastAsia="Times New Roman" w:hint="default"/>
        </w:rPr>
        <w:t>1</w:t>
      </w:r>
      <w:r>
        <w:rPr/>
        <w:t>）现金流量表补充资料</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305"/>
        <w:gridCol w:w="3069"/>
        <w:gridCol w:w="3184"/>
      </w:tblGrid>
      <w:tr>
        <w:trPr>
          <w:trHeight w:val="403"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补充资料</w:t>
            </w:r>
          </w:p>
        </w:tc>
        <w:tc>
          <w:tcPr>
            <w:tcW w:w="30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center"/>
              <w:rPr>
                <w:rFonts w:ascii="宋体" w:hAnsi="宋体" w:cs="宋体" w:eastAsia="宋体" w:hint="default"/>
                <w:sz w:val="18"/>
                <w:szCs w:val="18"/>
              </w:rPr>
            </w:pPr>
            <w:r>
              <w:rPr>
                <w:rFonts w:ascii="宋体" w:hAnsi="宋体" w:cs="宋体" w:eastAsia="宋体" w:hint="default"/>
                <w:sz w:val="18"/>
                <w:szCs w:val="18"/>
              </w:rPr>
              <w:t>本期金额</w:t>
            </w:r>
          </w:p>
        </w:tc>
        <w:tc>
          <w:tcPr>
            <w:tcW w:w="31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上期金额</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．将净利润调节为经营活动现金流量：</w:t>
            </w:r>
          </w:p>
        </w:tc>
        <w:tc>
          <w:tcPr>
            <w:tcW w:w="30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left="11" w:right="0"/>
              <w:jc w:val="center"/>
              <w:rPr>
                <w:rFonts w:ascii="Times New Roman" w:hAnsi="Times New Roman" w:cs="Times New Roman" w:eastAsia="Times New Roman" w:hint="default"/>
                <w:sz w:val="18"/>
                <w:szCs w:val="18"/>
              </w:rPr>
            </w:pPr>
            <w:r>
              <w:rPr>
                <w:rFonts w:ascii="Times New Roman"/>
                <w:sz w:val="18"/>
              </w:rPr>
              <w:t>--</w:t>
            </w:r>
          </w:p>
        </w:tc>
        <w:tc>
          <w:tcPr>
            <w:tcW w:w="31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306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97,327,189.25</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120,228,312.32</w:t>
            </w:r>
          </w:p>
        </w:tc>
      </w:tr>
      <w:tr>
        <w:trPr>
          <w:trHeight w:val="403"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加：资产减值准备</w:t>
            </w:r>
          </w:p>
        </w:tc>
        <w:tc>
          <w:tcPr>
            <w:tcW w:w="306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17,642,393.30</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13,679,230.26</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79" w:top="1060" w:bottom="1160" w:left="980" w:right="0"/>
        </w:sectPr>
      </w:pPr>
    </w:p>
    <w:p>
      <w:pPr>
        <w:spacing w:line="240" w:lineRule="auto" w:before="6"/>
        <w:rPr>
          <w:rFonts w:ascii="宋体" w:hAnsi="宋体" w:cs="宋体" w:eastAsia="宋体" w:hint="default"/>
          <w:sz w:val="28"/>
          <w:szCs w:val="28"/>
        </w:rPr>
      </w:pPr>
      <w:r>
        <w:rPr/>
        <w:pict>
          <v:group style="position:absolute;margin-left:223.339996pt;margin-top:243.829987pt;width:151.25pt;height:20.8pt;mso-position-horizontal-relative:page;mso-position-vertical-relative:page;z-index:-1221328" coordorigin="4467,4877" coordsize="3025,416">
            <v:group style="position:absolute;left:4478;top:4888;width:2;height:393" coordorigin="4478,4888" coordsize="2,393">
              <v:shape style="position:absolute;left:4478;top:4888;width:2;height:393" coordorigin="4478,4888" coordsize="0,393" path="m4478,4888l4478,5280e" filled="false" stroked="true" strokeweight="1.140pt" strokecolor="#ffffff">
                <v:path arrowok="t"/>
              </v:shape>
            </v:group>
            <v:group style="position:absolute;left:4490;top:4888;width:3002;height:393" coordorigin="4490,4888" coordsize="3002,393">
              <v:shape style="position:absolute;left:4490;top:4888;width:3002;height:393" coordorigin="4490,4888" coordsize="3002,393" path="m4490,5280l7491,5280,7491,4888,4490,4888,4490,5280xe" filled="true" fillcolor="#ffffff" stroked="false">
                <v:path arrowok="t"/>
                <v:fill type="solid"/>
              </v:shape>
            </v:group>
            <w10:wrap type="none"/>
          </v:group>
        </w:pict>
      </w:r>
    </w:p>
    <w:tbl>
      <w:tblPr>
        <w:tblW w:w="0" w:type="auto"/>
        <w:jc w:val="left"/>
        <w:tblInd w:w="160" w:type="dxa"/>
        <w:tblLayout w:type="fixed"/>
        <w:tblCellMar>
          <w:top w:w="0" w:type="dxa"/>
          <w:left w:w="0" w:type="dxa"/>
          <w:bottom w:w="0" w:type="dxa"/>
          <w:right w:w="0" w:type="dxa"/>
        </w:tblCellMar>
        <w:tblLook w:val="01E0"/>
      </w:tblPr>
      <w:tblGrid>
        <w:gridCol w:w="3305"/>
        <w:gridCol w:w="1055"/>
        <w:gridCol w:w="2014"/>
        <w:gridCol w:w="3184"/>
      </w:tblGrid>
      <w:tr>
        <w:trPr>
          <w:trHeight w:val="714"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1"/>
              <w:jc w:val="left"/>
              <w:rPr>
                <w:rFonts w:ascii="宋体" w:hAnsi="宋体" w:cs="宋体" w:eastAsia="宋体" w:hint="default"/>
                <w:sz w:val="18"/>
                <w:szCs w:val="18"/>
              </w:rPr>
            </w:pPr>
            <w:r>
              <w:rPr>
                <w:rFonts w:ascii="宋体" w:hAnsi="宋体" w:cs="宋体" w:eastAsia="宋体" w:hint="default"/>
                <w:sz w:val="18"/>
                <w:szCs w:val="18"/>
              </w:rPr>
              <w:t>固定资产折旧、油气资产折耗、生产性生 物资产折旧</w:t>
            </w:r>
          </w:p>
        </w:tc>
        <w:tc>
          <w:tcPr>
            <w:tcW w:w="3069"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995" w:right="0"/>
              <w:jc w:val="left"/>
              <w:rPr>
                <w:rFonts w:ascii="Times New Roman" w:hAnsi="Times New Roman" w:cs="Times New Roman" w:eastAsia="Times New Roman" w:hint="default"/>
                <w:sz w:val="18"/>
                <w:szCs w:val="18"/>
              </w:rPr>
            </w:pPr>
            <w:r>
              <w:rPr>
                <w:rFonts w:ascii="Times New Roman"/>
                <w:sz w:val="18"/>
              </w:rPr>
              <w:t>11,928,579.65</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11,272,396.61</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3069"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left="1989" w:right="0"/>
              <w:jc w:val="left"/>
              <w:rPr>
                <w:rFonts w:ascii="Times New Roman" w:hAnsi="Times New Roman" w:cs="Times New Roman" w:eastAsia="Times New Roman" w:hint="default"/>
                <w:sz w:val="18"/>
                <w:szCs w:val="18"/>
              </w:rPr>
            </w:pPr>
            <w:r>
              <w:rPr>
                <w:rFonts w:ascii="Times New Roman"/>
                <w:sz w:val="18"/>
              </w:rPr>
              <w:t>15,230,857.97</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11,643,903.68</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长期待摊费用摊销</w:t>
            </w:r>
          </w:p>
        </w:tc>
        <w:tc>
          <w:tcPr>
            <w:tcW w:w="3069"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4,022,935.43</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3,705,269.49</w:t>
            </w:r>
          </w:p>
        </w:tc>
      </w:tr>
      <w:tr>
        <w:trPr>
          <w:trHeight w:val="714"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1"/>
              <w:jc w:val="left"/>
              <w:rPr>
                <w:rFonts w:ascii="宋体" w:hAnsi="宋体" w:cs="宋体" w:eastAsia="宋体" w:hint="default"/>
                <w:sz w:val="18"/>
                <w:szCs w:val="18"/>
              </w:rPr>
            </w:pPr>
            <w:r>
              <w:rPr>
                <w:rFonts w:ascii="宋体" w:hAnsi="宋体" w:cs="宋体" w:eastAsia="宋体" w:hint="default"/>
                <w:sz w:val="18"/>
                <w:szCs w:val="18"/>
              </w:rPr>
              <w:t>处置固定资产、无形资产和其他长期资产 的损失（收益以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069"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225,825.93</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106,446.49</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公允价值变动损失（收益以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069"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left="2019" w:right="0"/>
              <w:jc w:val="left"/>
              <w:rPr>
                <w:rFonts w:ascii="Times New Roman" w:hAnsi="Times New Roman" w:cs="Times New Roman" w:eastAsia="Times New Roman" w:hint="default"/>
                <w:sz w:val="18"/>
                <w:szCs w:val="18"/>
              </w:rPr>
            </w:pPr>
            <w:r>
              <w:rPr>
                <w:rFonts w:ascii="Times New Roman"/>
                <w:sz w:val="18"/>
              </w:rPr>
              <w:t>-3,402,000.00</w:t>
            </w:r>
          </w:p>
        </w:tc>
        <w:tc>
          <w:tcPr>
            <w:tcW w:w="318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财务费用（收益以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069"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left="1989" w:right="0"/>
              <w:jc w:val="left"/>
              <w:rPr>
                <w:rFonts w:ascii="Times New Roman" w:hAnsi="Times New Roman" w:cs="Times New Roman" w:eastAsia="Times New Roman" w:hint="default"/>
                <w:sz w:val="18"/>
                <w:szCs w:val="18"/>
              </w:rPr>
            </w:pPr>
            <w:r>
              <w:rPr>
                <w:rFonts w:ascii="Times New Roman"/>
                <w:sz w:val="18"/>
              </w:rPr>
              <w:t>14,355,684.25</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9,906,635.98</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投资损失（收益以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069"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left="1929" w:right="0"/>
              <w:jc w:val="left"/>
              <w:rPr>
                <w:rFonts w:ascii="Times New Roman" w:hAnsi="Times New Roman" w:cs="Times New Roman" w:eastAsia="Times New Roman" w:hint="default"/>
                <w:sz w:val="18"/>
                <w:szCs w:val="18"/>
              </w:rPr>
            </w:pPr>
            <w:r>
              <w:rPr>
                <w:rFonts w:ascii="Times New Roman"/>
                <w:sz w:val="18"/>
              </w:rPr>
              <w:t>-10,104,366.95</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1,095,146.27</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pacing w:val="-3"/>
                <w:sz w:val="18"/>
                <w:szCs w:val="18"/>
              </w:rPr>
              <w:t>递延所得税资产减少（增加以</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号填列</w:t>
            </w:r>
          </w:p>
        </w:tc>
        <w:tc>
          <w:tcPr>
            <w:tcW w:w="1055" w:type="dxa"/>
            <w:tcBorders>
              <w:top w:val="single" w:sz="4" w:space="0" w:color="000000"/>
              <w:left w:val="single" w:sz="13" w:space="0" w:color="D2D2D2"/>
              <w:bottom w:val="single" w:sz="4" w:space="0" w:color="000000"/>
              <w:right w:val="nil" w:sz="6" w:space="0" w:color="auto"/>
            </w:tcBorders>
          </w:tcPr>
          <w:p>
            <w:pPr>
              <w:pStyle w:val="TableParagraph"/>
              <w:spacing w:line="240" w:lineRule="auto" w:before="51"/>
              <w:ind w:left="-124" w:right="0"/>
              <w:jc w:val="left"/>
              <w:rPr>
                <w:rFonts w:ascii="宋体" w:hAnsi="宋体" w:cs="宋体" w:eastAsia="宋体" w:hint="default"/>
                <w:sz w:val="18"/>
                <w:szCs w:val="18"/>
              </w:rPr>
            </w:pPr>
            <w:r>
              <w:rPr>
                <w:rFonts w:ascii="宋体" w:hAnsi="宋体" w:cs="宋体" w:eastAsia="宋体" w:hint="default"/>
                <w:sz w:val="18"/>
                <w:szCs w:val="18"/>
              </w:rPr>
              <w:t>）</w:t>
            </w:r>
          </w:p>
        </w:tc>
        <w:tc>
          <w:tcPr>
            <w:tcW w:w="201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1"/>
              <w:ind w:left="981" w:right="0"/>
              <w:jc w:val="left"/>
              <w:rPr>
                <w:rFonts w:ascii="Times New Roman" w:hAnsi="Times New Roman" w:cs="Times New Roman" w:eastAsia="Times New Roman" w:hint="default"/>
                <w:sz w:val="18"/>
                <w:szCs w:val="18"/>
              </w:rPr>
            </w:pPr>
            <w:r>
              <w:rPr>
                <w:rFonts w:ascii="Times New Roman"/>
                <w:sz w:val="18"/>
              </w:rPr>
              <w:t>-2,460,697.64</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-3,791,118.84</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存货的减少（增加以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069"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left="1929" w:right="0"/>
              <w:jc w:val="left"/>
              <w:rPr>
                <w:rFonts w:ascii="Times New Roman" w:hAnsi="Times New Roman" w:cs="Times New Roman" w:eastAsia="Times New Roman" w:hint="default"/>
                <w:sz w:val="18"/>
                <w:szCs w:val="18"/>
              </w:rPr>
            </w:pPr>
            <w:r>
              <w:rPr>
                <w:rFonts w:ascii="Times New Roman"/>
                <w:sz w:val="18"/>
              </w:rPr>
              <w:t>-34,826,203.88</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-32,503,871.75</w:t>
            </w:r>
          </w:p>
        </w:tc>
      </w:tr>
      <w:tr>
        <w:trPr>
          <w:trHeight w:val="714"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11" w:right="61"/>
              <w:jc w:val="left"/>
              <w:rPr>
                <w:rFonts w:ascii="宋体" w:hAnsi="宋体" w:cs="宋体" w:eastAsia="宋体" w:hint="default"/>
                <w:sz w:val="18"/>
                <w:szCs w:val="18"/>
              </w:rPr>
            </w:pPr>
            <w:r>
              <w:rPr>
                <w:rFonts w:ascii="宋体" w:hAnsi="宋体" w:cs="宋体" w:eastAsia="宋体" w:hint="default"/>
                <w:sz w:val="18"/>
                <w:szCs w:val="18"/>
              </w:rPr>
              <w:t>经营性应收项目的减少（增加以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 列）</w:t>
            </w:r>
          </w:p>
        </w:tc>
        <w:tc>
          <w:tcPr>
            <w:tcW w:w="3069"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839" w:right="0"/>
              <w:jc w:val="left"/>
              <w:rPr>
                <w:rFonts w:ascii="Times New Roman" w:hAnsi="Times New Roman" w:cs="Times New Roman" w:eastAsia="Times New Roman" w:hint="default"/>
                <w:sz w:val="18"/>
                <w:szCs w:val="18"/>
              </w:rPr>
            </w:pPr>
            <w:r>
              <w:rPr>
                <w:rFonts w:ascii="Times New Roman"/>
                <w:sz w:val="18"/>
              </w:rPr>
              <w:t>-166,092,093.87</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-133,053,870.25</w:t>
            </w:r>
          </w:p>
        </w:tc>
      </w:tr>
      <w:tr>
        <w:trPr>
          <w:trHeight w:val="714"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11" w:right="61"/>
              <w:jc w:val="left"/>
              <w:rPr>
                <w:rFonts w:ascii="宋体" w:hAnsi="宋体" w:cs="宋体" w:eastAsia="宋体" w:hint="default"/>
                <w:sz w:val="18"/>
                <w:szCs w:val="18"/>
              </w:rPr>
            </w:pPr>
            <w:r>
              <w:rPr>
                <w:rFonts w:ascii="宋体" w:hAnsi="宋体" w:cs="宋体" w:eastAsia="宋体" w:hint="default"/>
                <w:sz w:val="18"/>
                <w:szCs w:val="18"/>
              </w:rPr>
              <w:t>经营性应付项目的增加（减少以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 列）</w:t>
            </w:r>
          </w:p>
        </w:tc>
        <w:tc>
          <w:tcPr>
            <w:tcW w:w="3069"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989" w:right="0"/>
              <w:jc w:val="left"/>
              <w:rPr>
                <w:rFonts w:ascii="Times New Roman" w:hAnsi="Times New Roman" w:cs="Times New Roman" w:eastAsia="Times New Roman" w:hint="default"/>
                <w:sz w:val="18"/>
                <w:szCs w:val="18"/>
              </w:rPr>
            </w:pPr>
            <w:r>
              <w:rPr>
                <w:rFonts w:ascii="Times New Roman"/>
                <w:sz w:val="18"/>
              </w:rPr>
              <w:t>86,598,361.08</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63,123,005.30</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3069"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left="1989" w:right="0"/>
              <w:jc w:val="left"/>
              <w:rPr>
                <w:rFonts w:ascii="Times New Roman" w:hAnsi="Times New Roman" w:cs="Times New Roman" w:eastAsia="Times New Roman" w:hint="default"/>
                <w:sz w:val="18"/>
                <w:szCs w:val="18"/>
              </w:rPr>
            </w:pPr>
            <w:r>
              <w:rPr>
                <w:rFonts w:ascii="Times New Roman"/>
                <w:sz w:val="18"/>
              </w:rPr>
              <w:t>30,446,464.52</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65,411,485.56</w:t>
            </w:r>
          </w:p>
        </w:tc>
      </w:tr>
      <w:tr>
        <w:trPr>
          <w:trHeight w:val="161" w:hRule="exact"/>
        </w:trPr>
        <w:tc>
          <w:tcPr>
            <w:tcW w:w="3305" w:type="dxa"/>
            <w:vMerge w:val="restart"/>
            <w:tcBorders>
              <w:top w:val="single" w:sz="4" w:space="0" w:color="000000"/>
              <w:left w:val="single" w:sz="4" w:space="0" w:color="000000"/>
              <w:right w:val="single" w:sz="4" w:space="0" w:color="000000"/>
            </w:tcBorders>
            <w:shd w:val="clear" w:color="auto" w:fill="D2D2D2"/>
          </w:tcPr>
          <w:p>
            <w:pPr>
              <w:pStyle w:val="TableParagraph"/>
              <w:spacing w:line="302" w:lineRule="auto" w:before="51"/>
              <w:ind w:left="11" w:right="131"/>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．不涉及现金收支的重大投资和筹资活 动：</w:t>
            </w:r>
          </w:p>
        </w:tc>
        <w:tc>
          <w:tcPr>
            <w:tcW w:w="3069" w:type="dxa"/>
            <w:gridSpan w:val="2"/>
            <w:tcBorders>
              <w:top w:val="single" w:sz="4" w:space="0" w:color="000000"/>
              <w:left w:val="single" w:sz="4" w:space="0" w:color="000000"/>
              <w:bottom w:val="nil" w:sz="6" w:space="0" w:color="auto"/>
              <w:right w:val="single" w:sz="4" w:space="0" w:color="000000"/>
            </w:tcBorders>
            <w:shd w:val="clear" w:color="auto" w:fill="D2D2D2"/>
          </w:tcPr>
          <w:p>
            <w:pPr/>
          </w:p>
        </w:tc>
        <w:tc>
          <w:tcPr>
            <w:tcW w:w="3184"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392" w:hRule="exact"/>
        </w:trPr>
        <w:tc>
          <w:tcPr>
            <w:tcW w:w="3305" w:type="dxa"/>
            <w:vMerge/>
            <w:tcBorders>
              <w:left w:val="single" w:sz="4" w:space="0" w:color="000000"/>
              <w:right w:val="single" w:sz="4" w:space="0" w:color="000000"/>
            </w:tcBorders>
            <w:shd w:val="clear" w:color="auto" w:fill="D2D2D2"/>
          </w:tcPr>
          <w:p>
            <w:pPr/>
          </w:p>
        </w:tc>
        <w:tc>
          <w:tcPr>
            <w:tcW w:w="3069" w:type="dxa"/>
            <w:gridSpan w:val="2"/>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left="11" w:right="0"/>
              <w:jc w:val="center"/>
              <w:rPr>
                <w:rFonts w:ascii="Times New Roman" w:hAnsi="Times New Roman" w:cs="Times New Roman" w:eastAsia="Times New Roman" w:hint="default"/>
                <w:sz w:val="18"/>
                <w:szCs w:val="18"/>
              </w:rPr>
            </w:pPr>
            <w:r>
              <w:rPr>
                <w:rFonts w:ascii="Times New Roman"/>
                <w:sz w:val="18"/>
              </w:rPr>
              <w:t>--</w:t>
            </w:r>
          </w:p>
        </w:tc>
        <w:tc>
          <w:tcPr>
            <w:tcW w:w="318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left="1526" w:right="0"/>
              <w:jc w:val="left"/>
              <w:rPr>
                <w:rFonts w:ascii="Times New Roman" w:hAnsi="Times New Roman" w:cs="Times New Roman" w:eastAsia="Times New Roman" w:hint="default"/>
                <w:sz w:val="18"/>
                <w:szCs w:val="18"/>
              </w:rPr>
            </w:pPr>
            <w:r>
              <w:rPr>
                <w:rFonts w:ascii="Times New Roman"/>
                <w:sz w:val="18"/>
              </w:rPr>
              <w:t>--</w:t>
            </w:r>
          </w:p>
        </w:tc>
      </w:tr>
      <w:tr>
        <w:trPr>
          <w:trHeight w:val="161" w:hRule="exact"/>
        </w:trPr>
        <w:tc>
          <w:tcPr>
            <w:tcW w:w="3305" w:type="dxa"/>
            <w:vMerge/>
            <w:tcBorders>
              <w:left w:val="single" w:sz="4" w:space="0" w:color="000000"/>
              <w:bottom w:val="single" w:sz="4" w:space="0" w:color="000000"/>
              <w:right w:val="single" w:sz="4" w:space="0" w:color="000000"/>
            </w:tcBorders>
            <w:shd w:val="clear" w:color="auto" w:fill="D2D2D2"/>
          </w:tcPr>
          <w:p>
            <w:pPr/>
          </w:p>
        </w:tc>
        <w:tc>
          <w:tcPr>
            <w:tcW w:w="3069" w:type="dxa"/>
            <w:gridSpan w:val="2"/>
            <w:tcBorders>
              <w:top w:val="nil" w:sz="6" w:space="0" w:color="auto"/>
              <w:left w:val="single" w:sz="4" w:space="0" w:color="000000"/>
              <w:bottom w:val="single" w:sz="4" w:space="0" w:color="000000"/>
              <w:right w:val="single" w:sz="4" w:space="0" w:color="000000"/>
            </w:tcBorders>
            <w:shd w:val="clear" w:color="auto" w:fill="D2D2D2"/>
          </w:tcPr>
          <w:p>
            <w:pPr/>
          </w:p>
        </w:tc>
        <w:tc>
          <w:tcPr>
            <w:tcW w:w="3184"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．现金及现金等价物净变动情况：</w:t>
            </w:r>
          </w:p>
        </w:tc>
        <w:tc>
          <w:tcPr>
            <w:tcW w:w="306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1" w:right="0"/>
              <w:jc w:val="center"/>
              <w:rPr>
                <w:rFonts w:ascii="Times New Roman" w:hAnsi="Times New Roman" w:cs="Times New Roman" w:eastAsia="Times New Roman" w:hint="default"/>
                <w:sz w:val="18"/>
                <w:szCs w:val="18"/>
              </w:rPr>
            </w:pPr>
            <w:r>
              <w:rPr>
                <w:rFonts w:ascii="Times New Roman"/>
                <w:sz w:val="18"/>
              </w:rPr>
              <w:t>--</w:t>
            </w:r>
          </w:p>
        </w:tc>
        <w:tc>
          <w:tcPr>
            <w:tcW w:w="31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526" w:right="0"/>
              <w:jc w:val="left"/>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现金的期末余额</w:t>
            </w:r>
          </w:p>
        </w:tc>
        <w:tc>
          <w:tcPr>
            <w:tcW w:w="3069"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left="1899" w:right="0"/>
              <w:jc w:val="left"/>
              <w:rPr>
                <w:rFonts w:ascii="Times New Roman" w:hAnsi="Times New Roman" w:cs="Times New Roman" w:eastAsia="Times New Roman" w:hint="default"/>
                <w:sz w:val="18"/>
                <w:szCs w:val="18"/>
              </w:rPr>
            </w:pPr>
            <w:r>
              <w:rPr>
                <w:rFonts w:ascii="Times New Roman"/>
                <w:sz w:val="18"/>
              </w:rPr>
              <w:t>357,129,306.41</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593,348,607.36</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减：现金的期初余额</w:t>
            </w:r>
          </w:p>
        </w:tc>
        <w:tc>
          <w:tcPr>
            <w:tcW w:w="3069"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left="1899" w:right="0"/>
              <w:jc w:val="left"/>
              <w:rPr>
                <w:rFonts w:ascii="Times New Roman" w:hAnsi="Times New Roman" w:cs="Times New Roman" w:eastAsia="Times New Roman" w:hint="default"/>
                <w:sz w:val="18"/>
                <w:szCs w:val="18"/>
              </w:rPr>
            </w:pPr>
            <w:r>
              <w:rPr>
                <w:rFonts w:ascii="Times New Roman"/>
                <w:sz w:val="18"/>
              </w:rPr>
              <w:t>593,348,607.36</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586,298,137.20</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现金及现金等价物净增加额</w:t>
            </w:r>
          </w:p>
        </w:tc>
        <w:tc>
          <w:tcPr>
            <w:tcW w:w="3069"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left="1839" w:right="0"/>
              <w:jc w:val="left"/>
              <w:rPr>
                <w:rFonts w:ascii="Times New Roman" w:hAnsi="Times New Roman" w:cs="Times New Roman" w:eastAsia="Times New Roman" w:hint="default"/>
                <w:sz w:val="18"/>
                <w:szCs w:val="18"/>
              </w:rPr>
            </w:pPr>
            <w:r>
              <w:rPr>
                <w:rFonts w:ascii="Times New Roman"/>
                <w:sz w:val="18"/>
              </w:rPr>
              <w:t>-236,219,300.95</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7,050,470.16</w:t>
            </w:r>
          </w:p>
        </w:tc>
      </w:tr>
    </w:tbl>
    <w:p>
      <w:pPr>
        <w:spacing w:line="240" w:lineRule="auto" w:before="2"/>
        <w:rPr>
          <w:rFonts w:ascii="宋体" w:hAnsi="宋体" w:cs="宋体" w:eastAsia="宋体" w:hint="default"/>
          <w:sz w:val="19"/>
          <w:szCs w:val="19"/>
        </w:rPr>
      </w:pPr>
    </w:p>
    <w:p>
      <w:pPr>
        <w:pStyle w:val="Heading4"/>
        <w:spacing w:line="240" w:lineRule="auto" w:before="35"/>
        <w:ind w:right="1117"/>
        <w:jc w:val="left"/>
        <w:rPr>
          <w:b w:val="0"/>
          <w:bCs w:val="0"/>
        </w:rPr>
      </w:pPr>
      <w:bookmarkStart w:name="（2）本期支付的取得子公司的现金净额" w:id="336"/>
      <w:bookmarkEnd w:id="336"/>
      <w:r>
        <w:rPr>
          <w:b w:val="0"/>
          <w:bCs w:val="0"/>
        </w:rPr>
      </w:r>
      <w:r>
        <w:rPr/>
        <w:t>（</w:t>
      </w:r>
      <w:r>
        <w:rPr>
          <w:rFonts w:ascii="Times New Roman" w:hAnsi="Times New Roman" w:cs="Times New Roman" w:eastAsia="Times New Roman" w:hint="default"/>
        </w:rPr>
        <w:t>2</w:t>
      </w:r>
      <w:r>
        <w:rPr/>
        <w:t>）本期支付的取得子公司的现金净额</w:t>
      </w:r>
      <w:r>
        <w:rPr>
          <w:b w:val="0"/>
          <w:bCs w:val="0"/>
        </w:rPr>
      </w:r>
    </w:p>
    <w:p>
      <w:pPr>
        <w:spacing w:line="240" w:lineRule="auto" w:before="8"/>
        <w:rPr>
          <w:rFonts w:ascii="宋体" w:hAnsi="宋体" w:cs="宋体" w:eastAsia="宋体" w:hint="default"/>
          <w:b/>
          <w:bCs/>
          <w:sz w:val="26"/>
          <w:szCs w:val="26"/>
        </w:rPr>
      </w:pPr>
    </w:p>
    <w:p>
      <w:pPr>
        <w:spacing w:before="0"/>
        <w:ind w:left="154" w:right="1117"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pStyle w:val="Heading4"/>
        <w:spacing w:line="240" w:lineRule="auto"/>
        <w:ind w:right="1117"/>
        <w:jc w:val="left"/>
        <w:rPr>
          <w:b w:val="0"/>
          <w:bCs w:val="0"/>
        </w:rPr>
      </w:pPr>
      <w:bookmarkStart w:name="（3）本期收到的处置子公司的现金净额" w:id="337"/>
      <w:bookmarkEnd w:id="337"/>
      <w:r>
        <w:rPr>
          <w:b w:val="0"/>
          <w:bCs w:val="0"/>
        </w:rPr>
      </w:r>
      <w:r>
        <w:rPr/>
        <w:t>（</w:t>
      </w:r>
      <w:r>
        <w:rPr>
          <w:rFonts w:ascii="Times New Roman" w:hAnsi="Times New Roman" w:cs="Times New Roman" w:eastAsia="Times New Roman" w:hint="default"/>
        </w:rPr>
        <w:t>3</w:t>
      </w:r>
      <w:r>
        <w:rPr/>
        <w:t>）本期收到的处置子公司的现金净额</w:t>
      </w:r>
      <w:r>
        <w:rPr>
          <w:b w:val="0"/>
          <w:bCs w:val="0"/>
        </w:rPr>
      </w:r>
    </w:p>
    <w:p>
      <w:pPr>
        <w:spacing w:line="240" w:lineRule="auto" w:before="8"/>
        <w:rPr>
          <w:rFonts w:ascii="宋体" w:hAnsi="宋体" w:cs="宋体" w:eastAsia="宋体" w:hint="default"/>
          <w:b/>
          <w:bCs/>
          <w:sz w:val="26"/>
          <w:szCs w:val="26"/>
        </w:rPr>
      </w:pPr>
    </w:p>
    <w:p>
      <w:pPr>
        <w:spacing w:before="0"/>
        <w:ind w:left="154" w:right="1117"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pStyle w:val="Heading4"/>
        <w:spacing w:line="240" w:lineRule="auto"/>
        <w:ind w:right="1117"/>
        <w:jc w:val="left"/>
        <w:rPr>
          <w:b w:val="0"/>
          <w:bCs w:val="0"/>
        </w:rPr>
      </w:pPr>
      <w:bookmarkStart w:name="（4）现金和现金等价物的构成" w:id="338"/>
      <w:bookmarkEnd w:id="338"/>
      <w:r>
        <w:rPr>
          <w:b w:val="0"/>
          <w:bCs w:val="0"/>
        </w:rPr>
      </w:r>
      <w:r>
        <w:rPr/>
        <w:t>（</w:t>
      </w:r>
      <w:r>
        <w:rPr>
          <w:rFonts w:ascii="Times New Roman" w:hAnsi="Times New Roman" w:cs="Times New Roman" w:eastAsia="Times New Roman" w:hint="default"/>
        </w:rPr>
        <w:t>4</w:t>
      </w:r>
      <w:r>
        <w:rPr/>
        <w:t>）现金和现金等价物的构成</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305"/>
        <w:gridCol w:w="3069"/>
        <w:gridCol w:w="3184"/>
      </w:tblGrid>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0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一、现金</w:t>
            </w:r>
          </w:p>
        </w:tc>
        <w:tc>
          <w:tcPr>
            <w:tcW w:w="306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357,129,306.41</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593,348,607.36</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其中：库存现金</w:t>
            </w:r>
          </w:p>
        </w:tc>
        <w:tc>
          <w:tcPr>
            <w:tcW w:w="306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58,945.73</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107,673.02</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51" w:right="0"/>
              <w:jc w:val="left"/>
              <w:rPr>
                <w:rFonts w:ascii="宋体" w:hAnsi="宋体" w:cs="宋体" w:eastAsia="宋体" w:hint="default"/>
                <w:sz w:val="18"/>
                <w:szCs w:val="18"/>
              </w:rPr>
            </w:pPr>
            <w:r>
              <w:rPr>
                <w:rFonts w:ascii="宋体" w:hAnsi="宋体" w:cs="宋体" w:eastAsia="宋体" w:hint="default"/>
                <w:sz w:val="18"/>
                <w:szCs w:val="18"/>
              </w:rPr>
              <w:t>可随时用于支付的银行存款</w:t>
            </w:r>
          </w:p>
        </w:tc>
        <w:tc>
          <w:tcPr>
            <w:tcW w:w="306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357,070,360.68</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593,240,934.34</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3327"/>
        <w:gridCol w:w="3057"/>
        <w:gridCol w:w="3184"/>
      </w:tblGrid>
      <w:tr>
        <w:trPr>
          <w:trHeight w:val="402"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三、期末现金及现金等价物余额</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900" w:right="0"/>
              <w:jc w:val="left"/>
              <w:rPr>
                <w:rFonts w:ascii="Times New Roman" w:hAnsi="Times New Roman" w:cs="Times New Roman" w:eastAsia="Times New Roman" w:hint="default"/>
                <w:sz w:val="18"/>
                <w:szCs w:val="18"/>
              </w:rPr>
            </w:pPr>
            <w:r>
              <w:rPr>
                <w:rFonts w:ascii="Times New Roman"/>
                <w:sz w:val="18"/>
              </w:rPr>
              <w:t>357,129,306.41</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27" w:right="0"/>
              <w:jc w:val="left"/>
              <w:rPr>
                <w:rFonts w:ascii="Times New Roman" w:hAnsi="Times New Roman" w:cs="Times New Roman" w:eastAsia="Times New Roman" w:hint="default"/>
                <w:sz w:val="18"/>
                <w:szCs w:val="18"/>
              </w:rPr>
            </w:pPr>
            <w:r>
              <w:rPr>
                <w:rFonts w:ascii="Times New Roman"/>
                <w:sz w:val="18"/>
              </w:rPr>
              <w:t>593,348,607.36</w:t>
            </w:r>
          </w:p>
        </w:tc>
      </w:tr>
    </w:tbl>
    <w:p>
      <w:pPr>
        <w:spacing w:before="51"/>
        <w:ind w:left="154" w:right="1117"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spacing w:line="547" w:lineRule="auto" w:before="0"/>
        <w:ind w:left="154" w:right="5372" w:firstLine="0"/>
        <w:jc w:val="left"/>
        <w:rPr>
          <w:rFonts w:ascii="宋体" w:hAnsi="宋体" w:cs="宋体" w:eastAsia="宋体" w:hint="default"/>
          <w:sz w:val="21"/>
          <w:szCs w:val="21"/>
        </w:rPr>
      </w:pPr>
      <w:bookmarkStart w:name="50、所有者权益变动表项目注释" w:id="339"/>
      <w:bookmarkEnd w:id="339"/>
      <w:r>
        <w:rPr/>
      </w:r>
      <w:r>
        <w:rPr>
          <w:rFonts w:ascii="Times New Roman" w:hAnsi="Times New Roman" w:cs="Times New Roman" w:eastAsia="Times New Roman" w:hint="default"/>
          <w:b/>
          <w:bCs/>
          <w:sz w:val="21"/>
          <w:szCs w:val="21"/>
        </w:rPr>
        <w:t>50</w:t>
      </w:r>
      <w:r>
        <w:rPr>
          <w:rFonts w:ascii="宋体" w:hAnsi="宋体" w:cs="宋体" w:eastAsia="宋体" w:hint="default"/>
          <w:b/>
          <w:bCs/>
          <w:sz w:val="21"/>
          <w:szCs w:val="21"/>
        </w:rPr>
        <w:t>、所有者权益变动表项目注释</w:t>
      </w:r>
      <w:r>
        <w:rPr>
          <w:rFonts w:ascii="宋体" w:hAnsi="宋体" w:cs="宋体" w:eastAsia="宋体" w:hint="default"/>
          <w:b/>
          <w:bCs/>
          <w:w w:val="99"/>
          <w:sz w:val="21"/>
          <w:szCs w:val="21"/>
        </w:rPr>
        <w:t> </w:t>
      </w:r>
      <w:r>
        <w:rPr>
          <w:rFonts w:ascii="宋体" w:hAnsi="宋体" w:cs="宋体" w:eastAsia="宋体" w:hint="default"/>
          <w:sz w:val="18"/>
          <w:szCs w:val="18"/>
        </w:rPr>
        <w:t>说明对上年期末余额进行调整的</w:t>
      </w:r>
      <w:r>
        <w:rPr>
          <w:rFonts w:ascii="Times New Roman" w:hAnsi="Times New Roman" w:cs="Times New Roman" w:eastAsia="Times New Roman" w:hint="default"/>
          <w:sz w:val="18"/>
          <w:szCs w:val="18"/>
        </w:rPr>
        <w:t>“</w:t>
      </w:r>
      <w:r>
        <w:rPr>
          <w:rFonts w:ascii="宋体" w:hAnsi="宋体" w:cs="宋体" w:eastAsia="宋体" w:hint="default"/>
          <w:sz w:val="18"/>
          <w:szCs w:val="18"/>
        </w:rPr>
        <w:t>其他</w:t>
      </w:r>
      <w:r>
        <w:rPr>
          <w:rFonts w:ascii="Times New Roman" w:hAnsi="Times New Roman" w:cs="Times New Roman" w:eastAsia="Times New Roman" w:hint="default"/>
          <w:sz w:val="18"/>
          <w:szCs w:val="18"/>
        </w:rPr>
        <w:t>”</w:t>
      </w:r>
      <w:r>
        <w:rPr>
          <w:rFonts w:ascii="宋体" w:hAnsi="宋体" w:cs="宋体" w:eastAsia="宋体" w:hint="default"/>
          <w:sz w:val="18"/>
          <w:szCs w:val="18"/>
        </w:rPr>
        <w:t>项目名称及调整金额等事项： </w:t>
      </w:r>
      <w:bookmarkStart w:name="51、所有权或使用权受到限制的资产" w:id="340"/>
      <w:bookmarkEnd w:id="340"/>
      <w:r>
        <w:rPr>
          <w:rFonts w:ascii="宋体" w:hAnsi="宋体" w:cs="宋体" w:eastAsia="宋体" w:hint="default"/>
          <w:sz w:val="18"/>
          <w:szCs w:val="18"/>
        </w:rPr>
      </w:r>
      <w:r>
        <w:rPr>
          <w:rFonts w:ascii="Times New Roman" w:hAnsi="Times New Roman" w:cs="Times New Roman" w:eastAsia="Times New Roman" w:hint="default"/>
          <w:b/>
          <w:bCs/>
          <w:sz w:val="21"/>
          <w:szCs w:val="21"/>
        </w:rPr>
        <w:t>51</w:t>
      </w:r>
      <w:r>
        <w:rPr>
          <w:rFonts w:ascii="宋体" w:hAnsi="宋体" w:cs="宋体" w:eastAsia="宋体" w:hint="default"/>
          <w:b/>
          <w:bCs/>
          <w:sz w:val="21"/>
          <w:szCs w:val="21"/>
        </w:rPr>
        <w:t>、所有权或使用权受到限制的资产</w:t>
      </w:r>
      <w:r>
        <w:rPr>
          <w:rFonts w:ascii="宋体" w:hAnsi="宋体" w:cs="宋体" w:eastAsia="宋体" w:hint="default"/>
          <w:sz w:val="21"/>
          <w:szCs w:val="21"/>
        </w:rPr>
      </w:r>
    </w:p>
    <w:p>
      <w:pPr>
        <w:spacing w:before="51"/>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305"/>
        <w:gridCol w:w="3069"/>
        <w:gridCol w:w="3184"/>
      </w:tblGrid>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0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95" w:right="0"/>
              <w:jc w:val="left"/>
              <w:rPr>
                <w:rFonts w:ascii="宋体" w:hAnsi="宋体" w:cs="宋体" w:eastAsia="宋体" w:hint="default"/>
                <w:sz w:val="18"/>
                <w:szCs w:val="18"/>
              </w:rPr>
            </w:pPr>
            <w:r>
              <w:rPr>
                <w:rFonts w:ascii="宋体" w:hAnsi="宋体" w:cs="宋体" w:eastAsia="宋体" w:hint="default"/>
                <w:sz w:val="18"/>
                <w:szCs w:val="18"/>
              </w:rPr>
              <w:t>期末账面价值</w:t>
            </w:r>
          </w:p>
        </w:tc>
        <w:tc>
          <w:tcPr>
            <w:tcW w:w="31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受限原因</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306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34,459,035.52</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保证金</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069" w:type="dxa"/>
            <w:tcBorders>
              <w:top w:val="single" w:sz="4" w:space="0" w:color="000000"/>
              <w:left w:val="single" w:sz="13" w:space="0" w:color="D2D2D2"/>
              <w:bottom w:val="single" w:sz="4" w:space="0" w:color="000000"/>
              <w:right w:val="single" w:sz="9" w:space="0" w:color="D2D2D2"/>
            </w:tcBorders>
          </w:tcPr>
          <w:p>
            <w:pPr>
              <w:pStyle w:val="TableParagraph"/>
              <w:spacing w:line="240" w:lineRule="auto" w:before="91"/>
              <w:ind w:right="13"/>
              <w:jc w:val="right"/>
              <w:rPr>
                <w:rFonts w:ascii="Times New Roman" w:hAnsi="Times New Roman" w:cs="Times New Roman" w:eastAsia="Times New Roman" w:hint="default"/>
                <w:sz w:val="18"/>
                <w:szCs w:val="18"/>
              </w:rPr>
            </w:pPr>
            <w:r>
              <w:rPr>
                <w:rFonts w:ascii="Times New Roman"/>
                <w:spacing w:val="-1"/>
                <w:sz w:val="18"/>
              </w:rPr>
              <w:t>34,459,035.52</w:t>
            </w:r>
          </w:p>
        </w:tc>
        <w:tc>
          <w:tcPr>
            <w:tcW w:w="31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bl>
    <w:p>
      <w:pPr>
        <w:spacing w:before="51"/>
        <w:ind w:left="154" w:right="1117"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pStyle w:val="Heading4"/>
        <w:spacing w:line="240" w:lineRule="auto"/>
        <w:ind w:right="1117"/>
        <w:jc w:val="left"/>
        <w:rPr>
          <w:b w:val="0"/>
          <w:bCs w:val="0"/>
        </w:rPr>
      </w:pPr>
      <w:bookmarkStart w:name="52、政府补助" w:id="341"/>
      <w:bookmarkEnd w:id="341"/>
      <w:r>
        <w:rPr>
          <w:b w:val="0"/>
          <w:bCs w:val="0"/>
        </w:rPr>
      </w:r>
      <w:r>
        <w:rPr>
          <w:rFonts w:ascii="Times New Roman" w:hAnsi="Times New Roman" w:cs="Times New Roman" w:eastAsia="Times New Roman" w:hint="default"/>
        </w:rPr>
        <w:t>52</w:t>
      </w:r>
      <w:r>
        <w:rPr/>
        <w:t>、政府补助</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1117"/>
        <w:jc w:val="left"/>
        <w:rPr>
          <w:b w:val="0"/>
          <w:bCs w:val="0"/>
        </w:rPr>
      </w:pPr>
      <w:bookmarkStart w:name="（1）政府补助基本情况" w:id="342"/>
      <w:bookmarkEnd w:id="342"/>
      <w:r>
        <w:rPr>
          <w:b w:val="0"/>
          <w:bCs w:val="0"/>
        </w:rPr>
      </w:r>
      <w:r>
        <w:rPr/>
        <w:t>（</w:t>
      </w:r>
      <w:r>
        <w:rPr>
          <w:rFonts w:ascii="Times New Roman" w:hAnsi="Times New Roman" w:cs="Times New Roman" w:eastAsia="Times New Roman" w:hint="default"/>
        </w:rPr>
        <w:t>1</w:t>
      </w:r>
      <w:r>
        <w:rPr/>
        <w:t>）政府补助基本情况</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392"/>
        <w:gridCol w:w="2393"/>
        <w:gridCol w:w="2392"/>
        <w:gridCol w:w="2392"/>
      </w:tblGrid>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种类</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列报项目</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80" w:right="0"/>
              <w:jc w:val="left"/>
              <w:rPr>
                <w:rFonts w:ascii="宋体" w:hAnsi="宋体" w:cs="宋体" w:eastAsia="宋体" w:hint="default"/>
                <w:sz w:val="18"/>
                <w:szCs w:val="18"/>
              </w:rPr>
            </w:pPr>
            <w:r>
              <w:rPr>
                <w:rFonts w:ascii="宋体" w:hAnsi="宋体" w:cs="宋体" w:eastAsia="宋体" w:hint="default"/>
                <w:sz w:val="18"/>
                <w:szCs w:val="18"/>
              </w:rPr>
              <w:t>计入当期损益的金额</w:t>
            </w:r>
          </w:p>
        </w:tc>
      </w:tr>
      <w:tr>
        <w:trPr>
          <w:trHeight w:val="1026"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2"/>
              <w:ind w:left="22" w:right="35"/>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年省先进制造业专项引 导资金</w:t>
            </w:r>
            <w:r>
              <w:rPr>
                <w:rFonts w:ascii="Times New Roman" w:hAnsi="Times New Roman" w:cs="Times New Roman" w:eastAsia="Times New Roman" w:hint="default"/>
                <w:sz w:val="18"/>
                <w:szCs w:val="18"/>
              </w:rPr>
              <w:t>"</w:t>
            </w:r>
            <w:r>
              <w:rPr>
                <w:rFonts w:ascii="宋体" w:hAnsi="宋体" w:cs="宋体" w:eastAsia="宋体" w:hint="default"/>
                <w:sz w:val="18"/>
                <w:szCs w:val="18"/>
              </w:rPr>
              <w:t>基于金融</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IC</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卡智能终 端产业化项目</w:t>
            </w:r>
            <w:r>
              <w:rPr>
                <w:rFonts w:ascii="Times New Roman" w:hAnsi="Times New Roman" w:cs="Times New Roman" w:eastAsia="Times New Roman" w:hint="default"/>
                <w:sz w:val="18"/>
                <w:szCs w:val="18"/>
              </w:rPr>
              <w:t>"</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2,975,000.00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52"/>
              <w:ind w:left="22" w:right="35"/>
              <w:jc w:val="left"/>
              <w:rPr>
                <w:rFonts w:ascii="Times New Roman" w:hAnsi="Times New Roman" w:cs="Times New Roman" w:eastAsia="Times New Roman" w:hint="default"/>
                <w:sz w:val="18"/>
                <w:szCs w:val="18"/>
              </w:rPr>
            </w:pPr>
            <w:r>
              <w:rPr>
                <w:rFonts w:ascii="宋体" w:hAnsi="宋体" w:cs="宋体" w:eastAsia="宋体" w:hint="default"/>
                <w:sz w:val="18"/>
                <w:szCs w:val="18"/>
              </w:rPr>
              <w:t>河南省财政厅高新技术产业 化专项资金</w:t>
            </w:r>
            <w:r>
              <w:rPr>
                <w:rFonts w:ascii="Times New Roman" w:hAnsi="Times New Roman" w:cs="Times New Roman" w:eastAsia="Times New Roman" w:hint="default"/>
                <w:sz w:val="18"/>
                <w:szCs w:val="18"/>
              </w:rPr>
              <w:t>"</w:t>
            </w:r>
            <w:r>
              <w:rPr>
                <w:rFonts w:ascii="宋体" w:hAnsi="宋体" w:cs="宋体" w:eastAsia="宋体" w:hint="default"/>
                <w:sz w:val="18"/>
                <w:szCs w:val="18"/>
              </w:rPr>
              <w:t>基于金融</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IC</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卡的 移动支付信息化服务平台与 终端项目</w:t>
            </w:r>
            <w:r>
              <w:rPr>
                <w:rFonts w:ascii="Times New Roman" w:hAnsi="Times New Roman" w:cs="Times New Roman" w:eastAsia="Times New Roman" w:hint="default"/>
                <w:sz w:val="18"/>
                <w:szCs w:val="18"/>
              </w:rPr>
              <w:t>"</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1,610,000.00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494,500.00</w:t>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197"/>
              <w:jc w:val="left"/>
              <w:rPr>
                <w:rFonts w:ascii="Times New Roman" w:hAnsi="Times New Roman" w:cs="Times New Roman" w:eastAsia="Times New Roman" w:hint="default"/>
                <w:sz w:val="18"/>
                <w:szCs w:val="18"/>
              </w:rPr>
            </w:pPr>
            <w:r>
              <w:rPr>
                <w:rFonts w:ascii="宋体" w:hAnsi="宋体" w:cs="宋体" w:eastAsia="宋体" w:hint="default"/>
                <w:sz w:val="18"/>
                <w:szCs w:val="18"/>
              </w:rPr>
              <w:t>基于大数据行为分析系统的 移动校园</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App</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1,320,000.00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2"/>
              <w:ind w:left="22" w:right="123"/>
              <w:jc w:val="left"/>
              <w:rPr>
                <w:rFonts w:ascii="Times New Roman" w:hAnsi="Times New Roman" w:cs="Times New Roman" w:eastAsia="Times New Roman" w:hint="default"/>
                <w:sz w:val="18"/>
                <w:szCs w:val="18"/>
              </w:rPr>
            </w:pPr>
            <w:r>
              <w:rPr>
                <w:rFonts w:ascii="宋体" w:hAnsi="宋体" w:cs="宋体" w:eastAsia="宋体" w:hint="default"/>
                <w:sz w:val="18"/>
                <w:szCs w:val="18"/>
              </w:rPr>
              <w:t>郑州市信息化发展专项资金</w:t>
            </w:r>
            <w:r>
              <w:rPr>
                <w:rFonts w:ascii="Times New Roman" w:hAnsi="Times New Roman" w:cs="Times New Roman" w:eastAsia="Times New Roman" w:hint="default"/>
                <w:sz w:val="18"/>
                <w:szCs w:val="18"/>
              </w:rPr>
              <w:t>"</w:t>
            </w:r>
            <w:r>
              <w:rPr>
                <w:rFonts w:ascii="Times New Roman" w:hAnsi="Times New Roman" w:cs="Times New Roman" w:eastAsia="Times New Roman" w:hint="default"/>
                <w:w w:val="99"/>
                <w:sz w:val="18"/>
                <w:szCs w:val="18"/>
              </w:rPr>
              <w:t> </w:t>
            </w:r>
            <w:r>
              <w:rPr>
                <w:rFonts w:ascii="宋体" w:hAnsi="宋体" w:cs="宋体" w:eastAsia="宋体" w:hint="default"/>
                <w:sz w:val="18"/>
                <w:szCs w:val="18"/>
              </w:rPr>
              <w:t>金融支付系统及终端项目</w:t>
            </w:r>
            <w:r>
              <w:rPr>
                <w:rFonts w:ascii="Times New Roman" w:hAnsi="Times New Roman" w:cs="Times New Roman" w:eastAsia="Times New Roman" w:hint="default"/>
                <w:sz w:val="18"/>
                <w:szCs w:val="18"/>
              </w:rPr>
              <w:t>"</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1,300,000.00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260,000.00</w:t>
            </w:r>
          </w:p>
        </w:tc>
      </w:tr>
      <w:tr>
        <w:trPr>
          <w:trHeight w:val="1026"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2"/>
              <w:ind w:left="22" w:right="125"/>
              <w:jc w:val="left"/>
              <w:rPr>
                <w:rFonts w:ascii="Times New Roman" w:hAnsi="Times New Roman" w:cs="Times New Roman" w:eastAsia="Times New Roman" w:hint="default"/>
                <w:sz w:val="18"/>
                <w:szCs w:val="18"/>
              </w:rPr>
            </w:pPr>
            <w:r>
              <w:rPr>
                <w:rFonts w:ascii="宋体" w:hAnsi="宋体" w:cs="宋体" w:eastAsia="宋体" w:hint="default"/>
                <w:sz w:val="18"/>
                <w:szCs w:val="18"/>
              </w:rPr>
              <w:t>高新区科技局研发经费</w:t>
            </w:r>
            <w:r>
              <w:rPr>
                <w:rFonts w:ascii="Times New Roman" w:hAnsi="Times New Roman" w:cs="Times New Roman" w:eastAsia="Times New Roman" w:hint="default"/>
                <w:sz w:val="18"/>
                <w:szCs w:val="18"/>
              </w:rPr>
              <w:t>"</w:t>
            </w:r>
            <w:r>
              <w:rPr>
                <w:rFonts w:ascii="宋体" w:hAnsi="宋体" w:cs="宋体" w:eastAsia="宋体" w:hint="default"/>
                <w:sz w:val="18"/>
                <w:szCs w:val="18"/>
              </w:rPr>
              <w:t>重大 科技专项基于电信运营的小 额支付</w:t>
            </w:r>
            <w:r>
              <w:rPr>
                <w:rFonts w:ascii="Times New Roman" w:hAnsi="Times New Roman" w:cs="Times New Roman" w:eastAsia="Times New Roman" w:hint="default"/>
                <w:sz w:val="18"/>
                <w:szCs w:val="18"/>
              </w:rPr>
              <w:t>"</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1,000,000.00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2"/>
              <w:ind w:left="22" w:right="102"/>
              <w:jc w:val="both"/>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年郑州市第三批技术研 究与开发经费项目：智能卡 </w:t>
            </w:r>
            <w:r>
              <w:rPr>
                <w:rFonts w:ascii="Times New Roman" w:hAnsi="Times New Roman" w:cs="Times New Roman" w:eastAsia="Times New Roman" w:hint="default"/>
                <w:sz w:val="18"/>
                <w:szCs w:val="18"/>
              </w:rPr>
              <w:t>RFID</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支付与识别产品产业化</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1,000,000.00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200,000.00</w:t>
            </w:r>
          </w:p>
        </w:tc>
      </w:tr>
      <w:tr>
        <w:trPr>
          <w:trHeight w:val="715"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2"/>
              <w:ind w:left="22" w:right="115"/>
              <w:jc w:val="left"/>
              <w:rPr>
                <w:rFonts w:ascii="宋体" w:hAnsi="宋体" w:cs="宋体" w:eastAsia="宋体" w:hint="default"/>
                <w:sz w:val="18"/>
                <w:szCs w:val="18"/>
              </w:rPr>
            </w:pPr>
            <w:r>
              <w:rPr>
                <w:rFonts w:ascii="宋体" w:hAnsi="宋体" w:cs="宋体" w:eastAsia="宋体" w:hint="default"/>
                <w:sz w:val="18"/>
                <w:szCs w:val="18"/>
              </w:rPr>
              <w:t>高新区财政局</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年物联网 发展专项资金款</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1,000,000.00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2392"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7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2392"/>
        <w:gridCol w:w="2393"/>
        <w:gridCol w:w="2392"/>
        <w:gridCol w:w="2392"/>
      </w:tblGrid>
      <w:tr>
        <w:trPr>
          <w:trHeight w:val="714"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02" w:lineRule="auto" w:before="51"/>
              <w:ind w:left="22" w:right="108"/>
              <w:jc w:val="left"/>
              <w:rPr>
                <w:rFonts w:ascii="宋体" w:hAnsi="宋体" w:cs="宋体" w:eastAsia="宋体" w:hint="default"/>
                <w:sz w:val="18"/>
                <w:szCs w:val="18"/>
              </w:rPr>
            </w:pPr>
            <w:r>
              <w:rPr>
                <w:rFonts w:ascii="宋体" w:hAnsi="宋体" w:cs="宋体" w:eastAsia="宋体" w:hint="default"/>
                <w:sz w:val="18"/>
                <w:szCs w:val="18"/>
              </w:rPr>
              <w:t>云架构的金融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IC</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卡公共服务 运营平台及终端项目</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1,000,000.00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97"/>
              <w:jc w:val="left"/>
              <w:rPr>
                <w:rFonts w:ascii="宋体" w:hAnsi="宋体" w:cs="宋体" w:eastAsia="宋体" w:hint="default"/>
                <w:sz w:val="18"/>
                <w:szCs w:val="18"/>
              </w:rPr>
            </w:pPr>
            <w:r>
              <w:rPr>
                <w:rFonts w:ascii="宋体" w:hAnsi="宋体" w:cs="宋体" w:eastAsia="宋体" w:hint="default"/>
                <w:sz w:val="18"/>
                <w:szCs w:val="18"/>
              </w:rPr>
              <w:t>远距离射频识别技术的终端 产品研究与开发项目</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1,000,000.00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97"/>
              <w:jc w:val="left"/>
              <w:rPr>
                <w:rFonts w:ascii="宋体" w:hAnsi="宋体" w:cs="宋体" w:eastAsia="宋体" w:hint="default"/>
                <w:sz w:val="18"/>
                <w:szCs w:val="18"/>
              </w:rPr>
            </w:pPr>
            <w:r>
              <w:rPr>
                <w:rFonts w:ascii="宋体" w:hAnsi="宋体" w:cs="宋体" w:eastAsia="宋体" w:hint="default"/>
                <w:sz w:val="18"/>
                <w:szCs w:val="18"/>
              </w:rPr>
              <w:t>物联网通信与组网关键技术 的研究与应用</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700,000.00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97"/>
              <w:jc w:val="left"/>
              <w:rPr>
                <w:rFonts w:ascii="宋体" w:hAnsi="宋体" w:cs="宋体" w:eastAsia="宋体" w:hint="default"/>
                <w:sz w:val="18"/>
                <w:szCs w:val="18"/>
              </w:rPr>
            </w:pPr>
            <w:r>
              <w:rPr>
                <w:rFonts w:ascii="宋体" w:hAnsi="宋体" w:cs="宋体" w:eastAsia="宋体" w:hint="default"/>
                <w:sz w:val="18"/>
                <w:szCs w:val="18"/>
              </w:rPr>
              <w:t>郑州市财政局产业技术创新 专项资金</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500,000.00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02" w:lineRule="auto" w:before="51"/>
              <w:ind w:left="22" w:right="29"/>
              <w:jc w:val="left"/>
              <w:rPr>
                <w:rFonts w:ascii="宋体" w:hAnsi="宋体" w:cs="宋体" w:eastAsia="宋体" w:hint="default"/>
                <w:sz w:val="18"/>
                <w:szCs w:val="18"/>
              </w:rPr>
            </w:pPr>
            <w:r>
              <w:rPr>
                <w:rFonts w:ascii="宋体" w:hAnsi="宋体" w:cs="宋体" w:eastAsia="宋体" w:hint="default"/>
                <w:sz w:val="18"/>
                <w:szCs w:val="18"/>
              </w:rPr>
              <w:t>基于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NFC </w:t>
            </w:r>
            <w:r>
              <w:rPr>
                <w:rFonts w:ascii="宋体" w:hAnsi="宋体" w:cs="宋体" w:eastAsia="宋体" w:hint="default"/>
                <w:sz w:val="18"/>
                <w:szCs w:val="18"/>
              </w:rPr>
              <w:t>技术的金融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IC</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卡移 动支付综合应用系统</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300,000.00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431,666.67</w:t>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02" w:lineRule="auto" w:before="51"/>
              <w:ind w:left="22" w:right="107"/>
              <w:jc w:val="left"/>
              <w:rPr>
                <w:rFonts w:ascii="宋体" w:hAnsi="宋体" w:cs="宋体" w:eastAsia="宋体" w:hint="default"/>
                <w:sz w:val="18"/>
                <w:szCs w:val="18"/>
              </w:rPr>
            </w:pPr>
            <w:r>
              <w:rPr>
                <w:rFonts w:ascii="宋体" w:hAnsi="宋体" w:cs="宋体" w:eastAsia="宋体" w:hint="default"/>
                <w:sz w:val="18"/>
                <w:szCs w:val="18"/>
              </w:rPr>
              <w:t>郑州</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年度信息化发展专 项资金</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200,000.00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20,000.00</w:t>
            </w:r>
          </w:p>
        </w:tc>
      </w:tr>
      <w:tr>
        <w:trPr>
          <w:trHeight w:val="1026"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1"/>
              <w:ind w:left="22" w:right="125"/>
              <w:jc w:val="left"/>
              <w:rPr>
                <w:rFonts w:ascii="Times New Roman" w:hAnsi="Times New Roman" w:cs="Times New Roman" w:eastAsia="Times New Roman" w:hint="default"/>
                <w:sz w:val="18"/>
                <w:szCs w:val="18"/>
              </w:rPr>
            </w:pPr>
            <w:r>
              <w:rPr>
                <w:rFonts w:ascii="宋体" w:hAnsi="宋体" w:cs="宋体" w:eastAsia="宋体" w:hint="default"/>
                <w:sz w:val="18"/>
                <w:szCs w:val="18"/>
              </w:rPr>
              <w:t>高新区管委会技术研究与开 发经费项目</w:t>
            </w:r>
            <w:r>
              <w:rPr>
                <w:rFonts w:ascii="Times New Roman" w:hAnsi="Times New Roman" w:cs="Times New Roman" w:eastAsia="Times New Roman" w:hint="default"/>
                <w:sz w:val="18"/>
                <w:szCs w:val="18"/>
              </w:rPr>
              <w:t>"</w:t>
            </w:r>
            <w:r>
              <w:rPr>
                <w:rFonts w:ascii="宋体" w:hAnsi="宋体" w:cs="宋体" w:eastAsia="宋体" w:hint="default"/>
                <w:sz w:val="18"/>
                <w:szCs w:val="18"/>
              </w:rPr>
              <w:t>驾校综合管理系 统研发项目</w:t>
            </w:r>
            <w:r>
              <w:rPr>
                <w:rFonts w:ascii="Times New Roman" w:hAnsi="Times New Roman" w:cs="Times New Roman" w:eastAsia="Times New Roman" w:hint="default"/>
                <w:sz w:val="18"/>
                <w:szCs w:val="18"/>
              </w:rPr>
              <w:t>"</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200,000.00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高新区管委会奖励车辆（豫</w:t>
            </w:r>
          </w:p>
          <w:p>
            <w:pPr>
              <w:pStyle w:val="TableParagraph"/>
              <w:spacing w:line="240" w:lineRule="auto" w:before="77"/>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A521GX</w:t>
            </w:r>
            <w:r>
              <w:rPr>
                <w:rFonts w:ascii="宋体" w:hAnsi="宋体" w:cs="宋体" w:eastAsia="宋体" w:hint="default"/>
                <w:sz w:val="18"/>
                <w:szCs w:val="18"/>
              </w:rPr>
              <w:t>）</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184,200.00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69,075.00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个税手续费返还</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11,030.19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11,030.19</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见习补贴</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59,000.00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59,000.00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稳岗补贴</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223,875.00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223,875.00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小巨人补贴</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1,000,000.00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1,000,000.00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增值税即征即退</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30,351,389.23</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30,351,389.23</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知识产权补助</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150.00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150.00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年创新券补助</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34,000.00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34,000.00</w:t>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02" w:lineRule="auto" w:before="51"/>
              <w:ind w:left="22" w:right="153"/>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年科技小巨人领军企业 加计扣除奖励经费</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45,000.00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45,000.00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年科技小巨人奖励金</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76,000.00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76,000.00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年区科技计划尾款</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45,000.00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45,000.00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年科技小巨人奖励金</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100,000.00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100,000.00</w:t>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97"/>
              <w:jc w:val="left"/>
              <w:rPr>
                <w:rFonts w:ascii="宋体" w:hAnsi="宋体" w:cs="宋体" w:eastAsia="宋体" w:hint="default"/>
                <w:sz w:val="18"/>
                <w:szCs w:val="18"/>
              </w:rPr>
            </w:pPr>
            <w:r>
              <w:rPr>
                <w:rFonts w:ascii="宋体" w:hAnsi="宋体" w:cs="宋体" w:eastAsia="宋体" w:hint="default"/>
                <w:sz w:val="18"/>
                <w:szCs w:val="18"/>
              </w:rPr>
              <w:t>郑州高新技术产业开发区郑 州市第三批专利</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4,500.00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营业外收入</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4,500.00</w:t>
            </w:r>
          </w:p>
        </w:tc>
      </w:tr>
      <w:tr>
        <w:trPr>
          <w:trHeight w:val="1026"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1"/>
              <w:ind w:left="22" w:right="153"/>
              <w:jc w:val="left"/>
              <w:rPr>
                <w:rFonts w:ascii="宋体" w:hAnsi="宋体" w:cs="宋体" w:eastAsia="宋体" w:hint="default"/>
                <w:sz w:val="18"/>
                <w:szCs w:val="18"/>
              </w:rPr>
            </w:pPr>
            <w:r>
              <w:rPr>
                <w:rFonts w:ascii="宋体" w:hAnsi="宋体" w:cs="宋体" w:eastAsia="宋体" w:hint="default"/>
                <w:sz w:val="18"/>
                <w:szCs w:val="18"/>
              </w:rPr>
              <w:t>郑州高新技术产业开发区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年科技创新优秀企业奖 励</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13,500.00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营业外收入</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13,500.00</w:t>
            </w:r>
          </w:p>
        </w:tc>
      </w:tr>
      <w:tr>
        <w:trPr>
          <w:trHeight w:val="1026"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1"/>
              <w:ind w:left="22" w:right="107"/>
              <w:jc w:val="left"/>
              <w:rPr>
                <w:rFonts w:ascii="宋体" w:hAnsi="宋体" w:cs="宋体" w:eastAsia="宋体" w:hint="default"/>
                <w:sz w:val="18"/>
                <w:szCs w:val="18"/>
              </w:rPr>
            </w:pPr>
            <w:r>
              <w:rPr>
                <w:rFonts w:ascii="宋体" w:hAnsi="宋体" w:cs="宋体" w:eastAsia="宋体" w:hint="default"/>
                <w:sz w:val="18"/>
                <w:szCs w:val="18"/>
              </w:rPr>
              <w:t>郑州高新技术产业开发区财 政</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年度科技创新优秀企 业奖励（软件著作权资助）</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16,000.00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营业外收入</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16,000.00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22" w:right="0"/>
              <w:jc w:val="left"/>
              <w:rPr>
                <w:rFonts w:ascii="宋体" w:hAnsi="宋体" w:cs="宋体" w:eastAsia="宋体" w:hint="default"/>
                <w:sz w:val="18"/>
                <w:szCs w:val="18"/>
              </w:rPr>
            </w:pPr>
            <w:r>
              <w:rPr>
                <w:rFonts w:ascii="宋体" w:hAnsi="宋体" w:cs="宋体" w:eastAsia="宋体" w:hint="default"/>
                <w:sz w:val="18"/>
                <w:szCs w:val="18"/>
              </w:rPr>
              <w:t>郑州高新技术产业开发区</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营业外收入</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20,000.00</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2392"/>
        <w:gridCol w:w="2393"/>
        <w:gridCol w:w="2392"/>
        <w:gridCol w:w="2392"/>
      </w:tblGrid>
      <w:tr>
        <w:trPr>
          <w:trHeight w:val="36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年度科技优秀企业奖励</w:t>
            </w:r>
          </w:p>
        </w:tc>
        <w:tc>
          <w:tcPr>
            <w:tcW w:w="2393" w:type="dxa"/>
            <w:tcBorders>
              <w:top w:val="single" w:sz="4" w:space="0" w:color="000000"/>
              <w:left w:val="single" w:sz="4" w:space="0" w:color="000000"/>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97"/>
              <w:jc w:val="left"/>
              <w:rPr>
                <w:rFonts w:ascii="宋体" w:hAnsi="宋体" w:cs="宋体" w:eastAsia="宋体" w:hint="default"/>
                <w:sz w:val="18"/>
                <w:szCs w:val="18"/>
              </w:rPr>
            </w:pPr>
            <w:r>
              <w:rPr>
                <w:rFonts w:ascii="宋体" w:hAnsi="宋体" w:cs="宋体" w:eastAsia="宋体" w:hint="default"/>
                <w:sz w:val="18"/>
                <w:szCs w:val="18"/>
              </w:rPr>
              <w:t>郑州高新技术产业开发区专 利申请资助资金</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68,000.00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营业外收入</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68,000.00</w:t>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97"/>
              <w:jc w:val="left"/>
              <w:rPr>
                <w:rFonts w:ascii="宋体" w:hAnsi="宋体" w:cs="宋体" w:eastAsia="宋体" w:hint="default"/>
                <w:sz w:val="18"/>
                <w:szCs w:val="18"/>
              </w:rPr>
            </w:pPr>
            <w:r>
              <w:rPr>
                <w:rFonts w:ascii="宋体" w:hAnsi="宋体" w:cs="宋体" w:eastAsia="宋体" w:hint="default"/>
                <w:sz w:val="18"/>
                <w:szCs w:val="18"/>
              </w:rPr>
              <w:t>郑州高新技术产业开发区郑 开管</w:t>
            </w: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w:t>
            </w:r>
            <w:r>
              <w:rPr>
                <w:rFonts w:ascii="Times New Roman" w:hAnsi="Times New Roman" w:cs="Times New Roman" w:eastAsia="Times New Roman" w:hint="default"/>
                <w:sz w:val="18"/>
                <w:szCs w:val="18"/>
              </w:rPr>
              <w:t>)</w:t>
            </w:r>
            <w:r>
              <w:rPr>
                <w:rFonts w:ascii="宋体" w:hAnsi="宋体" w:cs="宋体" w:eastAsia="宋体" w:hint="default"/>
                <w:sz w:val="18"/>
                <w:szCs w:val="18"/>
              </w:rPr>
              <w:t>专利奖励</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120,000.00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营业外收入</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120,000.00</w:t>
            </w:r>
          </w:p>
        </w:tc>
      </w:tr>
      <w:tr>
        <w:trPr>
          <w:trHeight w:val="1026"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1"/>
              <w:ind w:left="22" w:right="153"/>
              <w:jc w:val="left"/>
              <w:rPr>
                <w:rFonts w:ascii="宋体" w:hAnsi="宋体" w:cs="宋体" w:eastAsia="宋体" w:hint="default"/>
                <w:sz w:val="18"/>
                <w:szCs w:val="18"/>
              </w:rPr>
            </w:pPr>
            <w:r>
              <w:rPr>
                <w:rFonts w:ascii="宋体" w:hAnsi="宋体" w:cs="宋体" w:eastAsia="宋体" w:hint="default"/>
                <w:sz w:val="18"/>
                <w:szCs w:val="18"/>
              </w:rPr>
              <w:t>郑州高新技术产业开发区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市科技服务后补助大型 仪器设施共享使用奖励</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129,100.00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营业外收入</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129,100.00</w:t>
            </w:r>
          </w:p>
        </w:tc>
      </w:tr>
      <w:tr>
        <w:trPr>
          <w:trHeight w:val="1026"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97"/>
              <w:jc w:val="both"/>
              <w:rPr>
                <w:rFonts w:ascii="宋体" w:hAnsi="宋体" w:cs="宋体" w:eastAsia="宋体" w:hint="default"/>
                <w:sz w:val="18"/>
                <w:szCs w:val="18"/>
              </w:rPr>
            </w:pPr>
            <w:r>
              <w:rPr>
                <w:rFonts w:ascii="宋体" w:hAnsi="宋体" w:cs="宋体" w:eastAsia="宋体" w:hint="default"/>
                <w:sz w:val="18"/>
                <w:szCs w:val="18"/>
              </w:rPr>
              <w:t>郑州高新技术产业开发区管 理委员会财政局中小企业发 展专项奖励</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300,000.00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营业外收入</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300,000.00</w:t>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1"/>
              <w:ind w:left="22" w:right="108"/>
              <w:jc w:val="left"/>
              <w:rPr>
                <w:rFonts w:ascii="宋体" w:hAnsi="宋体" w:cs="宋体" w:eastAsia="宋体" w:hint="default"/>
                <w:sz w:val="18"/>
                <w:szCs w:val="18"/>
              </w:rPr>
            </w:pPr>
            <w:r>
              <w:rPr>
                <w:rFonts w:ascii="宋体" w:hAnsi="宋体" w:cs="宋体" w:eastAsia="宋体" w:hint="default"/>
                <w:sz w:val="18"/>
                <w:szCs w:val="18"/>
              </w:rPr>
              <w:t>郑州高新区管委会付</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 高成长奖励</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400,000.00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营业外收入</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400,000.00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社区财政高新奖励</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660,000.00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营业外收入</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660,000.00</w:t>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郑州高新技术产业开发区</w:t>
            </w:r>
          </w:p>
          <w:p>
            <w:pPr>
              <w:pStyle w:val="TableParagraph"/>
              <w:spacing w:line="240" w:lineRule="auto" w:before="76"/>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省研究开发补助</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1,370,000.00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营业外收入</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1,370,000.00</w:t>
            </w:r>
          </w:p>
        </w:tc>
      </w:tr>
    </w:tbl>
    <w:p>
      <w:pPr>
        <w:spacing w:line="240" w:lineRule="auto" w:before="10"/>
        <w:rPr>
          <w:rFonts w:ascii="Times New Roman" w:hAnsi="Times New Roman" w:cs="Times New Roman" w:eastAsia="Times New Roman" w:hint="default"/>
          <w:sz w:val="21"/>
          <w:szCs w:val="21"/>
        </w:rPr>
      </w:pPr>
    </w:p>
    <w:p>
      <w:pPr>
        <w:pStyle w:val="Heading4"/>
        <w:spacing w:line="240" w:lineRule="auto" w:before="35"/>
        <w:ind w:right="1117"/>
        <w:jc w:val="left"/>
        <w:rPr>
          <w:b w:val="0"/>
          <w:bCs w:val="0"/>
        </w:rPr>
      </w:pPr>
      <w:bookmarkStart w:name="（2）政府补助退回情况" w:id="343"/>
      <w:bookmarkEnd w:id="343"/>
      <w:r>
        <w:rPr>
          <w:b w:val="0"/>
          <w:bCs w:val="0"/>
        </w:rPr>
      </w:r>
      <w:r>
        <w:rPr/>
        <w:t>（</w:t>
      </w:r>
      <w:r>
        <w:rPr>
          <w:rFonts w:ascii="Times New Roman" w:hAnsi="Times New Roman" w:cs="Times New Roman" w:eastAsia="Times New Roman" w:hint="default"/>
        </w:rPr>
        <w:t>2</w:t>
      </w:r>
      <w:r>
        <w:rPr/>
        <w:t>）政府补助退回情况</w:t>
      </w:r>
      <w:r>
        <w:rPr>
          <w:b w:val="0"/>
          <w:bCs w:val="0"/>
        </w:rPr>
      </w:r>
    </w:p>
    <w:p>
      <w:pPr>
        <w:spacing w:line="240" w:lineRule="auto" w:before="8"/>
        <w:rPr>
          <w:rFonts w:ascii="宋体" w:hAnsi="宋体" w:cs="宋体" w:eastAsia="宋体" w:hint="default"/>
          <w:b/>
          <w:bCs/>
          <w:sz w:val="26"/>
          <w:szCs w:val="26"/>
        </w:rPr>
      </w:pPr>
    </w:p>
    <w:p>
      <w:pPr>
        <w:spacing w:line="338" w:lineRule="auto" w:before="0"/>
        <w:ind w:left="154" w:right="964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适用</w:t>
      </w:r>
      <w:r>
        <w:rPr>
          <w:rFonts w:ascii="Times New Roman" w:hAnsi="Times New Roman" w:cs="Times New Roman" w:eastAsia="Times New Roman" w:hint="default"/>
          <w:sz w:val="18"/>
          <w:szCs w:val="18"/>
        </w:rPr>
        <w:t>√</w:t>
      </w:r>
      <w:r>
        <w:rPr>
          <w:rFonts w:ascii="宋体" w:hAnsi="宋体" w:cs="宋体" w:eastAsia="宋体" w:hint="default"/>
          <w:sz w:val="18"/>
          <w:szCs w:val="18"/>
        </w:rPr>
        <w:t>不适用 其他说明：</w:t>
      </w:r>
    </w:p>
    <w:p>
      <w:pPr>
        <w:spacing w:line="240" w:lineRule="auto" w:before="2"/>
        <w:rPr>
          <w:rFonts w:ascii="宋体" w:hAnsi="宋体" w:cs="宋体" w:eastAsia="宋体" w:hint="default"/>
          <w:sz w:val="21"/>
          <w:szCs w:val="21"/>
        </w:rPr>
      </w:pPr>
    </w:p>
    <w:p>
      <w:pPr>
        <w:spacing w:line="487" w:lineRule="auto" w:before="0"/>
        <w:ind w:left="154" w:right="8328" w:firstLine="0"/>
        <w:jc w:val="left"/>
        <w:rPr>
          <w:rFonts w:ascii="宋体" w:hAnsi="宋体" w:cs="宋体" w:eastAsia="宋体" w:hint="default"/>
          <w:sz w:val="21"/>
          <w:szCs w:val="21"/>
        </w:rPr>
      </w:pPr>
      <w:bookmarkStart w:name="53、其他" w:id="344"/>
      <w:bookmarkEnd w:id="344"/>
      <w:r>
        <w:rPr/>
      </w:r>
      <w:r>
        <w:rPr>
          <w:rFonts w:ascii="Times New Roman" w:hAnsi="Times New Roman" w:cs="Times New Roman" w:eastAsia="Times New Roman" w:hint="default"/>
          <w:b/>
          <w:bCs/>
          <w:sz w:val="21"/>
          <w:szCs w:val="21"/>
        </w:rPr>
        <w:t>53</w:t>
      </w:r>
      <w:r>
        <w:rPr>
          <w:rFonts w:ascii="宋体" w:hAnsi="宋体" w:cs="宋体" w:eastAsia="宋体" w:hint="default"/>
          <w:b/>
          <w:bCs/>
          <w:sz w:val="21"/>
          <w:szCs w:val="21"/>
        </w:rPr>
        <w:t>、其他</w:t>
      </w:r>
      <w:r>
        <w:rPr>
          <w:rFonts w:ascii="宋体" w:hAnsi="宋体" w:cs="宋体" w:eastAsia="宋体" w:hint="default"/>
          <w:b/>
          <w:bCs/>
          <w:w w:val="99"/>
          <w:sz w:val="21"/>
          <w:szCs w:val="21"/>
        </w:rPr>
        <w:t> </w:t>
      </w:r>
      <w:bookmarkStart w:name="八、合并范围的变更" w:id="345"/>
      <w:bookmarkEnd w:id="345"/>
      <w:r>
        <w:rPr>
          <w:rFonts w:ascii="宋体" w:hAnsi="宋体" w:cs="宋体" w:eastAsia="宋体" w:hint="default"/>
          <w:b/>
          <w:bCs/>
          <w:w w:val="99"/>
          <w:sz w:val="21"/>
          <w:szCs w:val="21"/>
        </w:rPr>
      </w:r>
      <w:r>
        <w:rPr>
          <w:rFonts w:ascii="宋体" w:hAnsi="宋体" w:cs="宋体" w:eastAsia="宋体" w:hint="default"/>
          <w:b/>
          <w:bCs/>
          <w:sz w:val="24"/>
          <w:szCs w:val="24"/>
        </w:rPr>
        <w:t>八、合并范围的变更</w:t>
      </w:r>
      <w:r>
        <w:rPr>
          <w:rFonts w:ascii="宋体" w:hAnsi="宋体" w:cs="宋体" w:eastAsia="宋体" w:hint="default"/>
          <w:b/>
          <w:bCs/>
          <w:w w:val="99"/>
          <w:sz w:val="24"/>
          <w:szCs w:val="24"/>
        </w:rPr>
        <w:t> </w:t>
      </w:r>
      <w:bookmarkStart w:name="1、非同一控制下企业合并" w:id="346"/>
      <w:bookmarkEnd w:id="346"/>
      <w:r>
        <w:rPr>
          <w:rFonts w:ascii="宋体" w:hAnsi="宋体" w:cs="宋体" w:eastAsia="宋体" w:hint="default"/>
          <w:b/>
          <w:bCs/>
          <w:w w:val="99"/>
          <w:sz w:val="24"/>
          <w:szCs w:val="24"/>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、非同一控制下企业合并</w:t>
      </w:r>
      <w:r>
        <w:rPr>
          <w:rFonts w:ascii="宋体" w:hAnsi="宋体" w:cs="宋体" w:eastAsia="宋体" w:hint="default"/>
          <w:sz w:val="21"/>
          <w:szCs w:val="21"/>
        </w:rPr>
      </w:r>
    </w:p>
    <w:p>
      <w:pPr>
        <w:pStyle w:val="Heading4"/>
        <w:spacing w:line="240" w:lineRule="auto" w:before="83"/>
        <w:ind w:right="1117"/>
        <w:jc w:val="left"/>
        <w:rPr>
          <w:b w:val="0"/>
          <w:bCs w:val="0"/>
        </w:rPr>
      </w:pPr>
      <w:bookmarkStart w:name="（1）本期发生的非同一控制下企业合并" w:id="347"/>
      <w:bookmarkEnd w:id="347"/>
      <w:r>
        <w:rPr>
          <w:b w:val="0"/>
          <w:bCs w:val="0"/>
        </w:rPr>
      </w:r>
      <w:r>
        <w:rPr/>
        <w:t>（</w:t>
      </w:r>
      <w:r>
        <w:rPr>
          <w:rFonts w:ascii="Times New Roman" w:hAnsi="Times New Roman" w:cs="Times New Roman" w:eastAsia="Times New Roman" w:hint="default"/>
        </w:rPr>
        <w:t>1</w:t>
      </w:r>
      <w:r>
        <w:rPr/>
        <w:t>）本期发生的非同一控制下企业合并</w:t>
      </w:r>
      <w:r>
        <w:rPr>
          <w:b w:val="0"/>
          <w:bCs w:val="0"/>
        </w:rPr>
      </w:r>
    </w:p>
    <w:p>
      <w:pPr>
        <w:spacing w:line="240" w:lineRule="auto" w:before="8"/>
        <w:rPr>
          <w:rFonts w:ascii="宋体" w:hAnsi="宋体" w:cs="宋体" w:eastAsia="宋体" w:hint="default"/>
          <w:b/>
          <w:bCs/>
          <w:sz w:val="26"/>
          <w:szCs w:val="26"/>
        </w:rPr>
      </w:pPr>
    </w:p>
    <w:p>
      <w:pPr>
        <w:spacing w:before="0"/>
        <w:ind w:left="154" w:right="1117"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0"/>
        <w:rPr>
          <w:rFonts w:ascii="宋体" w:hAnsi="宋体" w:cs="宋体" w:eastAsia="宋体" w:hint="default"/>
          <w:sz w:val="26"/>
          <w:szCs w:val="26"/>
        </w:rPr>
      </w:pPr>
    </w:p>
    <w:p>
      <w:pPr>
        <w:pStyle w:val="Heading4"/>
        <w:spacing w:line="240" w:lineRule="auto"/>
        <w:ind w:right="1117"/>
        <w:jc w:val="left"/>
        <w:rPr>
          <w:b w:val="0"/>
          <w:bCs w:val="0"/>
        </w:rPr>
      </w:pPr>
      <w:bookmarkStart w:name="（2）合并成本及商誉" w:id="348"/>
      <w:bookmarkEnd w:id="348"/>
      <w:r>
        <w:rPr>
          <w:b w:val="0"/>
          <w:bCs w:val="0"/>
        </w:rPr>
      </w:r>
      <w:r>
        <w:rPr/>
        <w:t>（</w:t>
      </w:r>
      <w:r>
        <w:rPr>
          <w:rFonts w:ascii="Times New Roman" w:hAnsi="Times New Roman" w:cs="Times New Roman" w:eastAsia="Times New Roman" w:hint="default"/>
        </w:rPr>
        <w:t>2</w:t>
      </w:r>
      <w:r>
        <w:rPr/>
        <w:t>）合并成本及商誉</w:t>
      </w:r>
      <w:r>
        <w:rPr>
          <w:b w:val="0"/>
          <w:bCs w:val="0"/>
        </w:rPr>
      </w:r>
    </w:p>
    <w:p>
      <w:pPr>
        <w:spacing w:line="240" w:lineRule="auto" w:before="9"/>
        <w:rPr>
          <w:rFonts w:ascii="宋体" w:hAnsi="宋体" w:cs="宋体" w:eastAsia="宋体" w:hint="default"/>
          <w:b/>
          <w:bCs/>
          <w:sz w:val="26"/>
          <w:szCs w:val="26"/>
        </w:rPr>
      </w:pPr>
    </w:p>
    <w:p>
      <w:pPr>
        <w:spacing w:line="357" w:lineRule="auto" w:before="0"/>
        <w:ind w:left="154" w:right="6072" w:firstLine="0"/>
        <w:jc w:val="left"/>
        <w:rPr>
          <w:rFonts w:ascii="宋体" w:hAnsi="宋体" w:cs="宋体" w:eastAsia="宋体" w:hint="default"/>
          <w:sz w:val="18"/>
          <w:szCs w:val="18"/>
        </w:rPr>
      </w:pPr>
      <w:r>
        <w:rPr>
          <w:rFonts w:ascii="宋体" w:hAnsi="宋体" w:cs="宋体" w:eastAsia="宋体" w:hint="default"/>
          <w:sz w:val="18"/>
          <w:szCs w:val="18"/>
        </w:rPr>
        <w:t>合并成本公允价值的确定方法、或有对价及其变动的说明： 大额商誉形成的主要原因：</w:t>
      </w:r>
    </w:p>
    <w:p>
      <w:pPr>
        <w:spacing w:before="28"/>
        <w:ind w:left="154" w:right="1117"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pStyle w:val="Heading4"/>
        <w:spacing w:line="240" w:lineRule="auto"/>
        <w:ind w:right="1117"/>
        <w:jc w:val="left"/>
        <w:rPr>
          <w:b w:val="0"/>
          <w:bCs w:val="0"/>
        </w:rPr>
      </w:pPr>
      <w:bookmarkStart w:name="（3）被购买方于购买日可辨认资产、负债" w:id="349"/>
      <w:bookmarkEnd w:id="349"/>
      <w:r>
        <w:rPr>
          <w:b w:val="0"/>
          <w:bCs w:val="0"/>
        </w:rPr>
      </w:r>
      <w:r>
        <w:rPr/>
        <w:t>（</w:t>
      </w:r>
      <w:r>
        <w:rPr>
          <w:rFonts w:ascii="Times New Roman" w:hAnsi="Times New Roman" w:cs="Times New Roman" w:eastAsia="Times New Roman" w:hint="default"/>
        </w:rPr>
        <w:t>3</w:t>
      </w:r>
      <w:r>
        <w:rPr/>
        <w:t>）被购买方于购买日可辨认资产、负债</w:t>
      </w:r>
      <w:r>
        <w:rPr>
          <w:b w:val="0"/>
          <w:bCs w:val="0"/>
        </w:rPr>
      </w:r>
    </w:p>
    <w:p>
      <w:pPr>
        <w:spacing w:line="240" w:lineRule="auto" w:before="9"/>
        <w:rPr>
          <w:rFonts w:ascii="宋体" w:hAnsi="宋体" w:cs="宋体" w:eastAsia="宋体" w:hint="default"/>
          <w:b/>
          <w:bCs/>
          <w:sz w:val="26"/>
          <w:szCs w:val="26"/>
        </w:rPr>
      </w:pPr>
    </w:p>
    <w:p>
      <w:pPr>
        <w:spacing w:line="357" w:lineRule="auto" w:before="0"/>
        <w:ind w:left="154" w:right="7512" w:firstLine="0"/>
        <w:jc w:val="left"/>
        <w:rPr>
          <w:rFonts w:ascii="宋体" w:hAnsi="宋体" w:cs="宋体" w:eastAsia="宋体" w:hint="default"/>
          <w:sz w:val="18"/>
          <w:szCs w:val="18"/>
        </w:rPr>
      </w:pPr>
      <w:r>
        <w:rPr>
          <w:rFonts w:ascii="宋体" w:hAnsi="宋体" w:cs="宋体" w:eastAsia="宋体" w:hint="default"/>
          <w:sz w:val="18"/>
          <w:szCs w:val="18"/>
        </w:rPr>
        <w:t>可辨认资产、负债公允价值的确定方法： 企业合并中承担的被购买方的或有负债：</w:t>
      </w:r>
    </w:p>
    <w:p>
      <w:pPr>
        <w:spacing w:after="0" w:line="357" w:lineRule="auto"/>
        <w:jc w:val="left"/>
        <w:rPr>
          <w:rFonts w:ascii="宋体" w:hAnsi="宋体" w:cs="宋体" w:eastAsia="宋体" w:hint="default"/>
          <w:sz w:val="18"/>
          <w:szCs w:val="18"/>
        </w:rPr>
        <w:sectPr>
          <w:pgSz w:w="11910" w:h="16840"/>
          <w:pgMar w:header="877" w:footer="979" w:top="1060" w:bottom="1160" w:left="980" w:right="0"/>
        </w:sectPr>
      </w:pPr>
    </w:p>
    <w:p>
      <w:pPr>
        <w:spacing w:line="240" w:lineRule="auto" w:before="13"/>
        <w:rPr>
          <w:rFonts w:ascii="宋体" w:hAnsi="宋体" w:cs="宋体" w:eastAsia="宋体" w:hint="default"/>
          <w:sz w:val="25"/>
          <w:szCs w:val="25"/>
        </w:rPr>
      </w:pPr>
    </w:p>
    <w:p>
      <w:pPr>
        <w:spacing w:before="44"/>
        <w:ind w:left="154" w:right="1117"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0"/>
        <w:rPr>
          <w:rFonts w:ascii="宋体" w:hAnsi="宋体" w:cs="宋体" w:eastAsia="宋体" w:hint="default"/>
          <w:sz w:val="26"/>
          <w:szCs w:val="26"/>
        </w:rPr>
      </w:pPr>
    </w:p>
    <w:p>
      <w:pPr>
        <w:pStyle w:val="Heading4"/>
        <w:spacing w:line="240" w:lineRule="auto"/>
        <w:ind w:right="1117"/>
        <w:jc w:val="left"/>
        <w:rPr>
          <w:b w:val="0"/>
          <w:bCs w:val="0"/>
        </w:rPr>
      </w:pPr>
      <w:bookmarkStart w:name="（4）购买日之前持有的股权按照公允价值重新计量产生的利得或损失" w:id="350"/>
      <w:bookmarkEnd w:id="350"/>
      <w:r>
        <w:rPr>
          <w:b w:val="0"/>
          <w:bCs w:val="0"/>
        </w:rPr>
      </w:r>
      <w:r>
        <w:rPr/>
        <w:t>（</w:t>
      </w:r>
      <w:r>
        <w:rPr>
          <w:rFonts w:ascii="Times New Roman" w:hAnsi="Times New Roman" w:cs="Times New Roman" w:eastAsia="Times New Roman" w:hint="default"/>
        </w:rPr>
        <w:t>4</w:t>
      </w:r>
      <w:r>
        <w:rPr/>
        <w:t>）购买日之前持有的股权按照公允价值重新计量产生的利得或损失</w:t>
      </w:r>
      <w:r>
        <w:rPr>
          <w:b w:val="0"/>
          <w:bCs w:val="0"/>
        </w:rPr>
      </w:r>
    </w:p>
    <w:p>
      <w:pPr>
        <w:spacing w:line="240" w:lineRule="auto" w:before="9"/>
        <w:rPr>
          <w:rFonts w:ascii="宋体" w:hAnsi="宋体" w:cs="宋体" w:eastAsia="宋体" w:hint="default"/>
          <w:b/>
          <w:bCs/>
          <w:sz w:val="26"/>
          <w:szCs w:val="26"/>
        </w:rPr>
      </w:pPr>
    </w:p>
    <w:p>
      <w:pPr>
        <w:spacing w:before="0"/>
        <w:ind w:left="154" w:right="1117" w:firstLine="0"/>
        <w:jc w:val="left"/>
        <w:rPr>
          <w:rFonts w:ascii="宋体" w:hAnsi="宋体" w:cs="宋体" w:eastAsia="宋体" w:hint="default"/>
          <w:sz w:val="18"/>
          <w:szCs w:val="18"/>
        </w:rPr>
      </w:pPr>
      <w:r>
        <w:rPr>
          <w:rFonts w:ascii="宋体" w:hAnsi="宋体" w:cs="宋体" w:eastAsia="宋体" w:hint="default"/>
          <w:sz w:val="18"/>
          <w:szCs w:val="18"/>
        </w:rPr>
        <w:t>是否存在通过多次交易分步实现企业合并且在报告期内取得控制权的交易</w:t>
      </w:r>
    </w:p>
    <w:p>
      <w:pPr>
        <w:spacing w:before="116"/>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是</w:t>
      </w:r>
      <w:r>
        <w:rPr>
          <w:rFonts w:ascii="Times New Roman" w:hAnsi="Times New Roman" w:cs="Times New Roman" w:eastAsia="Times New Roman" w:hint="default"/>
          <w:sz w:val="18"/>
          <w:szCs w:val="18"/>
        </w:rPr>
        <w:t>√</w:t>
      </w:r>
      <w:r>
        <w:rPr>
          <w:rFonts w:ascii="宋体" w:hAnsi="宋体" w:cs="宋体" w:eastAsia="宋体" w:hint="default"/>
          <w:sz w:val="18"/>
          <w:szCs w:val="18"/>
        </w:rPr>
        <w:t>否</w:t>
      </w:r>
    </w:p>
    <w:p>
      <w:pPr>
        <w:spacing w:line="240" w:lineRule="auto" w:before="10"/>
        <w:rPr>
          <w:rFonts w:ascii="宋体" w:hAnsi="宋体" w:cs="宋体" w:eastAsia="宋体" w:hint="default"/>
          <w:sz w:val="25"/>
          <w:szCs w:val="25"/>
        </w:rPr>
      </w:pPr>
    </w:p>
    <w:p>
      <w:pPr>
        <w:pStyle w:val="Heading4"/>
        <w:spacing w:line="240" w:lineRule="auto"/>
        <w:ind w:right="1117"/>
        <w:jc w:val="left"/>
        <w:rPr>
          <w:b w:val="0"/>
          <w:bCs w:val="0"/>
        </w:rPr>
      </w:pPr>
      <w:bookmarkStart w:name="（5）购买日或合并当期期末无法合理确定合并对价或被购买方可辨认资产、负债公允价值" w:id="351"/>
      <w:bookmarkEnd w:id="351"/>
      <w:r>
        <w:rPr>
          <w:b w:val="0"/>
          <w:bCs w:val="0"/>
        </w:rPr>
      </w:r>
      <w:r>
        <w:rPr/>
        <w:t>（</w:t>
      </w:r>
      <w:r>
        <w:rPr>
          <w:rFonts w:ascii="Times New Roman" w:hAnsi="Times New Roman" w:cs="Times New Roman" w:eastAsia="Times New Roman" w:hint="default"/>
        </w:rPr>
        <w:t>5</w:t>
      </w:r>
      <w:r>
        <w:rPr/>
        <w:t>）购买日或合并当期期末无法合理确定合并对价或被购买方可辨认资产、负债公允价值的相关说明</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1117"/>
        <w:jc w:val="left"/>
        <w:rPr>
          <w:b w:val="0"/>
          <w:bCs w:val="0"/>
        </w:rPr>
      </w:pPr>
      <w:bookmarkStart w:name="（6）其他说明" w:id="352"/>
      <w:bookmarkEnd w:id="352"/>
      <w:r>
        <w:rPr>
          <w:b w:val="0"/>
          <w:bCs w:val="0"/>
        </w:rPr>
      </w:r>
      <w:r>
        <w:rPr/>
        <w:t>（</w:t>
      </w:r>
      <w:r>
        <w:rPr>
          <w:rFonts w:ascii="Times New Roman" w:hAnsi="Times New Roman" w:cs="Times New Roman" w:eastAsia="Times New Roman" w:hint="default"/>
        </w:rPr>
        <w:t>6</w:t>
      </w:r>
      <w:r>
        <w:rPr/>
        <w:t>）其他说明</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1117"/>
        <w:jc w:val="left"/>
        <w:rPr>
          <w:b w:val="0"/>
          <w:bCs w:val="0"/>
        </w:rPr>
      </w:pPr>
      <w:bookmarkStart w:name="2、同一控制下企业合并" w:id="353"/>
      <w:bookmarkEnd w:id="353"/>
      <w:r>
        <w:rPr>
          <w:b w:val="0"/>
          <w:bCs w:val="0"/>
        </w:rPr>
      </w:r>
      <w:r>
        <w:rPr>
          <w:rFonts w:ascii="Times New Roman" w:hAnsi="Times New Roman" w:cs="Times New Roman" w:eastAsia="Times New Roman" w:hint="default"/>
        </w:rPr>
        <w:t>2</w:t>
      </w:r>
      <w:r>
        <w:rPr/>
        <w:t>、同一控制下企业合并</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1117"/>
        <w:jc w:val="left"/>
        <w:rPr>
          <w:b w:val="0"/>
          <w:bCs w:val="0"/>
        </w:rPr>
      </w:pPr>
      <w:bookmarkStart w:name="（1）本期发生的同一控制下企业合并" w:id="354"/>
      <w:bookmarkEnd w:id="354"/>
      <w:r>
        <w:rPr>
          <w:b w:val="0"/>
          <w:bCs w:val="0"/>
        </w:rPr>
      </w:r>
      <w:r>
        <w:rPr/>
        <w:t>（</w:t>
      </w:r>
      <w:r>
        <w:rPr>
          <w:rFonts w:ascii="Times New Roman" w:hAnsi="Times New Roman" w:cs="Times New Roman" w:eastAsia="Times New Roman" w:hint="default"/>
        </w:rPr>
        <w:t>1</w:t>
      </w:r>
      <w:r>
        <w:rPr/>
        <w:t>）本期发生的同一控制下企业合并</w:t>
      </w:r>
      <w:r>
        <w:rPr>
          <w:b w:val="0"/>
          <w:bCs w:val="0"/>
        </w:rPr>
      </w:r>
    </w:p>
    <w:p>
      <w:pPr>
        <w:spacing w:line="240" w:lineRule="auto" w:before="8"/>
        <w:rPr>
          <w:rFonts w:ascii="宋体" w:hAnsi="宋体" w:cs="宋体" w:eastAsia="宋体" w:hint="default"/>
          <w:b/>
          <w:bCs/>
          <w:sz w:val="26"/>
          <w:szCs w:val="26"/>
        </w:rPr>
      </w:pPr>
    </w:p>
    <w:p>
      <w:pPr>
        <w:spacing w:before="0"/>
        <w:ind w:left="154" w:right="1117"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0"/>
        <w:rPr>
          <w:rFonts w:ascii="宋体" w:hAnsi="宋体" w:cs="宋体" w:eastAsia="宋体" w:hint="default"/>
          <w:sz w:val="26"/>
          <w:szCs w:val="26"/>
        </w:rPr>
      </w:pPr>
    </w:p>
    <w:p>
      <w:pPr>
        <w:pStyle w:val="Heading4"/>
        <w:spacing w:line="240" w:lineRule="auto"/>
        <w:ind w:right="1117"/>
        <w:jc w:val="left"/>
        <w:rPr>
          <w:b w:val="0"/>
          <w:bCs w:val="0"/>
        </w:rPr>
      </w:pPr>
      <w:bookmarkStart w:name="（2）合并成本" w:id="355"/>
      <w:bookmarkEnd w:id="355"/>
      <w:r>
        <w:rPr>
          <w:b w:val="0"/>
          <w:bCs w:val="0"/>
        </w:rPr>
      </w:r>
      <w:r>
        <w:rPr/>
        <w:t>（</w:t>
      </w:r>
      <w:r>
        <w:rPr>
          <w:rFonts w:ascii="Times New Roman" w:hAnsi="Times New Roman" w:cs="Times New Roman" w:eastAsia="Times New Roman" w:hint="default"/>
        </w:rPr>
        <w:t>2</w:t>
      </w:r>
      <w:r>
        <w:rPr/>
        <w:t>）合并成本</w:t>
      </w:r>
      <w:r>
        <w:rPr>
          <w:b w:val="0"/>
          <w:bCs w:val="0"/>
        </w:rPr>
      </w:r>
    </w:p>
    <w:p>
      <w:pPr>
        <w:spacing w:line="240" w:lineRule="auto" w:before="9"/>
        <w:rPr>
          <w:rFonts w:ascii="宋体" w:hAnsi="宋体" w:cs="宋体" w:eastAsia="宋体" w:hint="default"/>
          <w:b/>
          <w:bCs/>
          <w:sz w:val="26"/>
          <w:szCs w:val="26"/>
        </w:rPr>
      </w:pPr>
    </w:p>
    <w:p>
      <w:pPr>
        <w:spacing w:line="357" w:lineRule="auto" w:before="0"/>
        <w:ind w:left="154" w:right="8592" w:firstLine="0"/>
        <w:jc w:val="left"/>
        <w:rPr>
          <w:rFonts w:ascii="宋体" w:hAnsi="宋体" w:cs="宋体" w:eastAsia="宋体" w:hint="default"/>
          <w:sz w:val="18"/>
          <w:szCs w:val="18"/>
        </w:rPr>
      </w:pPr>
      <w:r>
        <w:rPr>
          <w:rFonts w:ascii="宋体" w:hAnsi="宋体" w:cs="宋体" w:eastAsia="宋体" w:hint="default"/>
          <w:sz w:val="18"/>
          <w:szCs w:val="18"/>
        </w:rPr>
        <w:t>或有对价及其变动的说明： 其他说明：</w:t>
      </w:r>
    </w:p>
    <w:p>
      <w:pPr>
        <w:spacing w:line="240" w:lineRule="auto" w:before="0"/>
        <w:rPr>
          <w:rFonts w:ascii="宋体" w:hAnsi="宋体" w:cs="宋体" w:eastAsia="宋体" w:hint="default"/>
          <w:sz w:val="20"/>
          <w:szCs w:val="20"/>
        </w:rPr>
      </w:pPr>
    </w:p>
    <w:p>
      <w:pPr>
        <w:pStyle w:val="Heading4"/>
        <w:spacing w:line="240" w:lineRule="auto"/>
        <w:ind w:right="1117"/>
        <w:jc w:val="left"/>
        <w:rPr>
          <w:b w:val="0"/>
          <w:bCs w:val="0"/>
        </w:rPr>
      </w:pPr>
      <w:bookmarkStart w:name="（3）合并日被合并方资产、负债的账面价值" w:id="356"/>
      <w:bookmarkEnd w:id="356"/>
      <w:r>
        <w:rPr>
          <w:b w:val="0"/>
          <w:bCs w:val="0"/>
        </w:rPr>
      </w:r>
      <w:r>
        <w:rPr/>
        <w:t>（</w:t>
      </w:r>
      <w:r>
        <w:rPr>
          <w:rFonts w:ascii="Times New Roman" w:hAnsi="Times New Roman" w:cs="Times New Roman" w:eastAsia="Times New Roman" w:hint="default"/>
        </w:rPr>
        <w:t>3</w:t>
      </w:r>
      <w:r>
        <w:rPr/>
        <w:t>）合并日被合并方资产、负债的账面价值</w:t>
      </w:r>
      <w:r>
        <w:rPr>
          <w:b w:val="0"/>
          <w:bCs w:val="0"/>
        </w:rPr>
      </w:r>
    </w:p>
    <w:p>
      <w:pPr>
        <w:spacing w:line="240" w:lineRule="auto" w:before="9"/>
        <w:rPr>
          <w:rFonts w:ascii="宋体" w:hAnsi="宋体" w:cs="宋体" w:eastAsia="宋体" w:hint="default"/>
          <w:b/>
          <w:bCs/>
          <w:sz w:val="26"/>
          <w:szCs w:val="26"/>
        </w:rPr>
      </w:pPr>
    </w:p>
    <w:p>
      <w:pPr>
        <w:spacing w:line="360" w:lineRule="auto" w:before="0"/>
        <w:ind w:left="154" w:right="7512" w:firstLine="0"/>
        <w:jc w:val="left"/>
        <w:rPr>
          <w:rFonts w:ascii="宋体" w:hAnsi="宋体" w:cs="宋体" w:eastAsia="宋体" w:hint="default"/>
          <w:sz w:val="18"/>
          <w:szCs w:val="18"/>
        </w:rPr>
      </w:pPr>
      <w:r>
        <w:rPr>
          <w:rFonts w:ascii="宋体" w:hAnsi="宋体" w:cs="宋体" w:eastAsia="宋体" w:hint="default"/>
          <w:sz w:val="18"/>
          <w:szCs w:val="18"/>
        </w:rPr>
        <w:t>企业合并中承担的被合并方的或有负债： 其他说明：</w:t>
      </w:r>
    </w:p>
    <w:p>
      <w:pPr>
        <w:spacing w:line="240" w:lineRule="auto" w:before="11"/>
        <w:rPr>
          <w:rFonts w:ascii="宋体" w:hAnsi="宋体" w:cs="宋体" w:eastAsia="宋体" w:hint="default"/>
          <w:sz w:val="19"/>
          <w:szCs w:val="19"/>
        </w:rPr>
      </w:pPr>
    </w:p>
    <w:p>
      <w:pPr>
        <w:pStyle w:val="Heading4"/>
        <w:spacing w:line="240" w:lineRule="auto"/>
        <w:ind w:right="1117"/>
        <w:jc w:val="left"/>
        <w:rPr>
          <w:b w:val="0"/>
          <w:bCs w:val="0"/>
        </w:rPr>
      </w:pPr>
      <w:bookmarkStart w:name="3、反向购买" w:id="357"/>
      <w:bookmarkEnd w:id="357"/>
      <w:r>
        <w:rPr>
          <w:b w:val="0"/>
          <w:bCs w:val="0"/>
        </w:rPr>
      </w:r>
      <w:r>
        <w:rPr>
          <w:rFonts w:ascii="Times New Roman" w:hAnsi="Times New Roman" w:cs="Times New Roman" w:eastAsia="Times New Roman" w:hint="default"/>
        </w:rPr>
        <w:t>3</w:t>
      </w:r>
      <w:r>
        <w:rPr/>
        <w:t>、反向购买</w:t>
      </w:r>
      <w:r>
        <w:rPr>
          <w:b w:val="0"/>
          <w:bCs w:val="0"/>
        </w:rPr>
      </w:r>
    </w:p>
    <w:p>
      <w:pPr>
        <w:spacing w:line="240" w:lineRule="auto" w:before="8"/>
        <w:rPr>
          <w:rFonts w:ascii="宋体" w:hAnsi="宋体" w:cs="宋体" w:eastAsia="宋体" w:hint="default"/>
          <w:b/>
          <w:bCs/>
          <w:sz w:val="26"/>
          <w:szCs w:val="26"/>
        </w:rPr>
      </w:pPr>
    </w:p>
    <w:p>
      <w:pPr>
        <w:spacing w:line="319" w:lineRule="auto" w:before="0"/>
        <w:ind w:left="154" w:right="1117" w:firstLine="0"/>
        <w:jc w:val="left"/>
        <w:rPr>
          <w:rFonts w:ascii="宋体" w:hAnsi="宋体" w:cs="宋体" w:eastAsia="宋体" w:hint="default"/>
          <w:sz w:val="18"/>
          <w:szCs w:val="18"/>
        </w:rPr>
      </w:pPr>
      <w:r>
        <w:rPr>
          <w:rFonts w:ascii="宋体" w:hAnsi="宋体" w:cs="宋体" w:eastAsia="宋体" w:hint="default"/>
          <w:spacing w:val="-2"/>
          <w:sz w:val="18"/>
          <w:szCs w:val="18"/>
        </w:rPr>
        <w:t>交易基本信息、交易构成反向购买的依据、上市公司保留的资产、负债是否构成业务及其依据、合并成本的确定、按照权益</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性交易处理时调整权益的金额及其计算：</w:t>
      </w:r>
    </w:p>
    <w:p>
      <w:pPr>
        <w:spacing w:line="240" w:lineRule="auto" w:before="3"/>
        <w:rPr>
          <w:rFonts w:ascii="宋体" w:hAnsi="宋体" w:cs="宋体" w:eastAsia="宋体" w:hint="default"/>
          <w:sz w:val="22"/>
          <w:szCs w:val="22"/>
        </w:rPr>
      </w:pPr>
    </w:p>
    <w:p>
      <w:pPr>
        <w:pStyle w:val="Heading4"/>
        <w:spacing w:line="240" w:lineRule="auto"/>
        <w:ind w:right="1117"/>
        <w:jc w:val="left"/>
        <w:rPr>
          <w:b w:val="0"/>
          <w:bCs w:val="0"/>
        </w:rPr>
      </w:pPr>
      <w:bookmarkStart w:name="4、处置子公司" w:id="358"/>
      <w:bookmarkEnd w:id="358"/>
      <w:r>
        <w:rPr>
          <w:b w:val="0"/>
          <w:bCs w:val="0"/>
        </w:rPr>
      </w:r>
      <w:r>
        <w:rPr>
          <w:rFonts w:ascii="Times New Roman" w:hAnsi="Times New Roman" w:cs="Times New Roman" w:eastAsia="Times New Roman" w:hint="default"/>
        </w:rPr>
        <w:t>4</w:t>
      </w:r>
      <w:r>
        <w:rPr/>
        <w:t>、处置子公司</w:t>
      </w:r>
      <w:r>
        <w:rPr>
          <w:b w:val="0"/>
          <w:bCs w:val="0"/>
        </w:rPr>
      </w:r>
    </w:p>
    <w:p>
      <w:pPr>
        <w:spacing w:line="240" w:lineRule="auto" w:before="9"/>
        <w:rPr>
          <w:rFonts w:ascii="宋体" w:hAnsi="宋体" w:cs="宋体" w:eastAsia="宋体" w:hint="default"/>
          <w:b/>
          <w:bCs/>
          <w:sz w:val="26"/>
          <w:szCs w:val="26"/>
        </w:rPr>
      </w:pPr>
    </w:p>
    <w:p>
      <w:pPr>
        <w:spacing w:before="0"/>
        <w:ind w:left="154" w:right="1117" w:firstLine="0"/>
        <w:jc w:val="left"/>
        <w:rPr>
          <w:rFonts w:ascii="宋体" w:hAnsi="宋体" w:cs="宋体" w:eastAsia="宋体" w:hint="default"/>
          <w:sz w:val="18"/>
          <w:szCs w:val="18"/>
        </w:rPr>
      </w:pPr>
      <w:r>
        <w:rPr>
          <w:rFonts w:ascii="宋体" w:hAnsi="宋体" w:cs="宋体" w:eastAsia="宋体" w:hint="default"/>
          <w:sz w:val="18"/>
          <w:szCs w:val="18"/>
        </w:rPr>
        <w:t>是否存在单次处置对子公司投资即丧失控制权的情形</w:t>
      </w:r>
    </w:p>
    <w:p>
      <w:pPr>
        <w:spacing w:line="338" w:lineRule="auto" w:before="116"/>
        <w:ind w:left="154" w:right="499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是</w:t>
      </w:r>
      <w:r>
        <w:rPr>
          <w:rFonts w:ascii="Times New Roman" w:hAnsi="Times New Roman" w:cs="Times New Roman" w:eastAsia="Times New Roman" w:hint="default"/>
          <w:sz w:val="18"/>
          <w:szCs w:val="18"/>
        </w:rPr>
        <w:t>√</w:t>
      </w:r>
      <w:r>
        <w:rPr>
          <w:rFonts w:ascii="宋体" w:hAnsi="宋体" w:cs="宋体" w:eastAsia="宋体" w:hint="default"/>
          <w:sz w:val="18"/>
          <w:szCs w:val="18"/>
        </w:rPr>
        <w:t>否 是否存在通过多次交易分步处置对子公司投资且在本期丧失控制权的情形</w:t>
      </w:r>
    </w:p>
    <w:p>
      <w:pPr>
        <w:spacing w:before="43"/>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是</w:t>
      </w:r>
      <w:r>
        <w:rPr>
          <w:rFonts w:ascii="Times New Roman" w:hAnsi="Times New Roman" w:cs="Times New Roman" w:eastAsia="Times New Roman" w:hint="default"/>
          <w:sz w:val="18"/>
          <w:szCs w:val="18"/>
        </w:rPr>
        <w:t>√</w:t>
      </w:r>
      <w:r>
        <w:rPr>
          <w:rFonts w:ascii="宋体" w:hAnsi="宋体" w:cs="宋体" w:eastAsia="宋体" w:hint="default"/>
          <w:sz w:val="18"/>
          <w:szCs w:val="18"/>
        </w:rPr>
        <w:t>否</w:t>
      </w:r>
    </w:p>
    <w:p>
      <w:pPr>
        <w:spacing w:line="240" w:lineRule="auto" w:before="9"/>
        <w:rPr>
          <w:rFonts w:ascii="宋体" w:hAnsi="宋体" w:cs="宋体" w:eastAsia="宋体" w:hint="default"/>
          <w:sz w:val="25"/>
          <w:szCs w:val="25"/>
        </w:rPr>
      </w:pPr>
    </w:p>
    <w:p>
      <w:pPr>
        <w:pStyle w:val="Heading4"/>
        <w:spacing w:line="240" w:lineRule="auto"/>
        <w:ind w:right="1117"/>
        <w:jc w:val="left"/>
        <w:rPr>
          <w:b w:val="0"/>
          <w:bCs w:val="0"/>
        </w:rPr>
      </w:pPr>
      <w:bookmarkStart w:name="5、其他原因的合并范围变动" w:id="359"/>
      <w:bookmarkEnd w:id="359"/>
      <w:r>
        <w:rPr>
          <w:b w:val="0"/>
          <w:bCs w:val="0"/>
        </w:rPr>
      </w:r>
      <w:r>
        <w:rPr>
          <w:rFonts w:ascii="Times New Roman" w:hAnsi="Times New Roman" w:cs="Times New Roman" w:eastAsia="Times New Roman" w:hint="default"/>
        </w:rPr>
        <w:t>5</w:t>
      </w:r>
      <w:r>
        <w:rPr/>
        <w:t>、其他原因的合并范围变动</w:t>
      </w:r>
      <w:r>
        <w:rPr>
          <w:b w:val="0"/>
          <w:bCs w:val="0"/>
        </w:rPr>
      </w:r>
    </w:p>
    <w:p>
      <w:pPr>
        <w:spacing w:line="240" w:lineRule="auto" w:before="9"/>
        <w:rPr>
          <w:rFonts w:ascii="宋体" w:hAnsi="宋体" w:cs="宋体" w:eastAsia="宋体" w:hint="default"/>
          <w:b/>
          <w:bCs/>
          <w:sz w:val="26"/>
          <w:szCs w:val="26"/>
        </w:rPr>
      </w:pPr>
    </w:p>
    <w:p>
      <w:pPr>
        <w:spacing w:before="0"/>
        <w:ind w:left="154" w:right="1117" w:firstLine="0"/>
        <w:jc w:val="left"/>
        <w:rPr>
          <w:rFonts w:ascii="宋体" w:hAnsi="宋体" w:cs="宋体" w:eastAsia="宋体" w:hint="default"/>
          <w:sz w:val="18"/>
          <w:szCs w:val="18"/>
        </w:rPr>
      </w:pPr>
      <w:r>
        <w:rPr>
          <w:rFonts w:ascii="宋体" w:hAnsi="宋体" w:cs="宋体" w:eastAsia="宋体" w:hint="default"/>
          <w:sz w:val="18"/>
          <w:szCs w:val="18"/>
        </w:rPr>
        <w:t>说明其他原因导致的合并范围变动（如，新设子公司、清算子公司等）及其相关情况：</w:t>
      </w:r>
    </w:p>
    <w:p>
      <w:pPr>
        <w:spacing w:line="240" w:lineRule="auto" w:before="10"/>
        <w:rPr>
          <w:rFonts w:ascii="宋体" w:hAnsi="宋体" w:cs="宋体" w:eastAsia="宋体" w:hint="default"/>
          <w:sz w:val="12"/>
          <w:szCs w:val="12"/>
        </w:rPr>
      </w:pPr>
    </w:p>
    <w:p>
      <w:pPr>
        <w:pStyle w:val="BodyText"/>
        <w:spacing w:line="240" w:lineRule="auto" w:before="0"/>
        <w:ind w:right="1117"/>
        <w:jc w:val="left"/>
      </w:pPr>
      <w:r>
        <w:rPr/>
        <w:t>本报告期对山西新开普电子股份有限公司进行了清算。</w:t>
      </w:r>
    </w:p>
    <w:p>
      <w:pPr>
        <w:spacing w:after="0" w:line="240" w:lineRule="auto"/>
        <w:jc w:val="left"/>
        <w:sectPr>
          <w:pgSz w:w="11910" w:h="16840"/>
          <w:pgMar w:header="877" w:footer="979" w:top="1060" w:bottom="1160" w:left="980" w:right="0"/>
        </w:sectPr>
      </w:pPr>
    </w:p>
    <w:p>
      <w:pPr>
        <w:spacing w:line="240" w:lineRule="auto" w:before="10"/>
        <w:rPr>
          <w:rFonts w:ascii="宋体" w:hAnsi="宋体" w:cs="宋体" w:eastAsia="宋体" w:hint="default"/>
          <w:sz w:val="24"/>
          <w:szCs w:val="24"/>
        </w:rPr>
      </w:pPr>
    </w:p>
    <w:p>
      <w:pPr>
        <w:pStyle w:val="Heading4"/>
        <w:spacing w:line="240" w:lineRule="auto" w:before="35"/>
        <w:ind w:right="1117"/>
        <w:jc w:val="left"/>
        <w:rPr>
          <w:b w:val="0"/>
          <w:bCs w:val="0"/>
        </w:rPr>
      </w:pPr>
      <w:bookmarkStart w:name="6、其他" w:id="360"/>
      <w:bookmarkEnd w:id="360"/>
      <w:r>
        <w:rPr>
          <w:b w:val="0"/>
          <w:bCs w:val="0"/>
        </w:rPr>
      </w:r>
      <w:r>
        <w:rPr>
          <w:rFonts w:ascii="Times New Roman" w:hAnsi="Times New Roman" w:cs="Times New Roman" w:eastAsia="Times New Roman" w:hint="default"/>
        </w:rPr>
        <w:t>6</w:t>
      </w:r>
      <w:r>
        <w:rPr/>
        <w:t>、其他</w:t>
      </w:r>
      <w:r>
        <w:rPr>
          <w:b w:val="0"/>
          <w:bCs w:val="0"/>
        </w:rPr>
      </w:r>
    </w:p>
    <w:p>
      <w:pPr>
        <w:spacing w:line="240" w:lineRule="auto" w:before="7"/>
        <w:rPr>
          <w:rFonts w:ascii="宋体" w:hAnsi="宋体" w:cs="宋体" w:eastAsia="宋体" w:hint="default"/>
          <w:b/>
          <w:bCs/>
          <w:sz w:val="30"/>
          <w:szCs w:val="30"/>
        </w:rPr>
      </w:pPr>
    </w:p>
    <w:p>
      <w:pPr>
        <w:pStyle w:val="BodyText"/>
        <w:spacing w:line="386" w:lineRule="auto" w:before="0"/>
        <w:ind w:right="1194" w:firstLine="423"/>
        <w:jc w:val="left"/>
      </w:pPr>
      <w:r>
        <w:rPr>
          <w:rFonts w:ascii="Times New Roman" w:hAnsi="Times New Roman" w:cs="Times New Roman" w:eastAsia="Times New Roman" w:hint="default"/>
        </w:rPr>
        <w:t>1</w:t>
      </w:r>
      <w:r>
        <w:rPr/>
        <w:t>、本年度公司新设子公司完美数联（北京）科技有限公司、北京开普力维科技有限公司，将其纳入 报表合并范围内；</w:t>
      </w:r>
    </w:p>
    <w:p>
      <w:pPr>
        <w:pStyle w:val="BodyText"/>
        <w:spacing w:line="386" w:lineRule="auto" w:before="65"/>
        <w:ind w:right="1194" w:firstLine="423"/>
        <w:jc w:val="left"/>
      </w:pPr>
      <w:r>
        <w:rPr>
          <w:rFonts w:ascii="Times New Roman" w:hAnsi="Times New Roman" w:cs="Times New Roman" w:eastAsia="Times New Roman" w:hint="default"/>
        </w:rPr>
        <w:t>2</w:t>
      </w:r>
      <w:r>
        <w:rPr/>
        <w:t>、本年度新设郑州惠品优购商贸有限公司并于本年度注销，自成立日至处置日的收入、费用、利润 纳入合并利润表；自成立日至处置日的现金流量纳入合并现金流量表；</w:t>
      </w:r>
    </w:p>
    <w:p>
      <w:pPr>
        <w:pStyle w:val="BodyText"/>
        <w:spacing w:line="386" w:lineRule="auto" w:before="65"/>
        <w:ind w:right="1194" w:firstLine="423"/>
        <w:jc w:val="left"/>
      </w:pPr>
      <w:r>
        <w:rPr>
          <w:rFonts w:ascii="Times New Roman" w:hAnsi="Times New Roman" w:cs="Times New Roman" w:eastAsia="Times New Roman" w:hint="default"/>
        </w:rPr>
        <w:t>3</w:t>
      </w:r>
      <w:r>
        <w:rPr/>
        <w:t>、本年度注销子公司山西新开普信息科技有限公司，期初至处置日的收入、费用、利润纳入合并利 润表；期初至处置日的现金流量纳入合并现金流量表。</w:t>
      </w:r>
    </w:p>
    <w:p>
      <w:pPr>
        <w:spacing w:line="240" w:lineRule="auto" w:before="4"/>
        <w:rPr>
          <w:rFonts w:ascii="宋体" w:hAnsi="宋体" w:cs="宋体" w:eastAsia="宋体" w:hint="default"/>
          <w:sz w:val="20"/>
          <w:szCs w:val="20"/>
        </w:rPr>
      </w:pPr>
    </w:p>
    <w:p>
      <w:pPr>
        <w:pStyle w:val="Heading2"/>
        <w:spacing w:line="240" w:lineRule="auto"/>
        <w:ind w:right="1117"/>
        <w:jc w:val="left"/>
        <w:rPr>
          <w:b w:val="0"/>
          <w:bCs w:val="0"/>
        </w:rPr>
      </w:pPr>
      <w:bookmarkStart w:name="九、在其他主体中的权益" w:id="361"/>
      <w:bookmarkEnd w:id="361"/>
      <w:r>
        <w:rPr>
          <w:b w:val="0"/>
          <w:bCs w:val="0"/>
        </w:rPr>
      </w:r>
      <w:r>
        <w:rPr/>
        <w:t>九、在其他主体中的权益</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1117"/>
        <w:jc w:val="left"/>
        <w:rPr>
          <w:b w:val="0"/>
          <w:bCs w:val="0"/>
        </w:rPr>
      </w:pPr>
      <w:bookmarkStart w:name="1、在子公司中的权益" w:id="362"/>
      <w:bookmarkEnd w:id="362"/>
      <w:r>
        <w:rPr>
          <w:b w:val="0"/>
          <w:bCs w:val="0"/>
        </w:rPr>
      </w:r>
      <w:r>
        <w:rPr>
          <w:rFonts w:ascii="Times New Roman" w:hAnsi="Times New Roman" w:cs="Times New Roman" w:eastAsia="Times New Roman" w:hint="default"/>
        </w:rPr>
        <w:t>1</w:t>
      </w:r>
      <w:r>
        <w:rPr/>
        <w:t>、在子公司中的权益</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1117"/>
        <w:jc w:val="left"/>
        <w:rPr>
          <w:b w:val="0"/>
          <w:bCs w:val="0"/>
        </w:rPr>
      </w:pPr>
      <w:bookmarkStart w:name="（1）企业集团的构成" w:id="363"/>
      <w:bookmarkEnd w:id="363"/>
      <w:r>
        <w:rPr>
          <w:b w:val="0"/>
          <w:bCs w:val="0"/>
        </w:rPr>
      </w:r>
      <w:r>
        <w:rPr/>
        <w:t>（</w:t>
      </w:r>
      <w:r>
        <w:rPr>
          <w:rFonts w:ascii="Times New Roman" w:hAnsi="Times New Roman" w:cs="Times New Roman" w:eastAsia="Times New Roman" w:hint="default"/>
        </w:rPr>
        <w:t>1</w:t>
      </w:r>
      <w:r>
        <w:rPr/>
        <w:t>）企业集团的构成</w:t>
      </w:r>
      <w:r>
        <w:rPr>
          <w:b w:val="0"/>
          <w:bCs w:val="0"/>
        </w:rPr>
      </w:r>
    </w:p>
    <w:p>
      <w:pPr>
        <w:spacing w:line="240" w:lineRule="auto" w:before="10"/>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1372"/>
        <w:gridCol w:w="1367"/>
        <w:gridCol w:w="1367"/>
        <w:gridCol w:w="1367"/>
        <w:gridCol w:w="1367"/>
        <w:gridCol w:w="1367"/>
        <w:gridCol w:w="1366"/>
      </w:tblGrid>
      <w:tr>
        <w:trPr>
          <w:trHeight w:val="402" w:hRule="exact"/>
        </w:trPr>
        <w:tc>
          <w:tcPr>
            <w:tcW w:w="137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left="230" w:right="0"/>
              <w:jc w:val="left"/>
              <w:rPr>
                <w:rFonts w:ascii="宋体" w:hAnsi="宋体" w:cs="宋体" w:eastAsia="宋体" w:hint="default"/>
                <w:sz w:val="18"/>
                <w:szCs w:val="18"/>
              </w:rPr>
            </w:pPr>
            <w:r>
              <w:rPr>
                <w:rFonts w:ascii="宋体" w:hAnsi="宋体" w:cs="宋体" w:eastAsia="宋体" w:hint="default"/>
                <w:sz w:val="18"/>
                <w:szCs w:val="18"/>
              </w:rPr>
              <w:t>子公司名称</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left="227" w:right="0"/>
              <w:jc w:val="left"/>
              <w:rPr>
                <w:rFonts w:ascii="宋体" w:hAnsi="宋体" w:cs="宋体" w:eastAsia="宋体" w:hint="default"/>
                <w:sz w:val="18"/>
                <w:szCs w:val="18"/>
              </w:rPr>
            </w:pPr>
            <w:r>
              <w:rPr>
                <w:rFonts w:ascii="宋体" w:hAnsi="宋体" w:cs="宋体" w:eastAsia="宋体" w:hint="default"/>
                <w:sz w:val="18"/>
                <w:szCs w:val="18"/>
              </w:rPr>
              <w:t>主要经营地</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left="408" w:right="0"/>
              <w:jc w:val="left"/>
              <w:rPr>
                <w:rFonts w:ascii="宋体" w:hAnsi="宋体" w:cs="宋体" w:eastAsia="宋体" w:hint="default"/>
                <w:sz w:val="18"/>
                <w:szCs w:val="18"/>
              </w:rPr>
            </w:pPr>
            <w:r>
              <w:rPr>
                <w:rFonts w:ascii="宋体" w:hAnsi="宋体" w:cs="宋体" w:eastAsia="宋体" w:hint="default"/>
                <w:sz w:val="18"/>
                <w:szCs w:val="18"/>
              </w:rPr>
              <w:t>注册地</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left="317" w:right="0"/>
              <w:jc w:val="left"/>
              <w:rPr>
                <w:rFonts w:ascii="宋体" w:hAnsi="宋体" w:cs="宋体" w:eastAsia="宋体" w:hint="default"/>
                <w:sz w:val="18"/>
                <w:szCs w:val="18"/>
              </w:rPr>
            </w:pPr>
            <w:r>
              <w:rPr>
                <w:rFonts w:ascii="宋体" w:hAnsi="宋体" w:cs="宋体" w:eastAsia="宋体" w:hint="default"/>
                <w:sz w:val="18"/>
                <w:szCs w:val="18"/>
              </w:rPr>
              <w:t>业务性质</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持股比例</w:t>
            </w:r>
          </w:p>
        </w:tc>
        <w:tc>
          <w:tcPr>
            <w:tcW w:w="136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left="317" w:right="0"/>
              <w:jc w:val="left"/>
              <w:rPr>
                <w:rFonts w:ascii="宋体" w:hAnsi="宋体" w:cs="宋体" w:eastAsia="宋体" w:hint="default"/>
                <w:sz w:val="18"/>
                <w:szCs w:val="18"/>
              </w:rPr>
            </w:pPr>
            <w:r>
              <w:rPr>
                <w:rFonts w:ascii="宋体" w:hAnsi="宋体" w:cs="宋体" w:eastAsia="宋体" w:hint="default"/>
                <w:sz w:val="18"/>
                <w:szCs w:val="18"/>
              </w:rPr>
              <w:t>取得方式</w:t>
            </w:r>
          </w:p>
        </w:tc>
      </w:tr>
      <w:tr>
        <w:trPr>
          <w:trHeight w:val="401" w:hRule="exact"/>
        </w:trPr>
        <w:tc>
          <w:tcPr>
            <w:tcW w:w="1372"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直接</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间接</w:t>
            </w:r>
          </w:p>
        </w:tc>
        <w:tc>
          <w:tcPr>
            <w:tcW w:w="1366" w:type="dxa"/>
            <w:vMerge/>
            <w:tcBorders>
              <w:left w:val="single" w:sz="4" w:space="0" w:color="000000"/>
              <w:bottom w:val="single" w:sz="4" w:space="0" w:color="000000"/>
              <w:right w:val="single" w:sz="4" w:space="0" w:color="000000"/>
            </w:tcBorders>
            <w:shd w:val="clear" w:color="auto" w:fill="D2D2D2"/>
          </w:tcPr>
          <w:p>
            <w:pPr/>
          </w:p>
        </w:tc>
      </w:tr>
      <w:tr>
        <w:trPr>
          <w:trHeight w:val="1026"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9" w:lineRule="auto"/>
              <w:ind w:left="22" w:right="77"/>
              <w:jc w:val="left"/>
              <w:rPr>
                <w:rFonts w:ascii="宋体" w:hAnsi="宋体" w:cs="宋体" w:eastAsia="宋体" w:hint="default"/>
                <w:sz w:val="18"/>
                <w:szCs w:val="18"/>
              </w:rPr>
            </w:pPr>
            <w:r>
              <w:rPr>
                <w:rFonts w:ascii="宋体" w:hAnsi="宋体" w:cs="宋体" w:eastAsia="宋体" w:hint="default"/>
                <w:sz w:val="18"/>
                <w:szCs w:val="18"/>
              </w:rPr>
              <w:t>北京迪科远望科 技有限公司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华北地区</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2"/>
              <w:ind w:left="22" w:right="72"/>
              <w:jc w:val="both"/>
              <w:rPr>
                <w:rFonts w:ascii="宋体" w:hAnsi="宋体" w:cs="宋体" w:eastAsia="宋体" w:hint="default"/>
                <w:sz w:val="18"/>
                <w:szCs w:val="18"/>
              </w:rPr>
            </w:pPr>
            <w:r>
              <w:rPr>
                <w:rFonts w:ascii="宋体" w:hAnsi="宋体" w:cs="宋体" w:eastAsia="宋体" w:hint="default"/>
                <w:sz w:val="18"/>
                <w:szCs w:val="18"/>
              </w:rPr>
              <w:t>智能一卡通系统 及产品的研发、 生产、销售</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9" w:lineRule="auto"/>
              <w:ind w:left="22" w:right="71"/>
              <w:jc w:val="left"/>
              <w:rPr>
                <w:rFonts w:ascii="宋体" w:hAnsi="宋体" w:cs="宋体" w:eastAsia="宋体" w:hint="default"/>
                <w:sz w:val="18"/>
                <w:szCs w:val="18"/>
              </w:rPr>
            </w:pPr>
            <w:r>
              <w:rPr>
                <w:rFonts w:ascii="宋体" w:hAnsi="宋体" w:cs="宋体" w:eastAsia="宋体" w:hint="default"/>
                <w:sz w:val="18"/>
                <w:szCs w:val="18"/>
              </w:rPr>
              <w:t>非同一控制下企 业合并</w:t>
            </w:r>
          </w:p>
        </w:tc>
      </w:tr>
      <w:tr>
        <w:trPr>
          <w:trHeight w:val="1338"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316" w:lineRule="auto" w:before="129"/>
              <w:ind w:left="22" w:right="77"/>
              <w:jc w:val="left"/>
              <w:rPr>
                <w:rFonts w:ascii="宋体" w:hAnsi="宋体" w:cs="宋体" w:eastAsia="宋体" w:hint="default"/>
                <w:sz w:val="18"/>
                <w:szCs w:val="18"/>
              </w:rPr>
            </w:pPr>
            <w:r>
              <w:rPr>
                <w:rFonts w:ascii="宋体" w:hAnsi="宋体" w:cs="宋体" w:eastAsia="宋体" w:hint="default"/>
                <w:sz w:val="18"/>
                <w:szCs w:val="18"/>
              </w:rPr>
              <w:t>上海树维信息科 技有限公司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华东地区</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72"/>
              <w:jc w:val="left"/>
              <w:rPr>
                <w:rFonts w:ascii="宋体" w:hAnsi="宋体" w:cs="宋体" w:eastAsia="宋体" w:hint="default"/>
                <w:sz w:val="18"/>
                <w:szCs w:val="18"/>
              </w:rPr>
            </w:pPr>
            <w:r>
              <w:rPr>
                <w:rFonts w:ascii="宋体" w:hAnsi="宋体" w:cs="宋体" w:eastAsia="宋体" w:hint="default"/>
                <w:sz w:val="18"/>
                <w:szCs w:val="18"/>
              </w:rPr>
              <w:t>智能一卡通系 统、数字校园化 系统、教务系统 的研发、销售</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316" w:lineRule="auto" w:before="129"/>
              <w:ind w:left="22" w:right="71"/>
              <w:jc w:val="left"/>
              <w:rPr>
                <w:rFonts w:ascii="宋体" w:hAnsi="宋体" w:cs="宋体" w:eastAsia="宋体" w:hint="default"/>
                <w:sz w:val="18"/>
                <w:szCs w:val="18"/>
              </w:rPr>
            </w:pPr>
            <w:r>
              <w:rPr>
                <w:rFonts w:ascii="宋体" w:hAnsi="宋体" w:cs="宋体" w:eastAsia="宋体" w:hint="default"/>
                <w:sz w:val="18"/>
                <w:szCs w:val="18"/>
              </w:rPr>
              <w:t>非同一控制下企 业合并</w:t>
            </w:r>
          </w:p>
        </w:tc>
      </w:tr>
      <w:tr>
        <w:trPr>
          <w:trHeight w:val="1026"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22" w:right="77"/>
              <w:jc w:val="left"/>
              <w:rPr>
                <w:rFonts w:ascii="宋体" w:hAnsi="宋体" w:cs="宋体" w:eastAsia="宋体" w:hint="default"/>
                <w:sz w:val="18"/>
                <w:szCs w:val="18"/>
              </w:rPr>
            </w:pPr>
            <w:r>
              <w:rPr>
                <w:rFonts w:ascii="宋体" w:hAnsi="宋体" w:cs="宋体" w:eastAsia="宋体" w:hint="default"/>
                <w:sz w:val="18"/>
                <w:szCs w:val="18"/>
              </w:rPr>
              <w:t>福建新开普信息 科技有限公司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华东地区</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福州</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72"/>
              <w:jc w:val="both"/>
              <w:rPr>
                <w:rFonts w:ascii="宋体" w:hAnsi="宋体" w:cs="宋体" w:eastAsia="宋体" w:hint="default"/>
                <w:sz w:val="18"/>
                <w:szCs w:val="18"/>
              </w:rPr>
            </w:pPr>
            <w:r>
              <w:rPr>
                <w:rFonts w:ascii="宋体" w:hAnsi="宋体" w:cs="宋体" w:eastAsia="宋体" w:hint="default"/>
                <w:sz w:val="18"/>
                <w:szCs w:val="18"/>
              </w:rPr>
              <w:t>能源监管平台系 统研发、生产与 销售</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51.00%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714"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77"/>
              <w:jc w:val="left"/>
              <w:rPr>
                <w:rFonts w:ascii="宋体" w:hAnsi="宋体" w:cs="宋体" w:eastAsia="宋体" w:hint="default"/>
                <w:sz w:val="18"/>
                <w:szCs w:val="18"/>
              </w:rPr>
            </w:pPr>
            <w:r>
              <w:rPr>
                <w:rFonts w:ascii="宋体" w:hAnsi="宋体" w:cs="宋体" w:eastAsia="宋体" w:hint="default"/>
                <w:sz w:val="18"/>
                <w:szCs w:val="18"/>
              </w:rPr>
              <w:t>山西新开普信息 科技有限公司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华北地区</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太原</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72"/>
              <w:jc w:val="left"/>
              <w:rPr>
                <w:rFonts w:ascii="宋体" w:hAnsi="宋体" w:cs="宋体" w:eastAsia="宋体" w:hint="default"/>
                <w:sz w:val="18"/>
                <w:szCs w:val="18"/>
              </w:rPr>
            </w:pPr>
            <w:r>
              <w:rPr>
                <w:rFonts w:ascii="宋体" w:hAnsi="宋体" w:cs="宋体" w:eastAsia="宋体" w:hint="default"/>
                <w:sz w:val="18"/>
                <w:szCs w:val="18"/>
              </w:rPr>
              <w:t>智能一卡通系统 及产品的销售</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1026"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22" w:right="77"/>
              <w:jc w:val="left"/>
              <w:rPr>
                <w:rFonts w:ascii="宋体" w:hAnsi="宋体" w:cs="宋体" w:eastAsia="宋体" w:hint="default"/>
                <w:sz w:val="18"/>
                <w:szCs w:val="18"/>
              </w:rPr>
            </w:pPr>
            <w:r>
              <w:rPr>
                <w:rFonts w:ascii="宋体" w:hAnsi="宋体" w:cs="宋体" w:eastAsia="宋体" w:hint="default"/>
                <w:sz w:val="18"/>
                <w:szCs w:val="18"/>
              </w:rPr>
              <w:t>郑州新开普科技 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华中地区</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郑州</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72"/>
              <w:jc w:val="both"/>
              <w:rPr>
                <w:rFonts w:ascii="宋体" w:hAnsi="宋体" w:cs="宋体" w:eastAsia="宋体" w:hint="default"/>
                <w:sz w:val="18"/>
                <w:szCs w:val="18"/>
              </w:rPr>
            </w:pPr>
            <w:r>
              <w:rPr>
                <w:rFonts w:ascii="宋体" w:hAnsi="宋体" w:cs="宋体" w:eastAsia="宋体" w:hint="default"/>
                <w:sz w:val="18"/>
                <w:szCs w:val="18"/>
              </w:rPr>
              <w:t>网络技术、计算 机软硬件技术开 发、咨询服务</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1026"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22" w:right="77"/>
              <w:jc w:val="left"/>
              <w:rPr>
                <w:rFonts w:ascii="宋体" w:hAnsi="宋体" w:cs="宋体" w:eastAsia="宋体" w:hint="default"/>
                <w:sz w:val="18"/>
                <w:szCs w:val="18"/>
              </w:rPr>
            </w:pPr>
            <w:r>
              <w:rPr>
                <w:rFonts w:ascii="宋体" w:hAnsi="宋体" w:cs="宋体" w:eastAsia="宋体" w:hint="default"/>
                <w:sz w:val="18"/>
                <w:szCs w:val="18"/>
              </w:rPr>
              <w:t>郑州惠品优购商 贸有限公司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华中地区</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郑州</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72"/>
              <w:jc w:val="both"/>
              <w:rPr>
                <w:rFonts w:ascii="宋体" w:hAnsi="宋体" w:cs="宋体" w:eastAsia="宋体" w:hint="default"/>
                <w:sz w:val="18"/>
                <w:szCs w:val="18"/>
              </w:rPr>
            </w:pPr>
            <w:r>
              <w:rPr>
                <w:rFonts w:ascii="宋体" w:hAnsi="宋体" w:cs="宋体" w:eastAsia="宋体" w:hint="default"/>
                <w:sz w:val="18"/>
                <w:szCs w:val="18"/>
              </w:rPr>
              <w:t>日用百货、电子 产品及户外设备 批发</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714"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22" w:right="112"/>
              <w:jc w:val="left"/>
              <w:rPr>
                <w:rFonts w:ascii="宋体" w:hAnsi="宋体" w:cs="宋体" w:eastAsia="宋体" w:hint="default"/>
                <w:sz w:val="18"/>
                <w:szCs w:val="18"/>
              </w:rPr>
            </w:pPr>
            <w:r>
              <w:rPr>
                <w:rFonts w:ascii="宋体" w:hAnsi="宋体" w:cs="宋体" w:eastAsia="宋体" w:hint="default"/>
                <w:spacing w:val="-5"/>
                <w:sz w:val="18"/>
                <w:szCs w:val="18"/>
              </w:rPr>
              <w:t>完美数联（北京</w:t>
            </w:r>
            <w:r>
              <w:rPr>
                <w:rFonts w:ascii="宋体" w:hAnsi="宋体" w:cs="宋体" w:eastAsia="宋体" w:hint="default"/>
                <w:sz w:val="18"/>
                <w:szCs w:val="18"/>
              </w:rPr>
              <w:t> 科技有限公司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196" w:lineRule="exact" w:before="53"/>
              <w:ind w:left="-124" w:right="0"/>
              <w:jc w:val="left"/>
              <w:rPr>
                <w:rFonts w:ascii="宋体" w:hAnsi="宋体" w:cs="宋体" w:eastAsia="宋体" w:hint="default"/>
                <w:sz w:val="18"/>
                <w:szCs w:val="18"/>
              </w:rPr>
            </w:pPr>
            <w:r>
              <w:rPr>
                <w:rFonts w:ascii="宋体" w:hAnsi="宋体" w:cs="宋体" w:eastAsia="宋体" w:hint="default"/>
                <w:sz w:val="18"/>
                <w:szCs w:val="18"/>
              </w:rPr>
              <w:t>）</w:t>
            </w:r>
          </w:p>
          <w:p>
            <w:pPr>
              <w:pStyle w:val="TableParagraph"/>
              <w:spacing w:line="196" w:lineRule="exact"/>
              <w:ind w:left="22" w:right="0"/>
              <w:jc w:val="left"/>
              <w:rPr>
                <w:rFonts w:ascii="宋体" w:hAnsi="宋体" w:cs="宋体" w:eastAsia="宋体" w:hint="default"/>
                <w:sz w:val="18"/>
                <w:szCs w:val="18"/>
              </w:rPr>
            </w:pPr>
            <w:r>
              <w:rPr>
                <w:rFonts w:ascii="宋体" w:hAnsi="宋体" w:cs="宋体" w:eastAsia="宋体" w:hint="default"/>
                <w:sz w:val="18"/>
                <w:szCs w:val="18"/>
              </w:rPr>
              <w:t>华北地区</w:t>
            </w:r>
          </w:p>
          <w:p>
            <w:pPr>
              <w:pStyle w:val="TableParagraph"/>
              <w:spacing w:line="559" w:lineRule="exact"/>
              <w:ind w:right="-38"/>
              <w:jc w:val="left"/>
              <w:rPr>
                <w:rFonts w:ascii="宋体" w:hAnsi="宋体" w:cs="宋体" w:eastAsia="宋体" w:hint="default"/>
                <w:sz w:val="20"/>
                <w:szCs w:val="20"/>
              </w:rPr>
            </w:pPr>
            <w:r>
              <w:rPr>
                <w:rFonts w:ascii="宋体" w:hAnsi="宋体" w:cs="宋体" w:eastAsia="宋体" w:hint="default"/>
                <w:position w:val="-10"/>
                <w:sz w:val="20"/>
                <w:szCs w:val="20"/>
              </w:rPr>
              <w:pict>
                <v:group style="width:67.9pt;height:27.95pt;mso-position-horizontal-relative:char;mso-position-vertical-relative:line" coordorigin="0,0" coordsize="1358,559">
                  <v:group style="position:absolute;left:0;top:0;width:1358;height:157" coordorigin="0,0" coordsize="1358,157">
                    <v:shape style="position:absolute;left:0;top:0;width:1358;height:157" coordorigin="0,0" coordsize="1358,157" path="m0,156l1357,156,1357,0,0,0,0,156xe" filled="true" fillcolor="#ffffff" stroked="false">
                      <v:path arrowok="t"/>
                      <v:fill type="solid"/>
                    </v:shape>
                  </v:group>
                  <v:group style="position:absolute;left:11;top:156;width:2;height:392" coordorigin="11,156" coordsize="2,392">
                    <v:shape style="position:absolute;left:11;top:156;width:2;height:392" coordorigin="11,156" coordsize="0,392" path="m11,156l11,548e" filled="false" stroked="true" strokeweight="1.140pt" strokecolor="#ffffff">
                      <v:path arrowok="t"/>
                    </v:shape>
                  </v:group>
                  <v:group style="position:absolute;left:23;top:156;width:1311;height:392" coordorigin="23,156" coordsize="1311,392">
                    <v:shape style="position:absolute;left:23;top:156;width:1311;height:392" coordorigin="23,156" coordsize="1311,392" path="m23,548l1333,548,1333,156,23,156,23,548xe" filled="true" fillcolor="#ffffff" stroked="false">
                      <v:path arrowok="t"/>
                      <v:fill type="solid"/>
                    </v:shape>
                  </v:group>
                </v:group>
              </w:pict>
            </w:r>
            <w:r>
              <w:rPr>
                <w:rFonts w:ascii="宋体" w:hAnsi="宋体" w:cs="宋体" w:eastAsia="宋体" w:hint="default"/>
                <w:position w:val="-10"/>
                <w:sz w:val="20"/>
                <w:szCs w:val="20"/>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22" w:right="72"/>
              <w:jc w:val="left"/>
              <w:rPr>
                <w:rFonts w:ascii="宋体" w:hAnsi="宋体" w:cs="宋体" w:eastAsia="宋体" w:hint="default"/>
                <w:sz w:val="18"/>
                <w:szCs w:val="18"/>
              </w:rPr>
            </w:pPr>
            <w:r>
              <w:rPr>
                <w:rFonts w:ascii="宋体" w:hAnsi="宋体" w:cs="宋体" w:eastAsia="宋体" w:hint="default"/>
                <w:sz w:val="18"/>
                <w:szCs w:val="18"/>
              </w:rPr>
              <w:t>科技推广和应用 服务</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85.71%</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403"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22" w:right="0"/>
              <w:jc w:val="left"/>
              <w:rPr>
                <w:rFonts w:ascii="宋体" w:hAnsi="宋体" w:cs="宋体" w:eastAsia="宋体" w:hint="default"/>
                <w:sz w:val="18"/>
                <w:szCs w:val="18"/>
              </w:rPr>
            </w:pPr>
            <w:r>
              <w:rPr>
                <w:rFonts w:ascii="宋体" w:hAnsi="宋体" w:cs="宋体" w:eastAsia="宋体" w:hint="default"/>
                <w:sz w:val="18"/>
                <w:szCs w:val="18"/>
              </w:rPr>
              <w:t>北京开普力维科</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华北地区</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22" w:right="0"/>
              <w:jc w:val="left"/>
              <w:rPr>
                <w:rFonts w:ascii="宋体" w:hAnsi="宋体" w:cs="宋体" w:eastAsia="宋体" w:hint="default"/>
                <w:sz w:val="18"/>
                <w:szCs w:val="18"/>
              </w:rPr>
            </w:pPr>
            <w:r>
              <w:rPr>
                <w:rFonts w:ascii="宋体" w:hAnsi="宋体" w:cs="宋体" w:eastAsia="宋体" w:hint="default"/>
                <w:sz w:val="18"/>
                <w:szCs w:val="18"/>
              </w:rPr>
              <w:t>软件和信息技术</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51.00%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设立</w:t>
            </w:r>
          </w:p>
        </w:tc>
      </w:tr>
    </w:tbl>
    <w:p>
      <w:pPr>
        <w:spacing w:after="0" w:line="240" w:lineRule="auto"/>
        <w:jc w:val="left"/>
        <w:rPr>
          <w:rFonts w:ascii="宋体" w:hAnsi="宋体" w:cs="宋体" w:eastAsia="宋体" w:hint="default"/>
          <w:sz w:val="18"/>
          <w:szCs w:val="18"/>
        </w:rPr>
        <w:sectPr>
          <w:pgSz w:w="11910" w:h="16840"/>
          <w:pgMar w:header="877" w:footer="979" w:top="1060" w:bottom="1160" w:left="980" w:right="0"/>
        </w:sectPr>
      </w:pPr>
    </w:p>
    <w:p>
      <w:pPr>
        <w:spacing w:line="240" w:lineRule="auto" w:before="6"/>
        <w:rPr>
          <w:rFonts w:ascii="宋体" w:hAnsi="宋体" w:cs="宋体" w:eastAsia="宋体" w:hint="default"/>
          <w:b/>
          <w:bCs/>
          <w:sz w:val="28"/>
          <w:szCs w:val="28"/>
        </w:rPr>
      </w:pPr>
    </w:p>
    <w:tbl>
      <w:tblPr>
        <w:tblW w:w="0" w:type="auto"/>
        <w:jc w:val="left"/>
        <w:tblInd w:w="146" w:type="dxa"/>
        <w:tblLayout w:type="fixed"/>
        <w:tblCellMar>
          <w:top w:w="0" w:type="dxa"/>
          <w:left w:w="0" w:type="dxa"/>
          <w:bottom w:w="0" w:type="dxa"/>
          <w:right w:w="0" w:type="dxa"/>
        </w:tblCellMar>
        <w:tblLook w:val="01E0"/>
      </w:tblPr>
      <w:tblGrid>
        <w:gridCol w:w="1374"/>
        <w:gridCol w:w="1367"/>
        <w:gridCol w:w="1367"/>
        <w:gridCol w:w="1367"/>
        <w:gridCol w:w="1367"/>
        <w:gridCol w:w="1367"/>
        <w:gridCol w:w="1366"/>
      </w:tblGrid>
      <w:tr>
        <w:trPr>
          <w:trHeight w:val="362" w:hRule="exact"/>
        </w:trPr>
        <w:tc>
          <w:tcPr>
            <w:tcW w:w="13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技有限公司</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服务</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bl>
    <w:p>
      <w:pPr>
        <w:spacing w:line="360" w:lineRule="auto" w:before="51"/>
        <w:ind w:left="154" w:right="2832" w:firstLine="0"/>
        <w:jc w:val="left"/>
        <w:rPr>
          <w:rFonts w:ascii="宋体" w:hAnsi="宋体" w:cs="宋体" w:eastAsia="宋体" w:hint="default"/>
          <w:sz w:val="18"/>
          <w:szCs w:val="18"/>
        </w:rPr>
      </w:pPr>
      <w:r>
        <w:rPr>
          <w:rFonts w:ascii="宋体" w:hAnsi="宋体" w:cs="宋体" w:eastAsia="宋体" w:hint="default"/>
          <w:sz w:val="18"/>
          <w:szCs w:val="18"/>
        </w:rPr>
        <w:t>在子公司的持股比例不同于表决权比例的说明： 持有半数或以下表决权但仍控制被投资单位、以及持有半数以上表决权但不控制被投资单位的依据： 对于纳入合并范围的重要的结构化主体，控制的依据：</w:t>
      </w:r>
    </w:p>
    <w:p>
      <w:pPr>
        <w:spacing w:line="360" w:lineRule="auto" w:before="26"/>
        <w:ind w:left="154" w:right="7692" w:firstLine="0"/>
        <w:jc w:val="left"/>
        <w:rPr>
          <w:rFonts w:ascii="宋体" w:hAnsi="宋体" w:cs="宋体" w:eastAsia="宋体" w:hint="default"/>
          <w:sz w:val="18"/>
          <w:szCs w:val="18"/>
        </w:rPr>
      </w:pPr>
      <w:r>
        <w:rPr>
          <w:rFonts w:ascii="宋体" w:hAnsi="宋体" w:cs="宋体" w:eastAsia="宋体" w:hint="default"/>
          <w:sz w:val="18"/>
          <w:szCs w:val="18"/>
        </w:rPr>
        <w:t>确定公司是代理人还是委托人的依据： 其他说明：</w:t>
      </w:r>
    </w:p>
    <w:p>
      <w:pPr>
        <w:spacing w:line="240" w:lineRule="auto" w:before="11"/>
        <w:rPr>
          <w:rFonts w:ascii="宋体" w:hAnsi="宋体" w:cs="宋体" w:eastAsia="宋体" w:hint="default"/>
          <w:sz w:val="19"/>
          <w:szCs w:val="19"/>
        </w:rPr>
      </w:pPr>
    </w:p>
    <w:p>
      <w:pPr>
        <w:pStyle w:val="Heading4"/>
        <w:spacing w:line="240" w:lineRule="auto"/>
        <w:ind w:right="1117"/>
        <w:jc w:val="left"/>
        <w:rPr>
          <w:b w:val="0"/>
          <w:bCs w:val="0"/>
        </w:rPr>
      </w:pPr>
      <w:bookmarkStart w:name="（2）重要的非全资子公司" w:id="364"/>
      <w:bookmarkEnd w:id="364"/>
      <w:r>
        <w:rPr>
          <w:b w:val="0"/>
          <w:bCs w:val="0"/>
        </w:rPr>
      </w:r>
      <w:r>
        <w:rPr/>
        <w:t>（</w:t>
      </w:r>
      <w:r>
        <w:rPr>
          <w:rFonts w:ascii="Times New Roman" w:hAnsi="Times New Roman" w:cs="Times New Roman" w:eastAsia="Times New Roman" w:hint="default"/>
        </w:rPr>
        <w:t>2</w:t>
      </w:r>
      <w:r>
        <w:rPr/>
        <w:t>）重要的非全资子公司</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917"/>
        <w:gridCol w:w="1914"/>
        <w:gridCol w:w="1914"/>
        <w:gridCol w:w="1913"/>
        <w:gridCol w:w="1913"/>
      </w:tblGrid>
      <w:tr>
        <w:trPr>
          <w:trHeight w:val="764" w:hRule="exact"/>
        </w:trPr>
        <w:tc>
          <w:tcPr>
            <w:tcW w:w="19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left="503" w:right="0"/>
              <w:jc w:val="left"/>
              <w:rPr>
                <w:rFonts w:ascii="宋体" w:hAnsi="宋体" w:cs="宋体" w:eastAsia="宋体" w:hint="default"/>
                <w:sz w:val="18"/>
                <w:szCs w:val="18"/>
              </w:rPr>
            </w:pPr>
            <w:r>
              <w:rPr>
                <w:rFonts w:ascii="宋体" w:hAnsi="宋体" w:cs="宋体" w:eastAsia="宋体" w:hint="default"/>
                <w:sz w:val="18"/>
                <w:szCs w:val="18"/>
              </w:rPr>
              <w:t>子公司名称</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left="231" w:right="0"/>
              <w:jc w:val="left"/>
              <w:rPr>
                <w:rFonts w:ascii="宋体" w:hAnsi="宋体" w:cs="宋体" w:eastAsia="宋体" w:hint="default"/>
                <w:sz w:val="18"/>
                <w:szCs w:val="18"/>
              </w:rPr>
            </w:pPr>
            <w:r>
              <w:rPr>
                <w:rFonts w:ascii="宋体" w:hAnsi="宋体" w:cs="宋体" w:eastAsia="宋体" w:hint="default"/>
                <w:sz w:val="18"/>
                <w:szCs w:val="18"/>
              </w:rPr>
              <w:t>少数股东持股比例</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76"/>
              <w:ind w:left="771" w:right="50" w:hanging="720"/>
              <w:jc w:val="left"/>
              <w:rPr>
                <w:rFonts w:ascii="宋体" w:hAnsi="宋体" w:cs="宋体" w:eastAsia="宋体" w:hint="default"/>
                <w:sz w:val="18"/>
                <w:szCs w:val="18"/>
              </w:rPr>
            </w:pPr>
            <w:r>
              <w:rPr>
                <w:rFonts w:ascii="宋体" w:hAnsi="宋体" w:cs="宋体" w:eastAsia="宋体" w:hint="default"/>
                <w:sz w:val="18"/>
                <w:szCs w:val="18"/>
              </w:rPr>
              <w:t>本期归属于少数股东的 损益</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76"/>
              <w:ind w:left="591" w:right="51" w:hanging="540"/>
              <w:jc w:val="left"/>
              <w:rPr>
                <w:rFonts w:ascii="宋体" w:hAnsi="宋体" w:cs="宋体" w:eastAsia="宋体" w:hint="default"/>
                <w:sz w:val="18"/>
                <w:szCs w:val="18"/>
              </w:rPr>
            </w:pPr>
            <w:r>
              <w:rPr>
                <w:rFonts w:ascii="宋体" w:hAnsi="宋体" w:cs="宋体" w:eastAsia="宋体" w:hint="default"/>
                <w:sz w:val="18"/>
                <w:szCs w:val="18"/>
              </w:rPr>
              <w:t>本期向少数股东宣告分 派的股利</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right="49"/>
              <w:jc w:val="right"/>
              <w:rPr>
                <w:rFonts w:ascii="宋体" w:hAnsi="宋体" w:cs="宋体" w:eastAsia="宋体" w:hint="default"/>
                <w:sz w:val="18"/>
                <w:szCs w:val="18"/>
              </w:rPr>
            </w:pPr>
            <w:r>
              <w:rPr>
                <w:rFonts w:ascii="宋体" w:hAnsi="宋体" w:cs="宋体" w:eastAsia="宋体" w:hint="default"/>
                <w:sz w:val="18"/>
                <w:szCs w:val="18"/>
              </w:rPr>
              <w:t>期末少数股东权益余额</w:t>
            </w:r>
          </w:p>
        </w:tc>
      </w:tr>
      <w:tr>
        <w:trPr>
          <w:trHeight w:val="714" w:hRule="exact"/>
        </w:trPr>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82"/>
              <w:jc w:val="left"/>
              <w:rPr>
                <w:rFonts w:ascii="宋体" w:hAnsi="宋体" w:cs="宋体" w:eastAsia="宋体" w:hint="default"/>
                <w:sz w:val="18"/>
                <w:szCs w:val="18"/>
              </w:rPr>
            </w:pPr>
            <w:r>
              <w:rPr>
                <w:rFonts w:ascii="宋体" w:hAnsi="宋体" w:cs="宋体" w:eastAsia="宋体" w:hint="default"/>
                <w:sz w:val="18"/>
                <w:szCs w:val="18"/>
              </w:rPr>
              <w:t>福建新开普信息科技有 限公司</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49.00%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41" w:right="0"/>
              <w:jc w:val="left"/>
              <w:rPr>
                <w:rFonts w:ascii="Times New Roman" w:hAnsi="Times New Roman" w:cs="Times New Roman" w:eastAsia="Times New Roman" w:hint="default"/>
                <w:sz w:val="18"/>
                <w:szCs w:val="18"/>
              </w:rPr>
            </w:pPr>
            <w:r>
              <w:rPr>
                <w:rFonts w:ascii="Times New Roman"/>
                <w:sz w:val="18"/>
              </w:rPr>
              <w:t>1,282,211.36</w:t>
            </w: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20,153,654.90</w:t>
            </w:r>
          </w:p>
        </w:tc>
      </w:tr>
    </w:tbl>
    <w:p>
      <w:pPr>
        <w:spacing w:line="360" w:lineRule="auto" w:before="51"/>
        <w:ind w:left="154" w:right="6432" w:firstLine="0"/>
        <w:jc w:val="left"/>
        <w:rPr>
          <w:rFonts w:ascii="宋体" w:hAnsi="宋体" w:cs="宋体" w:eastAsia="宋体" w:hint="default"/>
          <w:sz w:val="18"/>
          <w:szCs w:val="18"/>
        </w:rPr>
      </w:pPr>
      <w:r>
        <w:rPr>
          <w:rFonts w:ascii="宋体" w:hAnsi="宋体" w:cs="宋体" w:eastAsia="宋体" w:hint="default"/>
          <w:sz w:val="18"/>
          <w:szCs w:val="18"/>
        </w:rPr>
        <w:t>子公司少数股东的持股比例不同于表决权比例的说明： 其他说明：</w:t>
      </w:r>
    </w:p>
    <w:p>
      <w:pPr>
        <w:spacing w:line="240" w:lineRule="auto" w:before="11"/>
        <w:rPr>
          <w:rFonts w:ascii="宋体" w:hAnsi="宋体" w:cs="宋体" w:eastAsia="宋体" w:hint="default"/>
          <w:sz w:val="19"/>
          <w:szCs w:val="19"/>
        </w:rPr>
      </w:pPr>
    </w:p>
    <w:p>
      <w:pPr>
        <w:pStyle w:val="Heading4"/>
        <w:spacing w:line="240" w:lineRule="auto"/>
        <w:ind w:right="1117"/>
        <w:jc w:val="left"/>
        <w:rPr>
          <w:b w:val="0"/>
          <w:bCs w:val="0"/>
        </w:rPr>
      </w:pPr>
      <w:bookmarkStart w:name="（3）重要非全资子公司的主要财务信息" w:id="365"/>
      <w:bookmarkEnd w:id="365"/>
      <w:r>
        <w:rPr>
          <w:b w:val="0"/>
          <w:bCs w:val="0"/>
        </w:rPr>
      </w:r>
      <w:r>
        <w:rPr/>
        <w:t>（</w:t>
      </w:r>
      <w:r>
        <w:rPr>
          <w:rFonts w:ascii="Times New Roman" w:hAnsi="Times New Roman" w:cs="Times New Roman" w:eastAsia="Times New Roman" w:hint="default"/>
        </w:rPr>
        <w:t>3</w:t>
      </w:r>
      <w:r>
        <w:rPr/>
        <w:t>）重要非全资子公司的主要财务信息</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736"/>
        <w:gridCol w:w="737"/>
        <w:gridCol w:w="736"/>
        <w:gridCol w:w="736"/>
        <w:gridCol w:w="737"/>
        <w:gridCol w:w="735"/>
        <w:gridCol w:w="736"/>
        <w:gridCol w:w="734"/>
        <w:gridCol w:w="736"/>
        <w:gridCol w:w="735"/>
        <w:gridCol w:w="737"/>
        <w:gridCol w:w="737"/>
        <w:gridCol w:w="736"/>
      </w:tblGrid>
      <w:tr>
        <w:trPr>
          <w:trHeight w:val="402" w:hRule="exact"/>
        </w:trPr>
        <w:tc>
          <w:tcPr>
            <w:tcW w:w="73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sz w:val="19"/>
                <w:szCs w:val="19"/>
              </w:rPr>
            </w:pPr>
          </w:p>
          <w:p>
            <w:pPr>
              <w:pStyle w:val="TableParagraph"/>
              <w:spacing w:line="316" w:lineRule="auto"/>
              <w:ind w:left="182" w:right="93" w:hanging="90"/>
              <w:jc w:val="left"/>
              <w:rPr>
                <w:rFonts w:ascii="宋体" w:hAnsi="宋体" w:cs="宋体" w:eastAsia="宋体" w:hint="default"/>
                <w:sz w:val="18"/>
                <w:szCs w:val="18"/>
              </w:rPr>
            </w:pPr>
            <w:r>
              <w:rPr>
                <w:rFonts w:ascii="宋体" w:hAnsi="宋体" w:cs="宋体" w:eastAsia="宋体" w:hint="default"/>
                <w:sz w:val="18"/>
                <w:szCs w:val="18"/>
              </w:rPr>
              <w:t>子公司 名称</w:t>
            </w:r>
          </w:p>
        </w:tc>
        <w:tc>
          <w:tcPr>
            <w:tcW w:w="4415"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414"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714" w:hRule="exact"/>
        </w:trPr>
        <w:tc>
          <w:tcPr>
            <w:tcW w:w="736" w:type="dxa"/>
            <w:vMerge/>
            <w:tcBorders>
              <w:left w:val="single" w:sz="4" w:space="0" w:color="000000"/>
              <w:bottom w:val="single" w:sz="4" w:space="0" w:color="000000"/>
              <w:right w:val="single" w:sz="4" w:space="0" w:color="000000"/>
            </w:tcBorders>
            <w:shd w:val="clear" w:color="auto" w:fill="D2D2D2"/>
          </w:tcPr>
          <w:p>
            <w:pP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73" w:right="91" w:hanging="180"/>
              <w:jc w:val="left"/>
              <w:rPr>
                <w:rFonts w:ascii="宋体" w:hAnsi="宋体" w:cs="宋体" w:eastAsia="宋体" w:hint="default"/>
                <w:sz w:val="18"/>
                <w:szCs w:val="18"/>
              </w:rPr>
            </w:pPr>
            <w:r>
              <w:rPr>
                <w:rFonts w:ascii="宋体" w:hAnsi="宋体" w:cs="宋体" w:eastAsia="宋体" w:hint="default"/>
                <w:sz w:val="18"/>
                <w:szCs w:val="18"/>
              </w:rPr>
              <w:t>流动资 产</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82" w:right="91" w:hanging="90"/>
              <w:jc w:val="left"/>
              <w:rPr>
                <w:rFonts w:ascii="宋体" w:hAnsi="宋体" w:cs="宋体" w:eastAsia="宋体" w:hint="default"/>
                <w:sz w:val="18"/>
                <w:szCs w:val="18"/>
              </w:rPr>
            </w:pPr>
            <w:r>
              <w:rPr>
                <w:rFonts w:ascii="宋体" w:hAnsi="宋体" w:cs="宋体" w:eastAsia="宋体" w:hint="default"/>
                <w:sz w:val="18"/>
                <w:szCs w:val="18"/>
              </w:rPr>
              <w:t>非流动 资产</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72" w:right="91" w:hanging="180"/>
              <w:jc w:val="left"/>
              <w:rPr>
                <w:rFonts w:ascii="宋体" w:hAnsi="宋体" w:cs="宋体" w:eastAsia="宋体" w:hint="default"/>
                <w:sz w:val="18"/>
                <w:szCs w:val="18"/>
              </w:rPr>
            </w:pPr>
            <w:r>
              <w:rPr>
                <w:rFonts w:ascii="宋体" w:hAnsi="宋体" w:cs="宋体" w:eastAsia="宋体" w:hint="default"/>
                <w:sz w:val="18"/>
                <w:szCs w:val="18"/>
              </w:rPr>
              <w:t>资产合 计</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73" w:right="91" w:hanging="180"/>
              <w:jc w:val="left"/>
              <w:rPr>
                <w:rFonts w:ascii="宋体" w:hAnsi="宋体" w:cs="宋体" w:eastAsia="宋体" w:hint="default"/>
                <w:sz w:val="18"/>
                <w:szCs w:val="18"/>
              </w:rPr>
            </w:pPr>
            <w:r>
              <w:rPr>
                <w:rFonts w:ascii="宋体" w:hAnsi="宋体" w:cs="宋体" w:eastAsia="宋体" w:hint="default"/>
                <w:sz w:val="18"/>
                <w:szCs w:val="18"/>
              </w:rPr>
              <w:t>流动负 债</w:t>
            </w:r>
          </w:p>
        </w:tc>
        <w:tc>
          <w:tcPr>
            <w:tcW w:w="7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82" w:right="90" w:hanging="90"/>
              <w:jc w:val="left"/>
              <w:rPr>
                <w:rFonts w:ascii="宋体" w:hAnsi="宋体" w:cs="宋体" w:eastAsia="宋体" w:hint="default"/>
                <w:sz w:val="18"/>
                <w:szCs w:val="18"/>
              </w:rPr>
            </w:pPr>
            <w:r>
              <w:rPr>
                <w:rFonts w:ascii="宋体" w:hAnsi="宋体" w:cs="宋体" w:eastAsia="宋体" w:hint="default"/>
                <w:sz w:val="18"/>
                <w:szCs w:val="18"/>
              </w:rPr>
              <w:t>非流动 负债</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72" w:right="91" w:hanging="180"/>
              <w:jc w:val="left"/>
              <w:rPr>
                <w:rFonts w:ascii="宋体" w:hAnsi="宋体" w:cs="宋体" w:eastAsia="宋体" w:hint="default"/>
                <w:sz w:val="18"/>
                <w:szCs w:val="18"/>
              </w:rPr>
            </w:pPr>
            <w:r>
              <w:rPr>
                <w:rFonts w:ascii="宋体" w:hAnsi="宋体" w:cs="宋体" w:eastAsia="宋体" w:hint="default"/>
                <w:sz w:val="18"/>
                <w:szCs w:val="18"/>
              </w:rPr>
              <w:t>负债合 计</w:t>
            </w: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72" w:right="90" w:hanging="180"/>
              <w:jc w:val="left"/>
              <w:rPr>
                <w:rFonts w:ascii="宋体" w:hAnsi="宋体" w:cs="宋体" w:eastAsia="宋体" w:hint="default"/>
                <w:sz w:val="18"/>
                <w:szCs w:val="18"/>
              </w:rPr>
            </w:pPr>
            <w:r>
              <w:rPr>
                <w:rFonts w:ascii="宋体" w:hAnsi="宋体" w:cs="宋体" w:eastAsia="宋体" w:hint="default"/>
                <w:sz w:val="18"/>
                <w:szCs w:val="18"/>
              </w:rPr>
              <w:t>流动资 产</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82" w:right="91" w:hanging="90"/>
              <w:jc w:val="left"/>
              <w:rPr>
                <w:rFonts w:ascii="宋体" w:hAnsi="宋体" w:cs="宋体" w:eastAsia="宋体" w:hint="default"/>
                <w:sz w:val="18"/>
                <w:szCs w:val="18"/>
              </w:rPr>
            </w:pPr>
            <w:r>
              <w:rPr>
                <w:rFonts w:ascii="宋体" w:hAnsi="宋体" w:cs="宋体" w:eastAsia="宋体" w:hint="default"/>
                <w:sz w:val="18"/>
                <w:szCs w:val="18"/>
              </w:rPr>
              <w:t>非流动 资产</w:t>
            </w:r>
          </w:p>
        </w:tc>
        <w:tc>
          <w:tcPr>
            <w:tcW w:w="7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72" w:right="90" w:hanging="180"/>
              <w:jc w:val="left"/>
              <w:rPr>
                <w:rFonts w:ascii="宋体" w:hAnsi="宋体" w:cs="宋体" w:eastAsia="宋体" w:hint="default"/>
                <w:sz w:val="18"/>
                <w:szCs w:val="18"/>
              </w:rPr>
            </w:pPr>
            <w:r>
              <w:rPr>
                <w:rFonts w:ascii="宋体" w:hAnsi="宋体" w:cs="宋体" w:eastAsia="宋体" w:hint="default"/>
                <w:sz w:val="18"/>
                <w:szCs w:val="18"/>
              </w:rPr>
              <w:t>资产合 计</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73" w:right="91" w:hanging="180"/>
              <w:jc w:val="left"/>
              <w:rPr>
                <w:rFonts w:ascii="宋体" w:hAnsi="宋体" w:cs="宋体" w:eastAsia="宋体" w:hint="default"/>
                <w:sz w:val="18"/>
                <w:szCs w:val="18"/>
              </w:rPr>
            </w:pPr>
            <w:r>
              <w:rPr>
                <w:rFonts w:ascii="宋体" w:hAnsi="宋体" w:cs="宋体" w:eastAsia="宋体" w:hint="default"/>
                <w:sz w:val="18"/>
                <w:szCs w:val="18"/>
              </w:rPr>
              <w:t>流动负 债</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83" w:right="91" w:hanging="90"/>
              <w:jc w:val="left"/>
              <w:rPr>
                <w:rFonts w:ascii="宋体" w:hAnsi="宋体" w:cs="宋体" w:eastAsia="宋体" w:hint="default"/>
                <w:sz w:val="18"/>
                <w:szCs w:val="18"/>
              </w:rPr>
            </w:pPr>
            <w:r>
              <w:rPr>
                <w:rFonts w:ascii="宋体" w:hAnsi="宋体" w:cs="宋体" w:eastAsia="宋体" w:hint="default"/>
                <w:sz w:val="18"/>
                <w:szCs w:val="18"/>
              </w:rPr>
              <w:t>非流动 负债</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72" w:right="91" w:hanging="180"/>
              <w:jc w:val="left"/>
              <w:rPr>
                <w:rFonts w:ascii="宋体" w:hAnsi="宋体" w:cs="宋体" w:eastAsia="宋体" w:hint="default"/>
                <w:sz w:val="18"/>
                <w:szCs w:val="18"/>
              </w:rPr>
            </w:pPr>
            <w:r>
              <w:rPr>
                <w:rFonts w:ascii="宋体" w:hAnsi="宋体" w:cs="宋体" w:eastAsia="宋体" w:hint="default"/>
                <w:sz w:val="18"/>
                <w:szCs w:val="18"/>
              </w:rPr>
              <w:t>负债合 计</w:t>
            </w:r>
          </w:p>
        </w:tc>
      </w:tr>
      <w:tr>
        <w:trPr>
          <w:trHeight w:val="1650" w:hRule="exact"/>
        </w:trPr>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61"/>
              <w:jc w:val="both"/>
              <w:rPr>
                <w:rFonts w:ascii="宋体" w:hAnsi="宋体" w:cs="宋体" w:eastAsia="宋体" w:hint="default"/>
                <w:sz w:val="18"/>
                <w:szCs w:val="18"/>
              </w:rPr>
            </w:pPr>
            <w:r>
              <w:rPr>
                <w:rFonts w:ascii="宋体" w:hAnsi="宋体" w:cs="宋体" w:eastAsia="宋体" w:hint="default"/>
                <w:sz w:val="18"/>
                <w:szCs w:val="18"/>
              </w:rPr>
              <w:t>福建新 开普信 息科技 有限公 司</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81" w:right="0"/>
              <w:jc w:val="left"/>
              <w:rPr>
                <w:rFonts w:ascii="Times New Roman" w:hAnsi="Times New Roman" w:cs="Times New Roman" w:eastAsia="Times New Roman" w:hint="default"/>
                <w:sz w:val="18"/>
                <w:szCs w:val="18"/>
              </w:rPr>
            </w:pPr>
            <w:r>
              <w:rPr>
                <w:rFonts w:ascii="Times New Roman"/>
                <w:sz w:val="18"/>
              </w:rPr>
              <w:t>54,110,9</w:t>
            </w:r>
          </w:p>
          <w:p>
            <w:pPr>
              <w:pStyle w:val="TableParagraph"/>
              <w:spacing w:line="240" w:lineRule="auto" w:before="106"/>
              <w:ind w:left="299" w:right="0"/>
              <w:jc w:val="left"/>
              <w:rPr>
                <w:rFonts w:ascii="Times New Roman" w:hAnsi="Times New Roman" w:cs="Times New Roman" w:eastAsia="Times New Roman" w:hint="default"/>
                <w:sz w:val="18"/>
                <w:szCs w:val="18"/>
              </w:rPr>
            </w:pPr>
            <w:r>
              <w:rPr>
                <w:rFonts w:ascii="Times New Roman"/>
                <w:sz w:val="18"/>
              </w:rPr>
              <w:t>75.67</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73" w:right="0"/>
              <w:jc w:val="left"/>
              <w:rPr>
                <w:rFonts w:ascii="Times New Roman" w:hAnsi="Times New Roman" w:cs="Times New Roman" w:eastAsia="Times New Roman" w:hint="default"/>
                <w:sz w:val="18"/>
                <w:szCs w:val="18"/>
              </w:rPr>
            </w:pPr>
            <w:r>
              <w:rPr>
                <w:rFonts w:ascii="Times New Roman"/>
                <w:sz w:val="18"/>
              </w:rPr>
              <w:t>24,617,0</w:t>
            </w:r>
          </w:p>
          <w:p>
            <w:pPr>
              <w:pStyle w:val="TableParagraph"/>
              <w:spacing w:line="240" w:lineRule="auto" w:before="106"/>
              <w:ind w:left="298" w:right="0"/>
              <w:jc w:val="left"/>
              <w:rPr>
                <w:rFonts w:ascii="Times New Roman" w:hAnsi="Times New Roman" w:cs="Times New Roman" w:eastAsia="Times New Roman" w:hint="default"/>
                <w:sz w:val="18"/>
                <w:szCs w:val="18"/>
              </w:rPr>
            </w:pPr>
            <w:r>
              <w:rPr>
                <w:rFonts w:ascii="Times New Roman"/>
                <w:sz w:val="18"/>
              </w:rPr>
              <w:t>10.41</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73" w:right="0"/>
              <w:jc w:val="left"/>
              <w:rPr>
                <w:rFonts w:ascii="Times New Roman" w:hAnsi="Times New Roman" w:cs="Times New Roman" w:eastAsia="Times New Roman" w:hint="default"/>
                <w:sz w:val="18"/>
                <w:szCs w:val="18"/>
              </w:rPr>
            </w:pPr>
            <w:r>
              <w:rPr>
                <w:rFonts w:ascii="Times New Roman"/>
                <w:sz w:val="18"/>
              </w:rPr>
              <w:t>78,727,9</w:t>
            </w:r>
          </w:p>
          <w:p>
            <w:pPr>
              <w:pStyle w:val="TableParagraph"/>
              <w:spacing w:line="240" w:lineRule="auto" w:before="106"/>
              <w:ind w:left="298" w:right="0"/>
              <w:jc w:val="left"/>
              <w:rPr>
                <w:rFonts w:ascii="Times New Roman" w:hAnsi="Times New Roman" w:cs="Times New Roman" w:eastAsia="Times New Roman" w:hint="default"/>
                <w:sz w:val="18"/>
                <w:szCs w:val="18"/>
              </w:rPr>
            </w:pPr>
            <w:r>
              <w:rPr>
                <w:rFonts w:ascii="Times New Roman"/>
                <w:sz w:val="18"/>
              </w:rPr>
              <w:t>86.08</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74" w:right="0"/>
              <w:jc w:val="left"/>
              <w:rPr>
                <w:rFonts w:ascii="Times New Roman" w:hAnsi="Times New Roman" w:cs="Times New Roman" w:eastAsia="Times New Roman" w:hint="default"/>
                <w:sz w:val="18"/>
                <w:szCs w:val="18"/>
              </w:rPr>
            </w:pPr>
            <w:r>
              <w:rPr>
                <w:rFonts w:ascii="Times New Roman"/>
                <w:sz w:val="18"/>
              </w:rPr>
              <w:t>36,348,5</w:t>
            </w:r>
          </w:p>
          <w:p>
            <w:pPr>
              <w:pStyle w:val="TableParagraph"/>
              <w:spacing w:line="240" w:lineRule="auto" w:before="106"/>
              <w:ind w:left="299" w:right="0"/>
              <w:jc w:val="left"/>
              <w:rPr>
                <w:rFonts w:ascii="Times New Roman" w:hAnsi="Times New Roman" w:cs="Times New Roman" w:eastAsia="Times New Roman" w:hint="default"/>
                <w:sz w:val="18"/>
                <w:szCs w:val="18"/>
              </w:rPr>
            </w:pPr>
            <w:r>
              <w:rPr>
                <w:rFonts w:ascii="Times New Roman"/>
                <w:sz w:val="18"/>
              </w:rPr>
              <w:t>21.07</w:t>
            </w:r>
          </w:p>
        </w:tc>
        <w:tc>
          <w:tcPr>
            <w:tcW w:w="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387" w:right="0"/>
              <w:jc w:val="left"/>
              <w:rPr>
                <w:rFonts w:ascii="Times New Roman" w:hAnsi="Times New Roman" w:cs="Times New Roman" w:eastAsia="Times New Roman" w:hint="default"/>
                <w:sz w:val="18"/>
                <w:szCs w:val="18"/>
              </w:rPr>
            </w:pPr>
            <w:r>
              <w:rPr>
                <w:rFonts w:ascii="Times New Roman"/>
                <w:sz w:val="18"/>
              </w:rPr>
              <w:t>0.00</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71" w:right="0"/>
              <w:jc w:val="left"/>
              <w:rPr>
                <w:rFonts w:ascii="Times New Roman" w:hAnsi="Times New Roman" w:cs="Times New Roman" w:eastAsia="Times New Roman" w:hint="default"/>
                <w:sz w:val="18"/>
                <w:szCs w:val="18"/>
              </w:rPr>
            </w:pPr>
            <w:r>
              <w:rPr>
                <w:rFonts w:ascii="Times New Roman"/>
                <w:sz w:val="18"/>
              </w:rPr>
              <w:t>36,348,5</w:t>
            </w:r>
          </w:p>
          <w:p>
            <w:pPr>
              <w:pStyle w:val="TableParagraph"/>
              <w:spacing w:line="240" w:lineRule="auto" w:before="106"/>
              <w:ind w:left="297" w:right="0"/>
              <w:jc w:val="left"/>
              <w:rPr>
                <w:rFonts w:ascii="Times New Roman" w:hAnsi="Times New Roman" w:cs="Times New Roman" w:eastAsia="Times New Roman" w:hint="default"/>
                <w:sz w:val="18"/>
                <w:szCs w:val="18"/>
              </w:rPr>
            </w:pPr>
            <w:r>
              <w:rPr>
                <w:rFonts w:ascii="Times New Roman"/>
                <w:sz w:val="18"/>
              </w:rPr>
              <w:t>21.07</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71" w:right="0"/>
              <w:jc w:val="left"/>
              <w:rPr>
                <w:rFonts w:ascii="Times New Roman" w:hAnsi="Times New Roman" w:cs="Times New Roman" w:eastAsia="Times New Roman" w:hint="default"/>
                <w:sz w:val="18"/>
                <w:szCs w:val="18"/>
              </w:rPr>
            </w:pPr>
            <w:r>
              <w:rPr>
                <w:rFonts w:ascii="Times New Roman"/>
                <w:sz w:val="18"/>
              </w:rPr>
              <w:t>40,605,5</w:t>
            </w:r>
          </w:p>
          <w:p>
            <w:pPr>
              <w:pStyle w:val="TableParagraph"/>
              <w:spacing w:line="240" w:lineRule="auto" w:before="106"/>
              <w:ind w:left="297" w:right="0"/>
              <w:jc w:val="left"/>
              <w:rPr>
                <w:rFonts w:ascii="Times New Roman" w:hAnsi="Times New Roman" w:cs="Times New Roman" w:eastAsia="Times New Roman" w:hint="default"/>
                <w:sz w:val="18"/>
                <w:szCs w:val="18"/>
              </w:rPr>
            </w:pPr>
            <w:r>
              <w:rPr>
                <w:rFonts w:ascii="Times New Roman"/>
                <w:sz w:val="18"/>
              </w:rPr>
              <w:t>18.33</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71" w:right="0"/>
              <w:jc w:val="left"/>
              <w:rPr>
                <w:rFonts w:ascii="Times New Roman" w:hAnsi="Times New Roman" w:cs="Times New Roman" w:eastAsia="Times New Roman" w:hint="default"/>
                <w:sz w:val="18"/>
                <w:szCs w:val="18"/>
              </w:rPr>
            </w:pPr>
            <w:r>
              <w:rPr>
                <w:rFonts w:ascii="Times New Roman"/>
                <w:sz w:val="18"/>
              </w:rPr>
              <w:t>25,559,0</w:t>
            </w:r>
          </w:p>
          <w:p>
            <w:pPr>
              <w:pStyle w:val="TableParagraph"/>
              <w:spacing w:line="240" w:lineRule="auto" w:before="106"/>
              <w:ind w:left="297" w:right="0"/>
              <w:jc w:val="left"/>
              <w:rPr>
                <w:rFonts w:ascii="Times New Roman" w:hAnsi="Times New Roman" w:cs="Times New Roman" w:eastAsia="Times New Roman" w:hint="default"/>
                <w:sz w:val="18"/>
                <w:szCs w:val="18"/>
              </w:rPr>
            </w:pPr>
            <w:r>
              <w:rPr>
                <w:rFonts w:ascii="Times New Roman"/>
                <w:sz w:val="18"/>
              </w:rPr>
              <w:t>20.64</w:t>
            </w:r>
          </w:p>
        </w:tc>
        <w:tc>
          <w:tcPr>
            <w:tcW w:w="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71" w:right="0"/>
              <w:jc w:val="left"/>
              <w:rPr>
                <w:rFonts w:ascii="Times New Roman" w:hAnsi="Times New Roman" w:cs="Times New Roman" w:eastAsia="Times New Roman" w:hint="default"/>
                <w:sz w:val="18"/>
                <w:szCs w:val="18"/>
              </w:rPr>
            </w:pPr>
            <w:r>
              <w:rPr>
                <w:rFonts w:ascii="Times New Roman"/>
                <w:sz w:val="18"/>
              </w:rPr>
              <w:t>66,164,5</w:t>
            </w:r>
          </w:p>
          <w:p>
            <w:pPr>
              <w:pStyle w:val="TableParagraph"/>
              <w:spacing w:line="240" w:lineRule="auto" w:before="106"/>
              <w:ind w:left="297" w:right="0"/>
              <w:jc w:val="left"/>
              <w:rPr>
                <w:rFonts w:ascii="Times New Roman" w:hAnsi="Times New Roman" w:cs="Times New Roman" w:eastAsia="Times New Roman" w:hint="default"/>
                <w:sz w:val="18"/>
                <w:szCs w:val="18"/>
              </w:rPr>
            </w:pPr>
            <w:r>
              <w:rPr>
                <w:rFonts w:ascii="Times New Roman"/>
                <w:sz w:val="18"/>
              </w:rPr>
              <w:t>38.97</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74" w:right="0"/>
              <w:jc w:val="left"/>
              <w:rPr>
                <w:rFonts w:ascii="Times New Roman" w:hAnsi="Times New Roman" w:cs="Times New Roman" w:eastAsia="Times New Roman" w:hint="default"/>
                <w:sz w:val="18"/>
                <w:szCs w:val="18"/>
              </w:rPr>
            </w:pPr>
            <w:r>
              <w:rPr>
                <w:rFonts w:ascii="Times New Roman"/>
                <w:sz w:val="18"/>
              </w:rPr>
              <w:t>27,021,0</w:t>
            </w:r>
          </w:p>
          <w:p>
            <w:pPr>
              <w:pStyle w:val="TableParagraph"/>
              <w:spacing w:line="240" w:lineRule="auto" w:before="106"/>
              <w:ind w:left="299" w:right="0"/>
              <w:jc w:val="left"/>
              <w:rPr>
                <w:rFonts w:ascii="Times New Roman" w:hAnsi="Times New Roman" w:cs="Times New Roman" w:eastAsia="Times New Roman" w:hint="default"/>
                <w:sz w:val="18"/>
                <w:szCs w:val="18"/>
              </w:rPr>
            </w:pPr>
            <w:r>
              <w:rPr>
                <w:rFonts w:ascii="Times New Roman"/>
                <w:sz w:val="18"/>
              </w:rPr>
              <w:t>47.05</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389" w:right="0"/>
              <w:jc w:val="left"/>
              <w:rPr>
                <w:rFonts w:ascii="Times New Roman" w:hAnsi="Times New Roman" w:cs="Times New Roman" w:eastAsia="Times New Roman" w:hint="default"/>
                <w:sz w:val="18"/>
                <w:szCs w:val="18"/>
              </w:rPr>
            </w:pPr>
            <w:r>
              <w:rPr>
                <w:rFonts w:ascii="Times New Roman"/>
                <w:sz w:val="18"/>
              </w:rPr>
              <w:t>0.00</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73" w:right="0"/>
              <w:jc w:val="left"/>
              <w:rPr>
                <w:rFonts w:ascii="Times New Roman" w:hAnsi="Times New Roman" w:cs="Times New Roman" w:eastAsia="Times New Roman" w:hint="default"/>
                <w:sz w:val="18"/>
                <w:szCs w:val="18"/>
              </w:rPr>
            </w:pPr>
            <w:r>
              <w:rPr>
                <w:rFonts w:ascii="Times New Roman"/>
                <w:sz w:val="18"/>
              </w:rPr>
              <w:t>27,021,0</w:t>
            </w:r>
          </w:p>
          <w:p>
            <w:pPr>
              <w:pStyle w:val="TableParagraph"/>
              <w:spacing w:line="240" w:lineRule="auto" w:before="106"/>
              <w:ind w:left="298" w:right="0"/>
              <w:jc w:val="left"/>
              <w:rPr>
                <w:rFonts w:ascii="Times New Roman" w:hAnsi="Times New Roman" w:cs="Times New Roman" w:eastAsia="Times New Roman" w:hint="default"/>
                <w:sz w:val="18"/>
                <w:szCs w:val="18"/>
              </w:rPr>
            </w:pPr>
            <w:r>
              <w:rPr>
                <w:rFonts w:ascii="Times New Roman"/>
                <w:sz w:val="18"/>
              </w:rPr>
              <w:t>47.05</w:t>
            </w:r>
          </w:p>
        </w:tc>
      </w:tr>
    </w:tbl>
    <w:p>
      <w:pPr>
        <w:spacing w:before="51"/>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061"/>
        <w:gridCol w:w="1061"/>
        <w:gridCol w:w="1062"/>
        <w:gridCol w:w="1066"/>
        <w:gridCol w:w="1064"/>
        <w:gridCol w:w="1063"/>
        <w:gridCol w:w="1064"/>
        <w:gridCol w:w="1063"/>
        <w:gridCol w:w="1066"/>
      </w:tblGrid>
      <w:tr>
        <w:trPr>
          <w:trHeight w:val="402" w:hRule="exact"/>
        </w:trPr>
        <w:tc>
          <w:tcPr>
            <w:tcW w:w="106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left="75" w:right="0"/>
              <w:jc w:val="left"/>
              <w:rPr>
                <w:rFonts w:ascii="宋体" w:hAnsi="宋体" w:cs="宋体" w:eastAsia="宋体" w:hint="default"/>
                <w:sz w:val="18"/>
                <w:szCs w:val="18"/>
              </w:rPr>
            </w:pPr>
            <w:r>
              <w:rPr>
                <w:rFonts w:ascii="宋体" w:hAnsi="宋体" w:cs="宋体" w:eastAsia="宋体" w:hint="default"/>
                <w:sz w:val="18"/>
                <w:szCs w:val="18"/>
              </w:rPr>
              <w:t>子公司名称</w:t>
            </w:r>
          </w:p>
        </w:tc>
        <w:tc>
          <w:tcPr>
            <w:tcW w:w="4253"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4256"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714" w:hRule="exact"/>
        </w:trPr>
        <w:tc>
          <w:tcPr>
            <w:tcW w:w="1061" w:type="dxa"/>
            <w:vMerge/>
            <w:tcBorders>
              <w:left w:val="single" w:sz="4" w:space="0" w:color="000000"/>
              <w:bottom w:val="single" w:sz="4" w:space="0" w:color="000000"/>
              <w:right w:val="single" w:sz="4" w:space="0" w:color="000000"/>
            </w:tcBorders>
            <w:shd w:val="clear" w:color="auto" w:fill="D2D2D2"/>
          </w:tcPr>
          <w:p>
            <w:pPr/>
          </w:p>
        </w:tc>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65"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净利润</w:t>
            </w: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437" w:right="76" w:hanging="360"/>
              <w:jc w:val="left"/>
              <w:rPr>
                <w:rFonts w:ascii="宋体" w:hAnsi="宋体" w:cs="宋体" w:eastAsia="宋体" w:hint="default"/>
                <w:sz w:val="18"/>
                <w:szCs w:val="18"/>
              </w:rPr>
            </w:pPr>
            <w:r>
              <w:rPr>
                <w:rFonts w:ascii="宋体" w:hAnsi="宋体" w:cs="宋体" w:eastAsia="宋体" w:hint="default"/>
                <w:sz w:val="18"/>
                <w:szCs w:val="18"/>
              </w:rPr>
              <w:t>综合收益总 额</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56" w:right="77" w:hanging="180"/>
              <w:jc w:val="left"/>
              <w:rPr>
                <w:rFonts w:ascii="宋体" w:hAnsi="宋体" w:cs="宋体" w:eastAsia="宋体" w:hint="default"/>
                <w:sz w:val="18"/>
                <w:szCs w:val="18"/>
              </w:rPr>
            </w:pPr>
            <w:r>
              <w:rPr>
                <w:rFonts w:ascii="宋体" w:hAnsi="宋体" w:cs="宋体" w:eastAsia="宋体" w:hint="default"/>
                <w:sz w:val="18"/>
                <w:szCs w:val="18"/>
              </w:rPr>
              <w:t>经营活动现 金流量</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66"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净利润</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435" w:right="77" w:hanging="360"/>
              <w:jc w:val="left"/>
              <w:rPr>
                <w:rFonts w:ascii="宋体" w:hAnsi="宋体" w:cs="宋体" w:eastAsia="宋体" w:hint="default"/>
                <w:sz w:val="18"/>
                <w:szCs w:val="18"/>
              </w:rPr>
            </w:pPr>
            <w:r>
              <w:rPr>
                <w:rFonts w:ascii="宋体" w:hAnsi="宋体" w:cs="宋体" w:eastAsia="宋体" w:hint="default"/>
                <w:sz w:val="18"/>
                <w:szCs w:val="18"/>
              </w:rPr>
              <w:t>综合收益总 额</w:t>
            </w: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57" w:right="77" w:hanging="180"/>
              <w:jc w:val="left"/>
              <w:rPr>
                <w:rFonts w:ascii="宋体" w:hAnsi="宋体" w:cs="宋体" w:eastAsia="宋体" w:hint="default"/>
                <w:sz w:val="18"/>
                <w:szCs w:val="18"/>
              </w:rPr>
            </w:pPr>
            <w:r>
              <w:rPr>
                <w:rFonts w:ascii="宋体" w:hAnsi="宋体" w:cs="宋体" w:eastAsia="宋体" w:hint="default"/>
                <w:sz w:val="18"/>
                <w:szCs w:val="18"/>
              </w:rPr>
              <w:t>经营活动现 金流量</w:t>
            </w:r>
          </w:p>
        </w:tc>
      </w:tr>
      <w:tr>
        <w:trPr>
          <w:trHeight w:val="1026" w:hRule="exact"/>
        </w:trPr>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26"/>
              <w:jc w:val="both"/>
              <w:rPr>
                <w:rFonts w:ascii="宋体" w:hAnsi="宋体" w:cs="宋体" w:eastAsia="宋体" w:hint="default"/>
                <w:sz w:val="18"/>
                <w:szCs w:val="18"/>
              </w:rPr>
            </w:pPr>
            <w:r>
              <w:rPr>
                <w:rFonts w:ascii="宋体" w:hAnsi="宋体" w:cs="宋体" w:eastAsia="宋体" w:hint="default"/>
                <w:sz w:val="18"/>
                <w:szCs w:val="18"/>
              </w:rPr>
              <w:t>福建新开普 信息科技有 限公司</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48,232,826.3</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9</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62" w:right="0"/>
              <w:jc w:val="center"/>
              <w:rPr>
                <w:rFonts w:ascii="Times New Roman" w:hAnsi="Times New Roman" w:cs="Times New Roman" w:eastAsia="Times New Roman" w:hint="default"/>
                <w:sz w:val="18"/>
                <w:szCs w:val="18"/>
              </w:rPr>
            </w:pPr>
            <w:r>
              <w:rPr>
                <w:rFonts w:ascii="Times New Roman"/>
                <w:sz w:val="18"/>
              </w:rPr>
              <w:t>3,235,973.09</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88" w:right="0"/>
              <w:jc w:val="left"/>
              <w:rPr>
                <w:rFonts w:ascii="Times New Roman" w:hAnsi="Times New Roman" w:cs="Times New Roman" w:eastAsia="Times New Roman" w:hint="default"/>
                <w:sz w:val="18"/>
                <w:szCs w:val="18"/>
              </w:rPr>
            </w:pPr>
            <w:r>
              <w:rPr>
                <w:rFonts w:ascii="Times New Roman"/>
                <w:sz w:val="18"/>
              </w:rPr>
              <w:t>3,235,973.09</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61" w:right="0"/>
              <w:jc w:val="left"/>
              <w:rPr>
                <w:rFonts w:ascii="Times New Roman" w:hAnsi="Times New Roman" w:cs="Times New Roman" w:eastAsia="Times New Roman" w:hint="default"/>
                <w:sz w:val="18"/>
                <w:szCs w:val="18"/>
              </w:rPr>
            </w:pPr>
            <w:r>
              <w:rPr>
                <w:rFonts w:ascii="Times New Roman"/>
                <w:sz w:val="18"/>
              </w:rPr>
              <w:t>-473,320.72</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36,601,697.2</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6</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61" w:right="0"/>
              <w:jc w:val="center"/>
              <w:rPr>
                <w:rFonts w:ascii="Times New Roman" w:hAnsi="Times New Roman" w:cs="Times New Roman" w:eastAsia="Times New Roman" w:hint="default"/>
                <w:sz w:val="18"/>
                <w:szCs w:val="18"/>
              </w:rPr>
            </w:pPr>
            <w:r>
              <w:rPr>
                <w:rFonts w:ascii="Times New Roman"/>
                <w:sz w:val="18"/>
              </w:rPr>
              <w:t>1,767,270.74</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85" w:right="0"/>
              <w:jc w:val="left"/>
              <w:rPr>
                <w:rFonts w:ascii="Times New Roman" w:hAnsi="Times New Roman" w:cs="Times New Roman" w:eastAsia="Times New Roman" w:hint="default"/>
                <w:sz w:val="18"/>
                <w:szCs w:val="18"/>
              </w:rPr>
            </w:pPr>
            <w:r>
              <w:rPr>
                <w:rFonts w:ascii="Times New Roman"/>
                <w:sz w:val="18"/>
              </w:rPr>
              <w:t>1,767,270.74</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88" w:right="0"/>
              <w:jc w:val="left"/>
              <w:rPr>
                <w:rFonts w:ascii="Times New Roman" w:hAnsi="Times New Roman" w:cs="Times New Roman" w:eastAsia="Times New Roman" w:hint="default"/>
                <w:sz w:val="18"/>
                <w:szCs w:val="18"/>
              </w:rPr>
            </w:pPr>
            <w:r>
              <w:rPr>
                <w:rFonts w:ascii="Times New Roman"/>
                <w:sz w:val="18"/>
              </w:rPr>
              <w:t>2,535,051.70</w:t>
            </w:r>
          </w:p>
        </w:tc>
      </w:tr>
    </w:tbl>
    <w:p>
      <w:pPr>
        <w:spacing w:before="51"/>
        <w:ind w:left="154" w:right="1117"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after="0"/>
        <w:jc w:val="left"/>
        <w:rPr>
          <w:rFonts w:ascii="宋体" w:hAnsi="宋体" w:cs="宋体" w:eastAsia="宋体" w:hint="default"/>
          <w:sz w:val="18"/>
          <w:szCs w:val="18"/>
        </w:rPr>
        <w:sectPr>
          <w:pgSz w:w="11910" w:h="16840"/>
          <w:pgMar w:header="877" w:footer="979" w:top="1060" w:bottom="1160" w:left="980" w:right="0"/>
        </w:sectPr>
      </w:pPr>
    </w:p>
    <w:p>
      <w:pPr>
        <w:spacing w:line="240" w:lineRule="auto" w:before="9"/>
        <w:rPr>
          <w:rFonts w:ascii="宋体" w:hAnsi="宋体" w:cs="宋体" w:eastAsia="宋体" w:hint="default"/>
          <w:sz w:val="24"/>
          <w:szCs w:val="24"/>
        </w:rPr>
      </w:pPr>
    </w:p>
    <w:p>
      <w:pPr>
        <w:pStyle w:val="Heading4"/>
        <w:spacing w:line="240" w:lineRule="auto" w:before="35"/>
        <w:ind w:right="1117"/>
        <w:jc w:val="left"/>
        <w:rPr>
          <w:b w:val="0"/>
          <w:bCs w:val="0"/>
        </w:rPr>
      </w:pPr>
      <w:bookmarkStart w:name="（4）使用企业集团资产和清偿企业集团债务的重大限制" w:id="366"/>
      <w:bookmarkEnd w:id="366"/>
      <w:r>
        <w:rPr>
          <w:b w:val="0"/>
          <w:bCs w:val="0"/>
        </w:rPr>
      </w:r>
      <w:r>
        <w:rPr/>
        <w:t>（</w:t>
      </w:r>
      <w:r>
        <w:rPr>
          <w:rFonts w:ascii="Times New Roman" w:hAnsi="Times New Roman" w:cs="Times New Roman" w:eastAsia="Times New Roman" w:hint="default"/>
        </w:rPr>
        <w:t>4</w:t>
      </w:r>
      <w:r>
        <w:rPr/>
        <w:t>）使用企业集团资产和清偿企业集团债务的重大限制</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1117"/>
        <w:jc w:val="left"/>
        <w:rPr>
          <w:b w:val="0"/>
          <w:bCs w:val="0"/>
        </w:rPr>
      </w:pPr>
      <w:bookmarkStart w:name="（5）向纳入合并财务报表范围的结构化主体提供的财务支持或其他支持" w:id="367"/>
      <w:bookmarkEnd w:id="367"/>
      <w:r>
        <w:rPr>
          <w:b w:val="0"/>
          <w:bCs w:val="0"/>
        </w:rPr>
      </w:r>
      <w:r>
        <w:rPr/>
        <w:t>（</w:t>
      </w:r>
      <w:r>
        <w:rPr>
          <w:rFonts w:ascii="Times New Roman" w:hAnsi="Times New Roman" w:cs="Times New Roman" w:eastAsia="Times New Roman" w:hint="default"/>
        </w:rPr>
        <w:t>5</w:t>
      </w:r>
      <w:r>
        <w:rPr/>
        <w:t>）向纳入合并财务报表范围的结构化主体提供的财务支持或其他支持</w:t>
      </w:r>
      <w:r>
        <w:rPr>
          <w:b w:val="0"/>
          <w:bCs w:val="0"/>
        </w:rPr>
      </w:r>
    </w:p>
    <w:p>
      <w:pPr>
        <w:spacing w:line="240" w:lineRule="auto" w:before="8"/>
        <w:rPr>
          <w:rFonts w:ascii="宋体" w:hAnsi="宋体" w:cs="宋体" w:eastAsia="宋体" w:hint="default"/>
          <w:b/>
          <w:bCs/>
          <w:sz w:val="26"/>
          <w:szCs w:val="26"/>
        </w:rPr>
      </w:pPr>
    </w:p>
    <w:p>
      <w:pPr>
        <w:spacing w:before="0"/>
        <w:ind w:left="154" w:right="1117"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0"/>
        <w:rPr>
          <w:rFonts w:ascii="宋体" w:hAnsi="宋体" w:cs="宋体" w:eastAsia="宋体" w:hint="default"/>
          <w:sz w:val="26"/>
          <w:szCs w:val="26"/>
        </w:rPr>
      </w:pPr>
    </w:p>
    <w:p>
      <w:pPr>
        <w:pStyle w:val="Heading4"/>
        <w:spacing w:line="240" w:lineRule="auto"/>
        <w:ind w:right="1117"/>
        <w:jc w:val="left"/>
        <w:rPr>
          <w:b w:val="0"/>
          <w:bCs w:val="0"/>
        </w:rPr>
      </w:pPr>
      <w:bookmarkStart w:name="2、在子公司的所有者权益份额发生变化且仍控制子公司的交易" w:id="368"/>
      <w:bookmarkEnd w:id="368"/>
      <w:r>
        <w:rPr>
          <w:b w:val="0"/>
          <w:bCs w:val="0"/>
        </w:rPr>
      </w:r>
      <w:r>
        <w:rPr>
          <w:rFonts w:ascii="Times New Roman" w:hAnsi="Times New Roman" w:cs="Times New Roman" w:eastAsia="Times New Roman" w:hint="default"/>
        </w:rPr>
        <w:t>2</w:t>
      </w:r>
      <w:r>
        <w:rPr/>
        <w:t>、在子公司的所有者权益份额发生变化且仍控制子公司的交易</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1117"/>
        <w:jc w:val="left"/>
        <w:rPr>
          <w:b w:val="0"/>
          <w:bCs w:val="0"/>
        </w:rPr>
      </w:pPr>
      <w:bookmarkStart w:name="（1）在子公司所有者权益份额发生变化的情况说明" w:id="369"/>
      <w:bookmarkEnd w:id="369"/>
      <w:r>
        <w:rPr>
          <w:b w:val="0"/>
          <w:bCs w:val="0"/>
        </w:rPr>
      </w:r>
      <w:r>
        <w:rPr/>
        <w:t>（</w:t>
      </w:r>
      <w:r>
        <w:rPr>
          <w:rFonts w:ascii="Times New Roman" w:hAnsi="Times New Roman" w:cs="Times New Roman" w:eastAsia="Times New Roman" w:hint="default"/>
        </w:rPr>
        <w:t>1</w:t>
      </w:r>
      <w:r>
        <w:rPr/>
        <w:t>）在子公司所有者权益份额发生变化的情况说明</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1117"/>
        <w:jc w:val="left"/>
        <w:rPr>
          <w:b w:val="0"/>
          <w:bCs w:val="0"/>
        </w:rPr>
      </w:pPr>
      <w:bookmarkStart w:name="（2）交易对于少数股东权益及归属于母公司所有者权益的影响" w:id="370"/>
      <w:bookmarkEnd w:id="370"/>
      <w:r>
        <w:rPr>
          <w:b w:val="0"/>
          <w:bCs w:val="0"/>
        </w:rPr>
      </w:r>
      <w:r>
        <w:rPr/>
        <w:t>（</w:t>
      </w:r>
      <w:r>
        <w:rPr>
          <w:rFonts w:ascii="Times New Roman" w:hAnsi="Times New Roman" w:cs="Times New Roman" w:eastAsia="Times New Roman" w:hint="default"/>
        </w:rPr>
        <w:t>2</w:t>
      </w:r>
      <w:r>
        <w:rPr/>
        <w:t>）交易对于少数股东权益及归属于母公司所有者权益的影响</w:t>
      </w:r>
      <w:r>
        <w:rPr>
          <w:b w:val="0"/>
          <w:bCs w:val="0"/>
        </w:rPr>
      </w:r>
    </w:p>
    <w:p>
      <w:pPr>
        <w:spacing w:line="240" w:lineRule="auto" w:before="8"/>
        <w:rPr>
          <w:rFonts w:ascii="宋体" w:hAnsi="宋体" w:cs="宋体" w:eastAsia="宋体" w:hint="default"/>
          <w:b/>
          <w:bCs/>
          <w:sz w:val="26"/>
          <w:szCs w:val="26"/>
        </w:rPr>
      </w:pPr>
    </w:p>
    <w:p>
      <w:pPr>
        <w:spacing w:before="0"/>
        <w:ind w:left="154" w:right="1117"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pStyle w:val="Heading4"/>
        <w:spacing w:line="240" w:lineRule="auto"/>
        <w:ind w:right="1117"/>
        <w:jc w:val="left"/>
        <w:rPr>
          <w:b w:val="0"/>
          <w:bCs w:val="0"/>
        </w:rPr>
      </w:pPr>
      <w:bookmarkStart w:name="3、在合营安排或联营企业中的权益" w:id="371"/>
      <w:bookmarkEnd w:id="371"/>
      <w:r>
        <w:rPr>
          <w:b w:val="0"/>
          <w:bCs w:val="0"/>
        </w:rPr>
      </w:r>
      <w:r>
        <w:rPr>
          <w:rFonts w:ascii="Times New Roman" w:hAnsi="Times New Roman" w:cs="Times New Roman" w:eastAsia="Times New Roman" w:hint="default"/>
        </w:rPr>
        <w:t>3</w:t>
      </w:r>
      <w:r>
        <w:rPr/>
        <w:t>、在合营安排或联营企业中的权益</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1117"/>
        <w:jc w:val="left"/>
        <w:rPr>
          <w:b w:val="0"/>
          <w:bCs w:val="0"/>
        </w:rPr>
      </w:pPr>
      <w:bookmarkStart w:name="（1）重要的合营企业或联营企业" w:id="372"/>
      <w:bookmarkEnd w:id="372"/>
      <w:r>
        <w:rPr>
          <w:b w:val="0"/>
          <w:bCs w:val="0"/>
        </w:rPr>
      </w:r>
      <w:r>
        <w:rPr/>
        <w:t>（</w:t>
      </w:r>
      <w:r>
        <w:rPr>
          <w:rFonts w:ascii="Times New Roman" w:hAnsi="Times New Roman" w:cs="Times New Roman" w:eastAsia="Times New Roman" w:hint="default"/>
        </w:rPr>
        <w:t>1</w:t>
      </w:r>
      <w:r>
        <w:rPr/>
        <w:t>）重要的合营企业或联营企业</w:t>
      </w:r>
      <w:r>
        <w:rPr>
          <w:b w:val="0"/>
          <w:bCs w:val="0"/>
        </w:rPr>
      </w:r>
    </w:p>
    <w:p>
      <w:pPr>
        <w:spacing w:line="240" w:lineRule="auto" w:before="10"/>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1372"/>
        <w:gridCol w:w="1367"/>
        <w:gridCol w:w="1367"/>
        <w:gridCol w:w="1367"/>
        <w:gridCol w:w="1367"/>
        <w:gridCol w:w="1367"/>
        <w:gridCol w:w="1366"/>
      </w:tblGrid>
      <w:tr>
        <w:trPr>
          <w:trHeight w:val="402" w:hRule="exact"/>
        </w:trPr>
        <w:tc>
          <w:tcPr>
            <w:tcW w:w="137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316" w:lineRule="auto"/>
              <w:ind w:left="320" w:right="51" w:hanging="270"/>
              <w:jc w:val="left"/>
              <w:rPr>
                <w:rFonts w:ascii="宋体" w:hAnsi="宋体" w:cs="宋体" w:eastAsia="宋体" w:hint="default"/>
                <w:sz w:val="18"/>
                <w:szCs w:val="18"/>
              </w:rPr>
            </w:pPr>
            <w:r>
              <w:rPr>
                <w:rFonts w:ascii="宋体" w:hAnsi="宋体" w:cs="宋体" w:eastAsia="宋体" w:hint="default"/>
                <w:sz w:val="18"/>
                <w:szCs w:val="18"/>
              </w:rPr>
              <w:t>合营企业或联营 企业名称</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7" w:right="0"/>
              <w:jc w:val="left"/>
              <w:rPr>
                <w:rFonts w:ascii="宋体" w:hAnsi="宋体" w:cs="宋体" w:eastAsia="宋体" w:hint="default"/>
                <w:sz w:val="18"/>
                <w:szCs w:val="18"/>
              </w:rPr>
            </w:pPr>
            <w:r>
              <w:rPr>
                <w:rFonts w:ascii="宋体" w:hAnsi="宋体" w:cs="宋体" w:eastAsia="宋体" w:hint="default"/>
                <w:sz w:val="18"/>
                <w:szCs w:val="18"/>
              </w:rPr>
              <w:t>主要经营地</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408" w:right="0"/>
              <w:jc w:val="left"/>
              <w:rPr>
                <w:rFonts w:ascii="宋体" w:hAnsi="宋体" w:cs="宋体" w:eastAsia="宋体" w:hint="default"/>
                <w:sz w:val="18"/>
                <w:szCs w:val="18"/>
              </w:rPr>
            </w:pPr>
            <w:r>
              <w:rPr>
                <w:rFonts w:ascii="宋体" w:hAnsi="宋体" w:cs="宋体" w:eastAsia="宋体" w:hint="default"/>
                <w:sz w:val="18"/>
                <w:szCs w:val="18"/>
              </w:rPr>
              <w:t>注册地</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317" w:right="0"/>
              <w:jc w:val="left"/>
              <w:rPr>
                <w:rFonts w:ascii="宋体" w:hAnsi="宋体" w:cs="宋体" w:eastAsia="宋体" w:hint="default"/>
                <w:sz w:val="18"/>
                <w:szCs w:val="18"/>
              </w:rPr>
            </w:pPr>
            <w:r>
              <w:rPr>
                <w:rFonts w:ascii="宋体" w:hAnsi="宋体" w:cs="宋体" w:eastAsia="宋体" w:hint="default"/>
                <w:sz w:val="18"/>
                <w:szCs w:val="18"/>
              </w:rPr>
              <w:t>业务性质</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持股比例</w:t>
            </w:r>
          </w:p>
        </w:tc>
        <w:tc>
          <w:tcPr>
            <w:tcW w:w="1366"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1"/>
              <w:ind w:left="47" w:right="47"/>
              <w:jc w:val="center"/>
              <w:rPr>
                <w:rFonts w:ascii="宋体" w:hAnsi="宋体" w:cs="宋体" w:eastAsia="宋体" w:hint="default"/>
                <w:sz w:val="18"/>
                <w:szCs w:val="18"/>
              </w:rPr>
            </w:pPr>
            <w:r>
              <w:rPr>
                <w:rFonts w:ascii="宋体" w:hAnsi="宋体" w:cs="宋体" w:eastAsia="宋体" w:hint="default"/>
                <w:sz w:val="18"/>
                <w:szCs w:val="18"/>
              </w:rPr>
              <w:t>对合营企业或联 营企业投资的会 计处理方法</w:t>
            </w:r>
          </w:p>
        </w:tc>
      </w:tr>
      <w:tr>
        <w:trPr>
          <w:trHeight w:val="624" w:hRule="exact"/>
        </w:trPr>
        <w:tc>
          <w:tcPr>
            <w:tcW w:w="1372"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61"/>
              <w:ind w:right="1"/>
              <w:jc w:val="center"/>
              <w:rPr>
                <w:rFonts w:ascii="宋体" w:hAnsi="宋体" w:cs="宋体" w:eastAsia="宋体" w:hint="default"/>
                <w:sz w:val="18"/>
                <w:szCs w:val="18"/>
              </w:rPr>
            </w:pPr>
            <w:r>
              <w:rPr>
                <w:rFonts w:ascii="宋体" w:hAnsi="宋体" w:cs="宋体" w:eastAsia="宋体" w:hint="default"/>
                <w:sz w:val="18"/>
                <w:szCs w:val="18"/>
              </w:rPr>
              <w:t>直接</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61"/>
              <w:ind w:right="0"/>
              <w:jc w:val="center"/>
              <w:rPr>
                <w:rFonts w:ascii="宋体" w:hAnsi="宋体" w:cs="宋体" w:eastAsia="宋体" w:hint="default"/>
                <w:sz w:val="18"/>
                <w:szCs w:val="18"/>
              </w:rPr>
            </w:pPr>
            <w:r>
              <w:rPr>
                <w:rFonts w:ascii="宋体" w:hAnsi="宋体" w:cs="宋体" w:eastAsia="宋体" w:hint="default"/>
                <w:sz w:val="18"/>
                <w:szCs w:val="18"/>
              </w:rPr>
              <w:t>间接</w:t>
            </w:r>
          </w:p>
        </w:tc>
        <w:tc>
          <w:tcPr>
            <w:tcW w:w="1366" w:type="dxa"/>
            <w:vMerge/>
            <w:tcBorders>
              <w:left w:val="single" w:sz="4" w:space="0" w:color="000000"/>
              <w:bottom w:val="single" w:sz="4" w:space="0" w:color="000000"/>
              <w:right w:val="single" w:sz="4" w:space="0" w:color="000000"/>
            </w:tcBorders>
            <w:shd w:val="clear" w:color="auto" w:fill="D2D2D2"/>
          </w:tcPr>
          <w:p>
            <w:pPr/>
          </w:p>
        </w:tc>
      </w:tr>
      <w:tr>
        <w:trPr>
          <w:trHeight w:val="1338"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316" w:lineRule="auto" w:before="128"/>
              <w:ind w:left="22" w:right="77"/>
              <w:jc w:val="left"/>
              <w:rPr>
                <w:rFonts w:ascii="宋体" w:hAnsi="宋体" w:cs="宋体" w:eastAsia="宋体" w:hint="default"/>
                <w:sz w:val="18"/>
                <w:szCs w:val="18"/>
              </w:rPr>
            </w:pPr>
            <w:r>
              <w:rPr>
                <w:rFonts w:ascii="宋体" w:hAnsi="宋体" w:cs="宋体" w:eastAsia="宋体" w:hint="default"/>
                <w:sz w:val="18"/>
                <w:szCs w:val="18"/>
              </w:rPr>
              <w:t>北京希嘉创智教 育科技有限公司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教育领域大数据 产品开发及应 用、数据服务运 营</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24.00%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权益法</w:t>
            </w:r>
          </w:p>
        </w:tc>
      </w:tr>
      <w:tr>
        <w:trPr>
          <w:trHeight w:val="1026"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7"/>
              <w:jc w:val="left"/>
              <w:rPr>
                <w:rFonts w:ascii="宋体" w:hAnsi="宋体" w:cs="宋体" w:eastAsia="宋体" w:hint="default"/>
                <w:sz w:val="18"/>
                <w:szCs w:val="18"/>
              </w:rPr>
            </w:pPr>
            <w:r>
              <w:rPr>
                <w:rFonts w:ascii="宋体" w:hAnsi="宋体" w:cs="宋体" w:eastAsia="宋体" w:hint="default"/>
                <w:sz w:val="18"/>
                <w:szCs w:val="18"/>
              </w:rPr>
              <w:t>嘉兴丹诚开普股 权投资合伙企业</w:t>
            </w:r>
          </w:p>
          <w:p>
            <w:pPr>
              <w:pStyle w:val="TableParagraph"/>
              <w:spacing w:line="240" w:lineRule="auto" w:before="20"/>
              <w:ind w:left="22" w:right="0"/>
              <w:jc w:val="left"/>
              <w:rPr>
                <w:rFonts w:ascii="宋体" w:hAnsi="宋体" w:cs="宋体" w:eastAsia="宋体" w:hint="default"/>
                <w:sz w:val="18"/>
                <w:szCs w:val="18"/>
              </w:rPr>
            </w:pPr>
            <w:r>
              <w:rPr>
                <w:rFonts w:ascii="宋体" w:hAnsi="宋体" w:cs="宋体" w:eastAsia="宋体" w:hint="default"/>
                <w:sz w:val="18"/>
                <w:szCs w:val="18"/>
              </w:rPr>
              <w:t>（有限合伙）</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嘉兴</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嘉兴</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投资管理</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96.67%</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权益法</w:t>
            </w:r>
          </w:p>
        </w:tc>
      </w:tr>
      <w:tr>
        <w:trPr>
          <w:trHeight w:val="714"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7"/>
              <w:jc w:val="left"/>
              <w:rPr>
                <w:rFonts w:ascii="宋体" w:hAnsi="宋体" w:cs="宋体" w:eastAsia="宋体" w:hint="default"/>
                <w:sz w:val="18"/>
                <w:szCs w:val="18"/>
              </w:rPr>
            </w:pPr>
            <w:r>
              <w:rPr>
                <w:rFonts w:ascii="宋体" w:hAnsi="宋体" w:cs="宋体" w:eastAsia="宋体" w:hint="default"/>
                <w:sz w:val="18"/>
                <w:szCs w:val="18"/>
              </w:rPr>
              <w:t>成都兰途网络科 技有限公司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成都</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成都</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销售、集成及服 务</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35.00%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权益法</w:t>
            </w:r>
          </w:p>
        </w:tc>
      </w:tr>
    </w:tbl>
    <w:p>
      <w:pPr>
        <w:spacing w:before="51"/>
        <w:ind w:left="154" w:right="1117" w:firstLine="0"/>
        <w:jc w:val="left"/>
        <w:rPr>
          <w:rFonts w:ascii="宋体" w:hAnsi="宋体" w:cs="宋体" w:eastAsia="宋体" w:hint="default"/>
          <w:sz w:val="18"/>
          <w:szCs w:val="18"/>
        </w:rPr>
      </w:pPr>
      <w:r>
        <w:rPr>
          <w:rFonts w:ascii="宋体" w:hAnsi="宋体" w:cs="宋体" w:eastAsia="宋体" w:hint="default"/>
          <w:sz w:val="18"/>
          <w:szCs w:val="18"/>
        </w:rPr>
        <w:t>在合营企业或联营企业的持股比例不同于表决权比例的说明：</w:t>
      </w:r>
    </w:p>
    <w:p>
      <w:pPr>
        <w:spacing w:before="117"/>
        <w:ind w:left="154" w:right="1117" w:firstLine="0"/>
        <w:jc w:val="left"/>
        <w:rPr>
          <w:rFonts w:ascii="宋体" w:hAnsi="宋体" w:cs="宋体" w:eastAsia="宋体" w:hint="default"/>
          <w:sz w:val="18"/>
          <w:szCs w:val="18"/>
        </w:rPr>
      </w:pPr>
      <w:r>
        <w:rPr>
          <w:rFonts w:ascii="宋体" w:hAnsi="宋体" w:cs="宋体" w:eastAsia="宋体" w:hint="default"/>
          <w:sz w:val="18"/>
          <w:szCs w:val="18"/>
        </w:rPr>
        <w:t>持有</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w:t>
      </w:r>
      <w:r>
        <w:rPr>
          <w:rFonts w:ascii="宋体" w:hAnsi="宋体" w:cs="宋体" w:eastAsia="宋体" w:hint="default"/>
          <w:sz w:val="18"/>
          <w:szCs w:val="18"/>
        </w:rPr>
        <w:t>以下表决权但具有重大影响，或者持有</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w:t>
      </w:r>
      <w:r>
        <w:rPr>
          <w:rFonts w:ascii="宋体" w:hAnsi="宋体" w:cs="宋体" w:eastAsia="宋体" w:hint="default"/>
          <w:sz w:val="18"/>
          <w:szCs w:val="18"/>
        </w:rPr>
        <w:t>或以上表决权但不具有重大影响的依据：</w:t>
      </w:r>
    </w:p>
    <w:p>
      <w:pPr>
        <w:spacing w:line="240" w:lineRule="auto" w:before="9"/>
        <w:rPr>
          <w:rFonts w:ascii="宋体" w:hAnsi="宋体" w:cs="宋体" w:eastAsia="宋体" w:hint="default"/>
          <w:sz w:val="25"/>
          <w:szCs w:val="25"/>
        </w:rPr>
      </w:pPr>
    </w:p>
    <w:p>
      <w:pPr>
        <w:pStyle w:val="Heading4"/>
        <w:spacing w:line="240" w:lineRule="auto"/>
        <w:ind w:right="1117"/>
        <w:jc w:val="left"/>
        <w:rPr>
          <w:b w:val="0"/>
          <w:bCs w:val="0"/>
        </w:rPr>
      </w:pPr>
      <w:bookmarkStart w:name="（2）重要合营企业的主要财务信息" w:id="373"/>
      <w:bookmarkEnd w:id="373"/>
      <w:r>
        <w:rPr>
          <w:b w:val="0"/>
          <w:bCs w:val="0"/>
        </w:rPr>
      </w:r>
      <w:r>
        <w:rPr/>
        <w:t>（</w:t>
      </w:r>
      <w:r>
        <w:rPr>
          <w:rFonts w:ascii="Times New Roman" w:hAnsi="Times New Roman" w:cs="Times New Roman" w:eastAsia="Times New Roman" w:hint="default"/>
        </w:rPr>
        <w:t>2</w:t>
      </w:r>
      <w:r>
        <w:rPr/>
        <w:t>）重要合营企业的主要财务信息</w:t>
      </w:r>
      <w:r>
        <w:rPr>
          <w:b w:val="0"/>
          <w:bCs w:val="0"/>
        </w:rPr>
      </w:r>
    </w:p>
    <w:p>
      <w:pPr>
        <w:spacing w:line="240" w:lineRule="auto" w:before="9"/>
        <w:rPr>
          <w:rFonts w:ascii="宋体" w:hAnsi="宋体" w:cs="宋体" w:eastAsia="宋体" w:hint="default"/>
          <w:b/>
          <w:bCs/>
          <w:sz w:val="26"/>
          <w:szCs w:val="26"/>
        </w:rPr>
      </w:pPr>
    </w:p>
    <w:p>
      <w:pPr>
        <w:spacing w:before="0"/>
        <w:ind w:left="154" w:right="1117"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0"/>
        <w:rPr>
          <w:rFonts w:ascii="宋体" w:hAnsi="宋体" w:cs="宋体" w:eastAsia="宋体" w:hint="default"/>
          <w:sz w:val="26"/>
          <w:szCs w:val="26"/>
        </w:rPr>
      </w:pPr>
    </w:p>
    <w:p>
      <w:pPr>
        <w:pStyle w:val="Heading4"/>
        <w:spacing w:line="240" w:lineRule="auto"/>
        <w:ind w:right="1117"/>
        <w:jc w:val="left"/>
        <w:rPr>
          <w:b w:val="0"/>
          <w:bCs w:val="0"/>
        </w:rPr>
      </w:pPr>
      <w:bookmarkStart w:name="（3）重要联营企业的主要财务信息" w:id="374"/>
      <w:bookmarkEnd w:id="374"/>
      <w:r>
        <w:rPr>
          <w:b w:val="0"/>
          <w:bCs w:val="0"/>
        </w:rPr>
      </w:r>
      <w:r>
        <w:rPr/>
        <w:t>（</w:t>
      </w:r>
      <w:r>
        <w:rPr>
          <w:rFonts w:ascii="Times New Roman" w:hAnsi="Times New Roman" w:cs="Times New Roman" w:eastAsia="Times New Roman" w:hint="default"/>
        </w:rPr>
        <w:t>3</w:t>
      </w:r>
      <w:r>
        <w:rPr/>
        <w:t>）重要联营企业的主要财务信息</w:t>
      </w:r>
      <w:r>
        <w:rPr>
          <w:b w:val="0"/>
          <w:bCs w:val="0"/>
        </w:rPr>
      </w:r>
    </w:p>
    <w:p>
      <w:pPr>
        <w:spacing w:line="240" w:lineRule="auto" w:before="4"/>
        <w:rPr>
          <w:rFonts w:ascii="宋体" w:hAnsi="宋体" w:cs="宋体" w:eastAsia="宋体" w:hint="default"/>
          <w:b/>
          <w:bCs/>
          <w:sz w:val="23"/>
          <w:szCs w:val="23"/>
        </w:rPr>
      </w:pPr>
    </w:p>
    <w:p>
      <w:pPr>
        <w:spacing w:before="44"/>
        <w:ind w:left="154" w:right="1117" w:firstLine="0"/>
        <w:jc w:val="left"/>
        <w:rPr>
          <w:rFonts w:ascii="宋体" w:hAnsi="宋体" w:cs="宋体" w:eastAsia="宋体" w:hint="default"/>
          <w:sz w:val="18"/>
          <w:szCs w:val="18"/>
        </w:rPr>
      </w:pPr>
      <w:r>
        <w:rPr>
          <w:rFonts w:ascii="宋体" w:hAnsi="宋体" w:cs="宋体" w:eastAsia="宋体" w:hint="default"/>
          <w:sz w:val="18"/>
          <w:szCs w:val="18"/>
        </w:rPr>
        <w:t>①北京希嘉创智教育科技有限公司</w:t>
      </w:r>
    </w:p>
    <w:p>
      <w:pPr>
        <w:spacing w:before="116"/>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90"/>
        <w:gridCol w:w="3191"/>
        <w:gridCol w:w="3179"/>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56" w:right="0"/>
              <w:jc w:val="left"/>
              <w:rPr>
                <w:rFonts w:ascii="宋体" w:hAnsi="宋体" w:cs="宋体" w:eastAsia="宋体" w:hint="default"/>
                <w:sz w:val="18"/>
                <w:szCs w:val="18"/>
              </w:rPr>
            </w:pPr>
            <w:r>
              <w:rPr>
                <w:rFonts w:ascii="宋体" w:hAnsi="宋体" w:cs="宋体" w:eastAsia="宋体" w:hint="default"/>
                <w:sz w:val="18"/>
                <w:szCs w:val="18"/>
              </w:rPr>
              <w:t>期末余额</w:t>
            </w:r>
            <w:r>
              <w:rPr>
                <w:rFonts w:ascii="Times New Roman" w:hAnsi="Times New Roman" w:cs="Times New Roman" w:eastAsia="Times New Roman" w:hint="default"/>
                <w:sz w:val="18"/>
                <w:szCs w:val="18"/>
              </w:rPr>
              <w:t>/</w:t>
            </w:r>
            <w:r>
              <w:rPr>
                <w:rFonts w:ascii="宋体" w:hAnsi="宋体" w:cs="宋体" w:eastAsia="宋体" w:hint="default"/>
                <w:sz w:val="18"/>
                <w:szCs w:val="18"/>
              </w:rPr>
              <w:t>本期发生额</w:t>
            </w:r>
          </w:p>
        </w:tc>
        <w:tc>
          <w:tcPr>
            <w:tcW w:w="31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55" w:right="0"/>
              <w:jc w:val="left"/>
              <w:rPr>
                <w:rFonts w:ascii="宋体" w:hAnsi="宋体" w:cs="宋体" w:eastAsia="宋体" w:hint="default"/>
                <w:sz w:val="18"/>
                <w:szCs w:val="18"/>
              </w:rPr>
            </w:pPr>
            <w:r>
              <w:rPr>
                <w:rFonts w:ascii="宋体" w:hAnsi="宋体" w:cs="宋体" w:eastAsia="宋体" w:hint="default"/>
                <w:sz w:val="18"/>
                <w:szCs w:val="18"/>
              </w:rPr>
              <w:t>期初余额</w:t>
            </w:r>
            <w:r>
              <w:rPr>
                <w:rFonts w:ascii="Times New Roman" w:hAnsi="Times New Roman" w:cs="Times New Roman" w:eastAsia="Times New Roman" w:hint="default"/>
                <w:sz w:val="18"/>
                <w:szCs w:val="18"/>
              </w:rPr>
              <w:t>/</w:t>
            </w:r>
            <w:r>
              <w:rPr>
                <w:rFonts w:ascii="宋体" w:hAnsi="宋体" w:cs="宋体" w:eastAsia="宋体" w:hint="default"/>
                <w:sz w:val="18"/>
                <w:szCs w:val="18"/>
              </w:rPr>
              <w:t>上期发生额</w:t>
            </w:r>
          </w:p>
        </w:tc>
      </w:tr>
    </w:tbl>
    <w:p>
      <w:pPr>
        <w:spacing w:after="0" w:line="240" w:lineRule="auto"/>
        <w:jc w:val="left"/>
        <w:rPr>
          <w:rFonts w:ascii="宋体" w:hAnsi="宋体" w:cs="宋体" w:eastAsia="宋体" w:hint="default"/>
          <w:sz w:val="18"/>
          <w:szCs w:val="18"/>
        </w:rPr>
        <w:sectPr>
          <w:pgSz w:w="11910" w:h="16840"/>
          <w:pgMar w:header="87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229" w:type="dxa"/>
        <w:tblLayout w:type="fixed"/>
        <w:tblCellMar>
          <w:top w:w="0" w:type="dxa"/>
          <w:left w:w="0" w:type="dxa"/>
          <w:bottom w:w="0" w:type="dxa"/>
          <w:right w:w="0" w:type="dxa"/>
        </w:tblCellMar>
        <w:tblLook w:val="01E0"/>
      </w:tblPr>
      <w:tblGrid>
        <w:gridCol w:w="3190"/>
        <w:gridCol w:w="3191"/>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71,356,031.82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47,940,830.70</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17,265,958.28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15,508,231.74</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资产合计</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88,621,990.10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63,449,062.44</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25,693,797.79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19,298,696.94</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25,693,797.79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19,298,696.94</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归属于母公司股东权益</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62,928,192.31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44,150,365.50</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按持股比例计算的净资产份额</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15,102,766.15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10,596,087.72</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对联营企业权益投资的账面价值</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39,128,167.77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25,501,489.34</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39,195,590.78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39,940,968.15</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4,995,105.89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10,352,411.95</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综合收益总额</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4,995,105.89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10,352,411.95</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79" w:top="1060" w:bottom="1160" w:left="900" w:right="0"/>
        </w:sectPr>
      </w:pPr>
    </w:p>
    <w:p>
      <w:pPr>
        <w:spacing w:before="51"/>
        <w:ind w:left="234" w:right="-2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before="117"/>
        <w:ind w:left="234" w:right="-20" w:firstLine="0"/>
        <w:jc w:val="left"/>
        <w:rPr>
          <w:rFonts w:ascii="宋体" w:hAnsi="宋体" w:cs="宋体" w:eastAsia="宋体" w:hint="default"/>
          <w:sz w:val="18"/>
          <w:szCs w:val="18"/>
        </w:rPr>
      </w:pPr>
      <w:r>
        <w:rPr>
          <w:rFonts w:ascii="宋体" w:hAnsi="宋体" w:cs="宋体" w:eastAsia="宋体" w:hint="default"/>
          <w:sz w:val="18"/>
          <w:szCs w:val="18"/>
        </w:rPr>
        <w:t>②  成都兰途网络科技有限公司</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21"/>
          <w:szCs w:val="21"/>
        </w:rPr>
      </w:pPr>
    </w:p>
    <w:p>
      <w:pPr>
        <w:spacing w:before="0"/>
        <w:ind w:left="233" w:right="0" w:firstLine="0"/>
        <w:jc w:val="left"/>
        <w:rPr>
          <w:rFonts w:ascii="宋体" w:hAnsi="宋体" w:cs="宋体" w:eastAsia="宋体" w:hint="default"/>
          <w:sz w:val="18"/>
          <w:szCs w:val="18"/>
        </w:rPr>
      </w:pPr>
      <w:r>
        <w:rPr>
          <w:rFonts w:ascii="宋体" w:hAnsi="宋体" w:cs="宋体" w:eastAsia="宋体" w:hint="default"/>
          <w:sz w:val="18"/>
          <w:szCs w:val="18"/>
        </w:rPr>
        <w:t>单位：元</w:t>
      </w:r>
    </w:p>
    <w:p>
      <w:pPr>
        <w:spacing w:after="0"/>
        <w:jc w:val="left"/>
        <w:rPr>
          <w:rFonts w:ascii="宋体" w:hAnsi="宋体" w:cs="宋体" w:eastAsia="宋体" w:hint="default"/>
          <w:sz w:val="18"/>
          <w:szCs w:val="18"/>
        </w:rPr>
        <w:sectPr>
          <w:type w:val="continuous"/>
          <w:pgSz w:w="11910" w:h="16840"/>
          <w:pgMar w:top="1060" w:bottom="1160" w:left="900" w:right="0"/>
          <w:cols w:num="2" w:equalWidth="0">
            <w:col w:w="2755" w:space="6165"/>
            <w:col w:w="2090"/>
          </w:cols>
        </w:sectPr>
      </w:pPr>
    </w:p>
    <w:p>
      <w:pPr>
        <w:spacing w:line="240" w:lineRule="auto" w:before="1"/>
        <w:rPr>
          <w:rFonts w:ascii="宋体" w:hAnsi="宋体" w:cs="宋体" w:eastAsia="宋体" w:hint="default"/>
          <w:sz w:val="8"/>
          <w:szCs w:val="8"/>
        </w:rPr>
      </w:pPr>
    </w:p>
    <w:tbl>
      <w:tblPr>
        <w:tblW w:w="0" w:type="auto"/>
        <w:jc w:val="left"/>
        <w:tblInd w:w="106" w:type="dxa"/>
        <w:tblLayout w:type="fixed"/>
        <w:tblCellMar>
          <w:top w:w="0" w:type="dxa"/>
          <w:left w:w="0" w:type="dxa"/>
          <w:bottom w:w="0" w:type="dxa"/>
          <w:right w:w="0" w:type="dxa"/>
        </w:tblCellMar>
        <w:tblLook w:val="01E0"/>
      </w:tblPr>
      <w:tblGrid>
        <w:gridCol w:w="3261"/>
        <w:gridCol w:w="3261"/>
        <w:gridCol w:w="3118"/>
      </w:tblGrid>
      <w:tr>
        <w:trPr>
          <w:trHeight w:val="331" w:hRule="exact"/>
        </w:trPr>
        <w:tc>
          <w:tcPr>
            <w:tcW w:w="3261" w:type="dxa"/>
            <w:tcBorders>
              <w:top w:val="single" w:sz="8" w:space="0" w:color="000000"/>
              <w:left w:val="single" w:sz="8" w:space="0" w:color="000000"/>
              <w:bottom w:val="single" w:sz="8" w:space="0" w:color="000000"/>
              <w:right w:val="single" w:sz="8" w:space="0" w:color="000000"/>
            </w:tcBorders>
            <w:shd w:val="clear" w:color="auto" w:fill="D2D2D2"/>
          </w:tcPr>
          <w:p>
            <w:pPr/>
          </w:p>
        </w:tc>
        <w:tc>
          <w:tcPr>
            <w:tcW w:w="3261" w:type="dxa"/>
            <w:tcBorders>
              <w:top w:val="single" w:sz="8" w:space="0" w:color="000000"/>
              <w:left w:val="single" w:sz="8" w:space="0" w:color="000000"/>
              <w:bottom w:val="single" w:sz="8" w:space="0" w:color="000000"/>
              <w:right w:val="single" w:sz="8" w:space="0" w:color="000000"/>
            </w:tcBorders>
            <w:shd w:val="clear" w:color="auto" w:fill="D2D2D2"/>
          </w:tcPr>
          <w:p>
            <w:pPr>
              <w:pStyle w:val="TableParagraph"/>
              <w:spacing w:line="240" w:lineRule="auto" w:before="10"/>
              <w:ind w:left="785" w:right="0"/>
              <w:jc w:val="left"/>
              <w:rPr>
                <w:rFonts w:ascii="宋体" w:hAnsi="宋体" w:cs="宋体" w:eastAsia="宋体" w:hint="default"/>
                <w:sz w:val="18"/>
                <w:szCs w:val="18"/>
              </w:rPr>
            </w:pPr>
            <w:r>
              <w:rPr>
                <w:rFonts w:ascii="宋体" w:hAnsi="宋体" w:cs="宋体" w:eastAsia="宋体" w:hint="default"/>
                <w:sz w:val="18"/>
                <w:szCs w:val="18"/>
              </w:rPr>
              <w:t>期末余额</w:t>
            </w:r>
            <w:r>
              <w:rPr>
                <w:rFonts w:ascii="Times New Roman" w:hAnsi="Times New Roman" w:cs="Times New Roman" w:eastAsia="Times New Roman" w:hint="default"/>
                <w:sz w:val="18"/>
                <w:szCs w:val="18"/>
              </w:rPr>
              <w:t>/</w:t>
            </w:r>
            <w:r>
              <w:rPr>
                <w:rFonts w:ascii="宋体" w:hAnsi="宋体" w:cs="宋体" w:eastAsia="宋体" w:hint="default"/>
                <w:sz w:val="18"/>
                <w:szCs w:val="18"/>
              </w:rPr>
              <w:t>本期发生额</w:t>
            </w:r>
          </w:p>
        </w:tc>
        <w:tc>
          <w:tcPr>
            <w:tcW w:w="3118" w:type="dxa"/>
            <w:tcBorders>
              <w:top w:val="single" w:sz="8" w:space="0" w:color="000000"/>
              <w:left w:val="single" w:sz="8" w:space="0" w:color="000000"/>
              <w:bottom w:val="single" w:sz="8" w:space="0" w:color="000000"/>
              <w:right w:val="single" w:sz="8" w:space="0" w:color="000000"/>
            </w:tcBorders>
            <w:shd w:val="clear" w:color="auto" w:fill="D2D2D2"/>
          </w:tcPr>
          <w:p>
            <w:pPr>
              <w:pStyle w:val="TableParagraph"/>
              <w:spacing w:line="240" w:lineRule="auto" w:before="10"/>
              <w:ind w:left="714" w:right="0"/>
              <w:jc w:val="left"/>
              <w:rPr>
                <w:rFonts w:ascii="宋体" w:hAnsi="宋体" w:cs="宋体" w:eastAsia="宋体" w:hint="default"/>
                <w:sz w:val="18"/>
                <w:szCs w:val="18"/>
              </w:rPr>
            </w:pPr>
            <w:r>
              <w:rPr>
                <w:rFonts w:ascii="宋体" w:hAnsi="宋体" w:cs="宋体" w:eastAsia="宋体" w:hint="default"/>
                <w:sz w:val="18"/>
                <w:szCs w:val="18"/>
              </w:rPr>
              <w:t>期初余额</w:t>
            </w:r>
            <w:r>
              <w:rPr>
                <w:rFonts w:ascii="Times New Roman" w:hAnsi="Times New Roman" w:cs="Times New Roman" w:eastAsia="Times New Roman" w:hint="default"/>
                <w:sz w:val="18"/>
                <w:szCs w:val="18"/>
              </w:rPr>
              <w:t>/</w:t>
            </w:r>
            <w:r>
              <w:rPr>
                <w:rFonts w:ascii="宋体" w:hAnsi="宋体" w:cs="宋体" w:eastAsia="宋体" w:hint="default"/>
                <w:sz w:val="18"/>
                <w:szCs w:val="18"/>
              </w:rPr>
              <w:t>上期发生额</w:t>
            </w:r>
          </w:p>
        </w:tc>
      </w:tr>
      <w:tr>
        <w:trPr>
          <w:trHeight w:val="340" w:hRule="exact"/>
        </w:trPr>
        <w:tc>
          <w:tcPr>
            <w:tcW w:w="3261" w:type="dxa"/>
            <w:tcBorders>
              <w:top w:val="single" w:sz="8" w:space="0" w:color="000000"/>
              <w:left w:val="single" w:sz="8" w:space="0" w:color="000000"/>
              <w:bottom w:val="single" w:sz="8" w:space="0" w:color="000000"/>
              <w:right w:val="single" w:sz="8" w:space="0" w:color="000000"/>
            </w:tcBorders>
            <w:shd w:val="clear" w:color="auto" w:fill="D2D2D2"/>
          </w:tcPr>
          <w:p>
            <w:pPr>
              <w:pStyle w:val="TableParagraph"/>
              <w:spacing w:line="240" w:lineRule="auto" w:before="15"/>
              <w:ind w:left="98"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326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5"/>
              <w:ind w:right="97"/>
              <w:jc w:val="right"/>
              <w:rPr>
                <w:rFonts w:ascii="Times New Roman" w:hAnsi="Times New Roman" w:cs="Times New Roman" w:eastAsia="Times New Roman" w:hint="default"/>
                <w:sz w:val="18"/>
                <w:szCs w:val="18"/>
              </w:rPr>
            </w:pPr>
            <w:r>
              <w:rPr>
                <w:rFonts w:ascii="Times New Roman"/>
                <w:spacing w:val="-1"/>
                <w:sz w:val="18"/>
              </w:rPr>
              <w:t>7,269,536.27</w:t>
            </w:r>
          </w:p>
        </w:tc>
        <w:tc>
          <w:tcPr>
            <w:tcW w:w="311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5"/>
              <w:ind w:right="97"/>
              <w:jc w:val="right"/>
              <w:rPr>
                <w:rFonts w:ascii="Times New Roman" w:hAnsi="Times New Roman" w:cs="Times New Roman" w:eastAsia="Times New Roman" w:hint="default"/>
                <w:sz w:val="18"/>
                <w:szCs w:val="18"/>
              </w:rPr>
            </w:pPr>
            <w:r>
              <w:rPr>
                <w:rFonts w:ascii="Times New Roman"/>
                <w:spacing w:val="-1"/>
                <w:sz w:val="18"/>
              </w:rPr>
              <w:t>6,914,669.78</w:t>
            </w:r>
          </w:p>
        </w:tc>
      </w:tr>
      <w:tr>
        <w:trPr>
          <w:trHeight w:val="331" w:hRule="exact"/>
        </w:trPr>
        <w:tc>
          <w:tcPr>
            <w:tcW w:w="3261" w:type="dxa"/>
            <w:tcBorders>
              <w:top w:val="single" w:sz="8" w:space="0" w:color="000000"/>
              <w:left w:val="single" w:sz="8" w:space="0" w:color="000000"/>
              <w:bottom w:val="single" w:sz="8" w:space="0" w:color="000000"/>
              <w:right w:val="single" w:sz="8" w:space="0" w:color="000000"/>
            </w:tcBorders>
            <w:shd w:val="clear" w:color="auto" w:fill="D2D2D2"/>
          </w:tcPr>
          <w:p>
            <w:pPr>
              <w:pStyle w:val="TableParagraph"/>
              <w:spacing w:line="240" w:lineRule="auto" w:before="10"/>
              <w:ind w:left="98"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326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0"/>
              <w:ind w:right="96"/>
              <w:jc w:val="right"/>
              <w:rPr>
                <w:rFonts w:ascii="Times New Roman" w:hAnsi="Times New Roman" w:cs="Times New Roman" w:eastAsia="Times New Roman" w:hint="default"/>
                <w:sz w:val="18"/>
                <w:szCs w:val="18"/>
              </w:rPr>
            </w:pPr>
            <w:r>
              <w:rPr>
                <w:rFonts w:ascii="Times New Roman"/>
                <w:sz w:val="18"/>
              </w:rPr>
              <w:t>98,848.39</w:t>
            </w:r>
          </w:p>
        </w:tc>
        <w:tc>
          <w:tcPr>
            <w:tcW w:w="311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0"/>
              <w:ind w:right="96"/>
              <w:jc w:val="right"/>
              <w:rPr>
                <w:rFonts w:ascii="Times New Roman" w:hAnsi="Times New Roman" w:cs="Times New Roman" w:eastAsia="Times New Roman" w:hint="default"/>
                <w:sz w:val="18"/>
                <w:szCs w:val="18"/>
              </w:rPr>
            </w:pPr>
            <w:r>
              <w:rPr>
                <w:rFonts w:ascii="Times New Roman"/>
                <w:sz w:val="18"/>
              </w:rPr>
              <w:t>119,200.00</w:t>
            </w:r>
          </w:p>
        </w:tc>
      </w:tr>
      <w:tr>
        <w:trPr>
          <w:trHeight w:val="332" w:hRule="exact"/>
        </w:trPr>
        <w:tc>
          <w:tcPr>
            <w:tcW w:w="3261" w:type="dxa"/>
            <w:tcBorders>
              <w:top w:val="single" w:sz="8" w:space="0" w:color="000000"/>
              <w:left w:val="single" w:sz="8" w:space="0" w:color="000000"/>
              <w:bottom w:val="single" w:sz="8" w:space="0" w:color="000000"/>
              <w:right w:val="single" w:sz="8" w:space="0" w:color="000000"/>
            </w:tcBorders>
            <w:shd w:val="clear" w:color="auto" w:fill="D2D2D2"/>
          </w:tcPr>
          <w:p>
            <w:pPr>
              <w:pStyle w:val="TableParagraph"/>
              <w:spacing w:line="240" w:lineRule="auto" w:before="11"/>
              <w:ind w:left="98" w:right="0"/>
              <w:jc w:val="left"/>
              <w:rPr>
                <w:rFonts w:ascii="宋体" w:hAnsi="宋体" w:cs="宋体" w:eastAsia="宋体" w:hint="default"/>
                <w:sz w:val="18"/>
                <w:szCs w:val="18"/>
              </w:rPr>
            </w:pPr>
            <w:r>
              <w:rPr>
                <w:rFonts w:ascii="宋体" w:hAnsi="宋体" w:cs="宋体" w:eastAsia="宋体" w:hint="default"/>
                <w:sz w:val="18"/>
                <w:szCs w:val="18"/>
              </w:rPr>
              <w:t>资产合计</w:t>
            </w:r>
          </w:p>
        </w:tc>
        <w:tc>
          <w:tcPr>
            <w:tcW w:w="326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97"/>
              <w:jc w:val="right"/>
              <w:rPr>
                <w:rFonts w:ascii="Times New Roman" w:hAnsi="Times New Roman" w:cs="Times New Roman" w:eastAsia="Times New Roman" w:hint="default"/>
                <w:sz w:val="18"/>
                <w:szCs w:val="18"/>
              </w:rPr>
            </w:pPr>
            <w:r>
              <w:rPr>
                <w:rFonts w:ascii="Times New Roman"/>
                <w:spacing w:val="-1"/>
                <w:sz w:val="18"/>
              </w:rPr>
              <w:t>7,368,384.66</w:t>
            </w:r>
          </w:p>
        </w:tc>
        <w:tc>
          <w:tcPr>
            <w:tcW w:w="311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97"/>
              <w:jc w:val="right"/>
              <w:rPr>
                <w:rFonts w:ascii="Times New Roman" w:hAnsi="Times New Roman" w:cs="Times New Roman" w:eastAsia="Times New Roman" w:hint="default"/>
                <w:sz w:val="18"/>
                <w:szCs w:val="18"/>
              </w:rPr>
            </w:pPr>
            <w:r>
              <w:rPr>
                <w:rFonts w:ascii="Times New Roman"/>
                <w:spacing w:val="-1"/>
                <w:sz w:val="18"/>
              </w:rPr>
              <w:t>7,033,869.78</w:t>
            </w:r>
          </w:p>
        </w:tc>
      </w:tr>
      <w:tr>
        <w:trPr>
          <w:trHeight w:val="333" w:hRule="exact"/>
        </w:trPr>
        <w:tc>
          <w:tcPr>
            <w:tcW w:w="3261" w:type="dxa"/>
            <w:tcBorders>
              <w:top w:val="single" w:sz="8" w:space="0" w:color="000000"/>
              <w:left w:val="single" w:sz="8" w:space="0" w:color="000000"/>
              <w:bottom w:val="single" w:sz="8" w:space="0" w:color="000000"/>
              <w:right w:val="single" w:sz="8" w:space="0" w:color="000000"/>
            </w:tcBorders>
            <w:shd w:val="clear" w:color="auto" w:fill="D2D2D2"/>
          </w:tcPr>
          <w:p>
            <w:pPr>
              <w:pStyle w:val="TableParagraph"/>
              <w:spacing w:line="240" w:lineRule="auto" w:before="12"/>
              <w:ind w:left="98"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326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7"/>
              <w:jc w:val="right"/>
              <w:rPr>
                <w:rFonts w:ascii="Times New Roman" w:hAnsi="Times New Roman" w:cs="Times New Roman" w:eastAsia="Times New Roman" w:hint="default"/>
                <w:sz w:val="18"/>
                <w:szCs w:val="18"/>
              </w:rPr>
            </w:pPr>
            <w:r>
              <w:rPr>
                <w:rFonts w:ascii="Times New Roman"/>
                <w:spacing w:val="-1"/>
                <w:sz w:val="18"/>
              </w:rPr>
              <w:t>2,713,477.06</w:t>
            </w:r>
          </w:p>
        </w:tc>
        <w:tc>
          <w:tcPr>
            <w:tcW w:w="311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7"/>
              <w:jc w:val="right"/>
              <w:rPr>
                <w:rFonts w:ascii="Times New Roman" w:hAnsi="Times New Roman" w:cs="Times New Roman" w:eastAsia="Times New Roman" w:hint="default"/>
                <w:sz w:val="18"/>
                <w:szCs w:val="18"/>
              </w:rPr>
            </w:pPr>
            <w:r>
              <w:rPr>
                <w:rFonts w:ascii="Times New Roman"/>
                <w:spacing w:val="-1"/>
                <w:sz w:val="18"/>
              </w:rPr>
              <w:t>1,415,032.65</w:t>
            </w:r>
          </w:p>
        </w:tc>
      </w:tr>
      <w:tr>
        <w:trPr>
          <w:trHeight w:val="331" w:hRule="exact"/>
        </w:trPr>
        <w:tc>
          <w:tcPr>
            <w:tcW w:w="3261" w:type="dxa"/>
            <w:tcBorders>
              <w:top w:val="single" w:sz="8" w:space="0" w:color="000000"/>
              <w:left w:val="single" w:sz="8" w:space="0" w:color="000000"/>
              <w:bottom w:val="single" w:sz="8" w:space="0" w:color="000000"/>
              <w:right w:val="single" w:sz="8" w:space="0" w:color="000000"/>
            </w:tcBorders>
            <w:shd w:val="clear" w:color="auto" w:fill="D2D2D2"/>
          </w:tcPr>
          <w:p>
            <w:pPr>
              <w:pStyle w:val="TableParagraph"/>
              <w:spacing w:line="240" w:lineRule="auto" w:before="10"/>
              <w:ind w:left="98"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3261" w:type="dxa"/>
            <w:tcBorders>
              <w:top w:val="single" w:sz="8" w:space="0" w:color="000000"/>
              <w:left w:val="single" w:sz="8" w:space="0" w:color="000000"/>
              <w:bottom w:val="single" w:sz="8" w:space="0" w:color="000000"/>
              <w:right w:val="single" w:sz="8" w:space="0" w:color="000000"/>
            </w:tcBorders>
          </w:tcPr>
          <w:p>
            <w:pPr/>
          </w:p>
        </w:tc>
        <w:tc>
          <w:tcPr>
            <w:tcW w:w="3118" w:type="dxa"/>
            <w:tcBorders>
              <w:top w:val="single" w:sz="8" w:space="0" w:color="000000"/>
              <w:left w:val="single" w:sz="8" w:space="0" w:color="000000"/>
              <w:bottom w:val="single" w:sz="8" w:space="0" w:color="000000"/>
              <w:right w:val="single" w:sz="8" w:space="0" w:color="000000"/>
            </w:tcBorders>
          </w:tcPr>
          <w:p>
            <w:pPr/>
          </w:p>
        </w:tc>
      </w:tr>
      <w:tr>
        <w:trPr>
          <w:trHeight w:val="332" w:hRule="exact"/>
        </w:trPr>
        <w:tc>
          <w:tcPr>
            <w:tcW w:w="3261" w:type="dxa"/>
            <w:tcBorders>
              <w:top w:val="single" w:sz="8" w:space="0" w:color="000000"/>
              <w:left w:val="single" w:sz="8" w:space="0" w:color="000000"/>
              <w:bottom w:val="single" w:sz="8" w:space="0" w:color="000000"/>
              <w:right w:val="single" w:sz="8" w:space="0" w:color="000000"/>
            </w:tcBorders>
            <w:shd w:val="clear" w:color="auto" w:fill="D2D2D2"/>
          </w:tcPr>
          <w:p>
            <w:pPr>
              <w:pStyle w:val="TableParagraph"/>
              <w:spacing w:line="240" w:lineRule="auto" w:before="11"/>
              <w:ind w:left="98"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326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97"/>
              <w:jc w:val="right"/>
              <w:rPr>
                <w:rFonts w:ascii="Times New Roman" w:hAnsi="Times New Roman" w:cs="Times New Roman" w:eastAsia="Times New Roman" w:hint="default"/>
                <w:sz w:val="18"/>
                <w:szCs w:val="18"/>
              </w:rPr>
            </w:pPr>
            <w:r>
              <w:rPr>
                <w:rFonts w:ascii="Times New Roman"/>
                <w:spacing w:val="-1"/>
                <w:sz w:val="18"/>
              </w:rPr>
              <w:t>2,713,477.06</w:t>
            </w:r>
          </w:p>
        </w:tc>
        <w:tc>
          <w:tcPr>
            <w:tcW w:w="311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97"/>
              <w:jc w:val="right"/>
              <w:rPr>
                <w:rFonts w:ascii="Times New Roman" w:hAnsi="Times New Roman" w:cs="Times New Roman" w:eastAsia="Times New Roman" w:hint="default"/>
                <w:sz w:val="18"/>
                <w:szCs w:val="18"/>
              </w:rPr>
            </w:pPr>
            <w:r>
              <w:rPr>
                <w:rFonts w:ascii="Times New Roman"/>
                <w:spacing w:val="-1"/>
                <w:sz w:val="18"/>
              </w:rPr>
              <w:t>1,415,032.65</w:t>
            </w:r>
          </w:p>
        </w:tc>
      </w:tr>
      <w:tr>
        <w:trPr>
          <w:trHeight w:val="332" w:hRule="exact"/>
        </w:trPr>
        <w:tc>
          <w:tcPr>
            <w:tcW w:w="3261" w:type="dxa"/>
            <w:tcBorders>
              <w:top w:val="single" w:sz="8" w:space="0" w:color="000000"/>
              <w:left w:val="single" w:sz="8" w:space="0" w:color="000000"/>
              <w:bottom w:val="single" w:sz="8" w:space="0" w:color="000000"/>
              <w:right w:val="single" w:sz="8" w:space="0" w:color="000000"/>
            </w:tcBorders>
            <w:shd w:val="clear" w:color="auto" w:fill="D2D2D2"/>
          </w:tcPr>
          <w:p>
            <w:pPr>
              <w:pStyle w:val="TableParagraph"/>
              <w:spacing w:line="240" w:lineRule="auto" w:before="11"/>
              <w:ind w:left="98"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3261" w:type="dxa"/>
            <w:tcBorders>
              <w:top w:val="single" w:sz="8" w:space="0" w:color="000000"/>
              <w:left w:val="single" w:sz="8" w:space="0" w:color="000000"/>
              <w:bottom w:val="single" w:sz="8" w:space="0" w:color="000000"/>
              <w:right w:val="single" w:sz="8" w:space="0" w:color="000000"/>
            </w:tcBorders>
          </w:tcPr>
          <w:p>
            <w:pPr/>
          </w:p>
        </w:tc>
        <w:tc>
          <w:tcPr>
            <w:tcW w:w="3118" w:type="dxa"/>
            <w:tcBorders>
              <w:top w:val="single" w:sz="8" w:space="0" w:color="000000"/>
              <w:left w:val="single" w:sz="8" w:space="0" w:color="000000"/>
              <w:bottom w:val="single" w:sz="8" w:space="0" w:color="000000"/>
              <w:right w:val="single" w:sz="8" w:space="0" w:color="000000"/>
            </w:tcBorders>
          </w:tcPr>
          <w:p>
            <w:pPr/>
          </w:p>
        </w:tc>
      </w:tr>
      <w:tr>
        <w:trPr>
          <w:trHeight w:val="331" w:hRule="exact"/>
        </w:trPr>
        <w:tc>
          <w:tcPr>
            <w:tcW w:w="3261" w:type="dxa"/>
            <w:tcBorders>
              <w:top w:val="single" w:sz="8" w:space="0" w:color="000000"/>
              <w:left w:val="single" w:sz="8" w:space="0" w:color="000000"/>
              <w:bottom w:val="single" w:sz="8" w:space="0" w:color="000000"/>
              <w:right w:val="single" w:sz="8" w:space="0" w:color="000000"/>
            </w:tcBorders>
            <w:shd w:val="clear" w:color="auto" w:fill="D2D2D2"/>
          </w:tcPr>
          <w:p>
            <w:pPr>
              <w:pStyle w:val="TableParagraph"/>
              <w:spacing w:line="240" w:lineRule="auto" w:before="10"/>
              <w:ind w:left="98" w:right="0"/>
              <w:jc w:val="left"/>
              <w:rPr>
                <w:rFonts w:ascii="宋体" w:hAnsi="宋体" w:cs="宋体" w:eastAsia="宋体" w:hint="default"/>
                <w:sz w:val="18"/>
                <w:szCs w:val="18"/>
              </w:rPr>
            </w:pPr>
            <w:r>
              <w:rPr>
                <w:rFonts w:ascii="宋体" w:hAnsi="宋体" w:cs="宋体" w:eastAsia="宋体" w:hint="default"/>
                <w:sz w:val="18"/>
                <w:szCs w:val="18"/>
              </w:rPr>
              <w:t>归属于母公司股东权益</w:t>
            </w:r>
          </w:p>
        </w:tc>
        <w:tc>
          <w:tcPr>
            <w:tcW w:w="326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0"/>
              <w:ind w:right="97"/>
              <w:jc w:val="right"/>
              <w:rPr>
                <w:rFonts w:ascii="Times New Roman" w:hAnsi="Times New Roman" w:cs="Times New Roman" w:eastAsia="Times New Roman" w:hint="default"/>
                <w:sz w:val="18"/>
                <w:szCs w:val="18"/>
              </w:rPr>
            </w:pPr>
            <w:r>
              <w:rPr>
                <w:rFonts w:ascii="Times New Roman"/>
                <w:spacing w:val="-1"/>
                <w:sz w:val="18"/>
              </w:rPr>
              <w:t>4,654,907.60</w:t>
            </w:r>
          </w:p>
        </w:tc>
        <w:tc>
          <w:tcPr>
            <w:tcW w:w="311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0"/>
              <w:ind w:right="97"/>
              <w:jc w:val="right"/>
              <w:rPr>
                <w:rFonts w:ascii="Times New Roman" w:hAnsi="Times New Roman" w:cs="Times New Roman" w:eastAsia="Times New Roman" w:hint="default"/>
                <w:sz w:val="18"/>
                <w:szCs w:val="18"/>
              </w:rPr>
            </w:pPr>
            <w:r>
              <w:rPr>
                <w:rFonts w:ascii="Times New Roman"/>
                <w:spacing w:val="-1"/>
                <w:sz w:val="18"/>
              </w:rPr>
              <w:t>5,618,837.13</w:t>
            </w:r>
          </w:p>
        </w:tc>
      </w:tr>
      <w:tr>
        <w:trPr>
          <w:trHeight w:val="332" w:hRule="exact"/>
        </w:trPr>
        <w:tc>
          <w:tcPr>
            <w:tcW w:w="3261" w:type="dxa"/>
            <w:tcBorders>
              <w:top w:val="single" w:sz="8" w:space="0" w:color="000000"/>
              <w:left w:val="single" w:sz="8" w:space="0" w:color="000000"/>
              <w:bottom w:val="single" w:sz="8" w:space="0" w:color="000000"/>
              <w:right w:val="single" w:sz="8" w:space="0" w:color="000000"/>
            </w:tcBorders>
            <w:shd w:val="clear" w:color="auto" w:fill="D2D2D2"/>
          </w:tcPr>
          <w:p>
            <w:pPr>
              <w:pStyle w:val="TableParagraph"/>
              <w:spacing w:line="240" w:lineRule="auto" w:before="11"/>
              <w:ind w:left="98" w:right="0"/>
              <w:jc w:val="left"/>
              <w:rPr>
                <w:rFonts w:ascii="宋体" w:hAnsi="宋体" w:cs="宋体" w:eastAsia="宋体" w:hint="default"/>
                <w:sz w:val="18"/>
                <w:szCs w:val="18"/>
              </w:rPr>
            </w:pPr>
            <w:r>
              <w:rPr>
                <w:rFonts w:ascii="宋体" w:hAnsi="宋体" w:cs="宋体" w:eastAsia="宋体" w:hint="default"/>
                <w:sz w:val="18"/>
                <w:szCs w:val="18"/>
              </w:rPr>
              <w:t>按持股比例计算的净资产份额</w:t>
            </w:r>
          </w:p>
        </w:tc>
        <w:tc>
          <w:tcPr>
            <w:tcW w:w="326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95"/>
              <w:jc w:val="right"/>
              <w:rPr>
                <w:rFonts w:ascii="Times New Roman" w:hAnsi="Times New Roman" w:cs="Times New Roman" w:eastAsia="Times New Roman" w:hint="default"/>
                <w:sz w:val="18"/>
                <w:szCs w:val="18"/>
              </w:rPr>
            </w:pPr>
            <w:r>
              <w:rPr>
                <w:rFonts w:ascii="Times New Roman"/>
                <w:spacing w:val="-1"/>
                <w:sz w:val="18"/>
              </w:rPr>
              <w:t>1,629,217.66</w:t>
            </w:r>
          </w:p>
        </w:tc>
        <w:tc>
          <w:tcPr>
            <w:tcW w:w="311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95"/>
              <w:jc w:val="right"/>
              <w:rPr>
                <w:rFonts w:ascii="Times New Roman" w:hAnsi="Times New Roman" w:cs="Times New Roman" w:eastAsia="Times New Roman" w:hint="default"/>
                <w:sz w:val="18"/>
                <w:szCs w:val="18"/>
              </w:rPr>
            </w:pPr>
            <w:r>
              <w:rPr>
                <w:rFonts w:ascii="Times New Roman"/>
                <w:spacing w:val="-1"/>
                <w:sz w:val="18"/>
              </w:rPr>
              <w:t>1,966,593.00</w:t>
            </w:r>
          </w:p>
        </w:tc>
      </w:tr>
      <w:tr>
        <w:trPr>
          <w:trHeight w:val="332" w:hRule="exact"/>
        </w:trPr>
        <w:tc>
          <w:tcPr>
            <w:tcW w:w="3261" w:type="dxa"/>
            <w:tcBorders>
              <w:top w:val="single" w:sz="8" w:space="0" w:color="000000"/>
              <w:left w:val="single" w:sz="8" w:space="0" w:color="000000"/>
              <w:bottom w:val="single" w:sz="8" w:space="0" w:color="000000"/>
              <w:right w:val="single" w:sz="8" w:space="0" w:color="000000"/>
            </w:tcBorders>
            <w:shd w:val="clear" w:color="auto" w:fill="D2D2D2"/>
          </w:tcPr>
          <w:p>
            <w:pPr>
              <w:pStyle w:val="TableParagraph"/>
              <w:spacing w:line="240" w:lineRule="auto" w:before="11"/>
              <w:ind w:left="98" w:right="0"/>
              <w:jc w:val="left"/>
              <w:rPr>
                <w:rFonts w:ascii="宋体" w:hAnsi="宋体" w:cs="宋体" w:eastAsia="宋体" w:hint="default"/>
                <w:sz w:val="18"/>
                <w:szCs w:val="18"/>
              </w:rPr>
            </w:pPr>
            <w:r>
              <w:rPr>
                <w:rFonts w:ascii="宋体" w:hAnsi="宋体" w:cs="宋体" w:eastAsia="宋体" w:hint="default"/>
                <w:sz w:val="18"/>
                <w:szCs w:val="18"/>
              </w:rPr>
              <w:t>调整事项</w:t>
            </w:r>
          </w:p>
        </w:tc>
        <w:tc>
          <w:tcPr>
            <w:tcW w:w="3261" w:type="dxa"/>
            <w:tcBorders>
              <w:top w:val="single" w:sz="8" w:space="0" w:color="000000"/>
              <w:left w:val="single" w:sz="8" w:space="0" w:color="000000"/>
              <w:bottom w:val="single" w:sz="8" w:space="0" w:color="000000"/>
              <w:right w:val="single" w:sz="8" w:space="0" w:color="000000"/>
            </w:tcBorders>
          </w:tcPr>
          <w:p>
            <w:pPr/>
          </w:p>
        </w:tc>
        <w:tc>
          <w:tcPr>
            <w:tcW w:w="3118" w:type="dxa"/>
            <w:tcBorders>
              <w:top w:val="single" w:sz="8" w:space="0" w:color="000000"/>
              <w:left w:val="single" w:sz="8" w:space="0" w:color="000000"/>
              <w:bottom w:val="single" w:sz="8" w:space="0" w:color="000000"/>
              <w:right w:val="single" w:sz="8" w:space="0" w:color="000000"/>
            </w:tcBorders>
          </w:tcPr>
          <w:p>
            <w:pPr/>
          </w:p>
        </w:tc>
      </w:tr>
      <w:tr>
        <w:trPr>
          <w:trHeight w:val="331" w:hRule="exact"/>
        </w:trPr>
        <w:tc>
          <w:tcPr>
            <w:tcW w:w="3261" w:type="dxa"/>
            <w:tcBorders>
              <w:top w:val="single" w:sz="8" w:space="0" w:color="000000"/>
              <w:left w:val="single" w:sz="8" w:space="0" w:color="000000"/>
              <w:bottom w:val="single" w:sz="8" w:space="0" w:color="000000"/>
              <w:right w:val="single" w:sz="8" w:space="0" w:color="000000"/>
            </w:tcBorders>
            <w:shd w:val="clear" w:color="auto" w:fill="D2D2D2"/>
          </w:tcPr>
          <w:p>
            <w:pPr>
              <w:pStyle w:val="TableParagraph"/>
              <w:spacing w:line="240" w:lineRule="auto" w:before="10"/>
              <w:ind w:left="9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商誉</w:t>
            </w:r>
          </w:p>
        </w:tc>
        <w:tc>
          <w:tcPr>
            <w:tcW w:w="3261" w:type="dxa"/>
            <w:tcBorders>
              <w:top w:val="single" w:sz="8" w:space="0" w:color="000000"/>
              <w:left w:val="single" w:sz="8" w:space="0" w:color="000000"/>
              <w:bottom w:val="single" w:sz="8" w:space="0" w:color="000000"/>
              <w:right w:val="single" w:sz="8" w:space="0" w:color="000000"/>
            </w:tcBorders>
          </w:tcPr>
          <w:p>
            <w:pPr/>
          </w:p>
        </w:tc>
        <w:tc>
          <w:tcPr>
            <w:tcW w:w="3118" w:type="dxa"/>
            <w:tcBorders>
              <w:top w:val="single" w:sz="8" w:space="0" w:color="000000"/>
              <w:left w:val="single" w:sz="8" w:space="0" w:color="000000"/>
              <w:bottom w:val="single" w:sz="8" w:space="0" w:color="000000"/>
              <w:right w:val="single" w:sz="8" w:space="0" w:color="000000"/>
            </w:tcBorders>
          </w:tcPr>
          <w:p>
            <w:pPr/>
          </w:p>
        </w:tc>
      </w:tr>
      <w:tr>
        <w:trPr>
          <w:trHeight w:val="332" w:hRule="exact"/>
        </w:trPr>
        <w:tc>
          <w:tcPr>
            <w:tcW w:w="3261" w:type="dxa"/>
            <w:tcBorders>
              <w:top w:val="single" w:sz="8" w:space="0" w:color="000000"/>
              <w:left w:val="single" w:sz="8" w:space="0" w:color="000000"/>
              <w:bottom w:val="single" w:sz="8" w:space="0" w:color="000000"/>
              <w:right w:val="single" w:sz="8" w:space="0" w:color="000000"/>
            </w:tcBorders>
            <w:shd w:val="clear" w:color="auto" w:fill="D2D2D2"/>
          </w:tcPr>
          <w:p>
            <w:pPr>
              <w:pStyle w:val="TableParagraph"/>
              <w:spacing w:line="240" w:lineRule="auto" w:before="11"/>
              <w:ind w:left="9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内部交易未实现利润</w:t>
            </w:r>
          </w:p>
        </w:tc>
        <w:tc>
          <w:tcPr>
            <w:tcW w:w="3261" w:type="dxa"/>
            <w:tcBorders>
              <w:top w:val="single" w:sz="8" w:space="0" w:color="000000"/>
              <w:left w:val="single" w:sz="8" w:space="0" w:color="000000"/>
              <w:bottom w:val="single" w:sz="8" w:space="0" w:color="000000"/>
              <w:right w:val="single" w:sz="8" w:space="0" w:color="000000"/>
            </w:tcBorders>
          </w:tcPr>
          <w:p>
            <w:pPr/>
          </w:p>
        </w:tc>
        <w:tc>
          <w:tcPr>
            <w:tcW w:w="3118" w:type="dxa"/>
            <w:tcBorders>
              <w:top w:val="single" w:sz="8" w:space="0" w:color="000000"/>
              <w:left w:val="single" w:sz="8" w:space="0" w:color="000000"/>
              <w:bottom w:val="single" w:sz="8" w:space="0" w:color="000000"/>
              <w:right w:val="single" w:sz="8" w:space="0" w:color="000000"/>
            </w:tcBorders>
          </w:tcPr>
          <w:p>
            <w:pPr/>
          </w:p>
        </w:tc>
      </w:tr>
      <w:tr>
        <w:trPr>
          <w:trHeight w:val="332" w:hRule="exact"/>
        </w:trPr>
        <w:tc>
          <w:tcPr>
            <w:tcW w:w="3261" w:type="dxa"/>
            <w:tcBorders>
              <w:top w:val="single" w:sz="8" w:space="0" w:color="000000"/>
              <w:left w:val="single" w:sz="8" w:space="0" w:color="000000"/>
              <w:bottom w:val="single" w:sz="8" w:space="0" w:color="000000"/>
              <w:right w:val="single" w:sz="8" w:space="0" w:color="000000"/>
            </w:tcBorders>
            <w:shd w:val="clear" w:color="auto" w:fill="D2D2D2"/>
          </w:tcPr>
          <w:p>
            <w:pPr>
              <w:pStyle w:val="TableParagraph"/>
              <w:spacing w:line="240" w:lineRule="auto" w:before="11"/>
              <w:ind w:left="9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其他</w:t>
            </w:r>
          </w:p>
        </w:tc>
        <w:tc>
          <w:tcPr>
            <w:tcW w:w="3261" w:type="dxa"/>
            <w:tcBorders>
              <w:top w:val="single" w:sz="8" w:space="0" w:color="000000"/>
              <w:left w:val="single" w:sz="8" w:space="0" w:color="000000"/>
              <w:bottom w:val="single" w:sz="8" w:space="0" w:color="000000"/>
              <w:right w:val="single" w:sz="8" w:space="0" w:color="000000"/>
            </w:tcBorders>
          </w:tcPr>
          <w:p>
            <w:pPr/>
          </w:p>
        </w:tc>
        <w:tc>
          <w:tcPr>
            <w:tcW w:w="3118" w:type="dxa"/>
            <w:tcBorders>
              <w:top w:val="single" w:sz="8" w:space="0" w:color="000000"/>
              <w:left w:val="single" w:sz="8" w:space="0" w:color="000000"/>
              <w:bottom w:val="single" w:sz="8" w:space="0" w:color="000000"/>
              <w:right w:val="single" w:sz="8" w:space="0" w:color="000000"/>
            </w:tcBorders>
          </w:tcPr>
          <w:p>
            <w:pPr/>
          </w:p>
        </w:tc>
      </w:tr>
      <w:tr>
        <w:trPr>
          <w:trHeight w:val="331" w:hRule="exact"/>
        </w:trPr>
        <w:tc>
          <w:tcPr>
            <w:tcW w:w="3261" w:type="dxa"/>
            <w:tcBorders>
              <w:top w:val="single" w:sz="8" w:space="0" w:color="000000"/>
              <w:left w:val="single" w:sz="8" w:space="0" w:color="000000"/>
              <w:bottom w:val="single" w:sz="8" w:space="0" w:color="000000"/>
              <w:right w:val="single" w:sz="8" w:space="0" w:color="000000"/>
            </w:tcBorders>
            <w:shd w:val="clear" w:color="auto" w:fill="D2D2D2"/>
          </w:tcPr>
          <w:p>
            <w:pPr>
              <w:pStyle w:val="TableParagraph"/>
              <w:spacing w:line="240" w:lineRule="auto" w:before="10"/>
              <w:ind w:left="98" w:right="0"/>
              <w:jc w:val="left"/>
              <w:rPr>
                <w:rFonts w:ascii="宋体" w:hAnsi="宋体" w:cs="宋体" w:eastAsia="宋体" w:hint="default"/>
                <w:sz w:val="18"/>
                <w:szCs w:val="18"/>
              </w:rPr>
            </w:pPr>
            <w:r>
              <w:rPr>
                <w:rFonts w:ascii="宋体" w:hAnsi="宋体" w:cs="宋体" w:eastAsia="宋体" w:hint="default"/>
                <w:sz w:val="18"/>
                <w:szCs w:val="18"/>
              </w:rPr>
              <w:t>对联营企业权益投资的账面价值</w:t>
            </w:r>
          </w:p>
        </w:tc>
        <w:tc>
          <w:tcPr>
            <w:tcW w:w="326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0"/>
              <w:ind w:right="97"/>
              <w:jc w:val="right"/>
              <w:rPr>
                <w:rFonts w:ascii="Times New Roman" w:hAnsi="Times New Roman" w:cs="Times New Roman" w:eastAsia="Times New Roman" w:hint="default"/>
                <w:sz w:val="18"/>
                <w:szCs w:val="18"/>
              </w:rPr>
            </w:pPr>
            <w:r>
              <w:rPr>
                <w:rFonts w:ascii="Times New Roman"/>
                <w:spacing w:val="-1"/>
                <w:sz w:val="18"/>
              </w:rPr>
              <w:t>7,649,143.58</w:t>
            </w:r>
          </w:p>
        </w:tc>
        <w:tc>
          <w:tcPr>
            <w:tcW w:w="311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0"/>
              <w:ind w:right="97"/>
              <w:jc w:val="right"/>
              <w:rPr>
                <w:rFonts w:ascii="Times New Roman" w:hAnsi="Times New Roman" w:cs="Times New Roman" w:eastAsia="Times New Roman" w:hint="default"/>
                <w:sz w:val="18"/>
                <w:szCs w:val="18"/>
              </w:rPr>
            </w:pPr>
            <w:r>
              <w:rPr>
                <w:rFonts w:ascii="Times New Roman"/>
                <w:spacing w:val="-1"/>
                <w:sz w:val="18"/>
              </w:rPr>
              <w:t>7,986,518.92</w:t>
            </w:r>
          </w:p>
        </w:tc>
      </w:tr>
      <w:tr>
        <w:trPr>
          <w:trHeight w:val="644" w:hRule="exact"/>
        </w:trPr>
        <w:tc>
          <w:tcPr>
            <w:tcW w:w="3261" w:type="dxa"/>
            <w:tcBorders>
              <w:top w:val="single" w:sz="8" w:space="0" w:color="000000"/>
              <w:left w:val="single" w:sz="8" w:space="0" w:color="000000"/>
              <w:bottom w:val="single" w:sz="8" w:space="0" w:color="000000"/>
              <w:right w:val="single" w:sz="8" w:space="0" w:color="000000"/>
            </w:tcBorders>
            <w:shd w:val="clear" w:color="auto" w:fill="D2D2D2"/>
          </w:tcPr>
          <w:p>
            <w:pPr>
              <w:pStyle w:val="TableParagraph"/>
              <w:spacing w:line="316" w:lineRule="auto" w:before="11"/>
              <w:ind w:left="98" w:right="261"/>
              <w:jc w:val="left"/>
              <w:rPr>
                <w:rFonts w:ascii="宋体" w:hAnsi="宋体" w:cs="宋体" w:eastAsia="宋体" w:hint="default"/>
                <w:sz w:val="18"/>
                <w:szCs w:val="18"/>
              </w:rPr>
            </w:pPr>
            <w:r>
              <w:rPr>
                <w:rFonts w:ascii="宋体" w:hAnsi="宋体" w:cs="宋体" w:eastAsia="宋体" w:hint="default"/>
                <w:sz w:val="18"/>
                <w:szCs w:val="18"/>
              </w:rPr>
              <w:t>存在公开报价的联营企业权益投资的 公允价值</w:t>
            </w:r>
          </w:p>
        </w:tc>
        <w:tc>
          <w:tcPr>
            <w:tcW w:w="3261" w:type="dxa"/>
            <w:tcBorders>
              <w:top w:val="single" w:sz="8" w:space="0" w:color="000000"/>
              <w:left w:val="single" w:sz="8" w:space="0" w:color="000000"/>
              <w:bottom w:val="single" w:sz="8" w:space="0" w:color="000000"/>
              <w:right w:val="single" w:sz="8" w:space="0" w:color="000000"/>
            </w:tcBorders>
          </w:tcPr>
          <w:p>
            <w:pPr/>
          </w:p>
        </w:tc>
        <w:tc>
          <w:tcPr>
            <w:tcW w:w="3118" w:type="dxa"/>
            <w:tcBorders>
              <w:top w:val="single" w:sz="8" w:space="0" w:color="000000"/>
              <w:left w:val="single" w:sz="8" w:space="0" w:color="000000"/>
              <w:bottom w:val="single" w:sz="8" w:space="0" w:color="000000"/>
              <w:right w:val="single" w:sz="8" w:space="0" w:color="000000"/>
            </w:tcBorders>
          </w:tcPr>
          <w:p>
            <w:pPr/>
          </w:p>
        </w:tc>
      </w:tr>
      <w:tr>
        <w:trPr>
          <w:trHeight w:val="332" w:hRule="exact"/>
        </w:trPr>
        <w:tc>
          <w:tcPr>
            <w:tcW w:w="3261" w:type="dxa"/>
            <w:tcBorders>
              <w:top w:val="single" w:sz="8" w:space="0" w:color="000000"/>
              <w:left w:val="single" w:sz="8" w:space="0" w:color="000000"/>
              <w:bottom w:val="single" w:sz="8" w:space="0" w:color="000000"/>
              <w:right w:val="single" w:sz="8" w:space="0" w:color="000000"/>
            </w:tcBorders>
            <w:shd w:val="clear" w:color="auto" w:fill="D2D2D2"/>
          </w:tcPr>
          <w:p>
            <w:pPr>
              <w:pStyle w:val="TableParagraph"/>
              <w:spacing w:line="240" w:lineRule="auto" w:before="11"/>
              <w:ind w:left="98"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326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97"/>
              <w:jc w:val="right"/>
              <w:rPr>
                <w:rFonts w:ascii="Times New Roman" w:hAnsi="Times New Roman" w:cs="Times New Roman" w:eastAsia="Times New Roman" w:hint="default"/>
                <w:sz w:val="18"/>
                <w:szCs w:val="18"/>
              </w:rPr>
            </w:pPr>
            <w:r>
              <w:rPr>
                <w:rFonts w:ascii="Times New Roman"/>
                <w:spacing w:val="-1"/>
                <w:sz w:val="18"/>
              </w:rPr>
              <w:t>6,044,971.42</w:t>
            </w:r>
          </w:p>
        </w:tc>
        <w:tc>
          <w:tcPr>
            <w:tcW w:w="311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97"/>
              <w:jc w:val="right"/>
              <w:rPr>
                <w:rFonts w:ascii="Times New Roman" w:hAnsi="Times New Roman" w:cs="Times New Roman" w:eastAsia="Times New Roman" w:hint="default"/>
                <w:sz w:val="18"/>
                <w:szCs w:val="18"/>
              </w:rPr>
            </w:pPr>
            <w:r>
              <w:rPr>
                <w:rFonts w:ascii="Times New Roman"/>
                <w:spacing w:val="-1"/>
                <w:sz w:val="18"/>
              </w:rPr>
              <w:t>7,886,813.37</w:t>
            </w:r>
          </w:p>
        </w:tc>
      </w:tr>
      <w:tr>
        <w:trPr>
          <w:trHeight w:val="331" w:hRule="exact"/>
        </w:trPr>
        <w:tc>
          <w:tcPr>
            <w:tcW w:w="3261" w:type="dxa"/>
            <w:tcBorders>
              <w:top w:val="single" w:sz="8" w:space="0" w:color="000000"/>
              <w:left w:val="single" w:sz="8" w:space="0" w:color="000000"/>
              <w:bottom w:val="single" w:sz="8" w:space="0" w:color="000000"/>
              <w:right w:val="single" w:sz="8" w:space="0" w:color="000000"/>
            </w:tcBorders>
            <w:shd w:val="clear" w:color="auto" w:fill="D2D2D2"/>
          </w:tcPr>
          <w:p>
            <w:pPr>
              <w:pStyle w:val="TableParagraph"/>
              <w:spacing w:line="240" w:lineRule="auto" w:before="10"/>
              <w:ind w:left="98"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326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0"/>
              <w:ind w:right="96"/>
              <w:jc w:val="right"/>
              <w:rPr>
                <w:rFonts w:ascii="Times New Roman" w:hAnsi="Times New Roman" w:cs="Times New Roman" w:eastAsia="Times New Roman" w:hint="default"/>
                <w:sz w:val="18"/>
                <w:szCs w:val="18"/>
              </w:rPr>
            </w:pPr>
            <w:r>
              <w:rPr>
                <w:rFonts w:ascii="Times New Roman"/>
                <w:w w:val="95"/>
                <w:sz w:val="18"/>
              </w:rPr>
              <w:t>-963,929.53</w:t>
            </w:r>
            <w:r>
              <w:rPr>
                <w:rFonts w:ascii="Times New Roman"/>
                <w:sz w:val="18"/>
              </w:rPr>
            </w:r>
          </w:p>
        </w:tc>
        <w:tc>
          <w:tcPr>
            <w:tcW w:w="311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0"/>
              <w:ind w:right="97"/>
              <w:jc w:val="right"/>
              <w:rPr>
                <w:rFonts w:ascii="Times New Roman" w:hAnsi="Times New Roman" w:cs="Times New Roman" w:eastAsia="Times New Roman" w:hint="default"/>
                <w:sz w:val="18"/>
                <w:szCs w:val="18"/>
              </w:rPr>
            </w:pPr>
            <w:r>
              <w:rPr>
                <w:rFonts w:ascii="Times New Roman"/>
                <w:spacing w:val="-1"/>
                <w:sz w:val="18"/>
              </w:rPr>
              <w:t>-1,400,412.57</w:t>
            </w:r>
          </w:p>
        </w:tc>
      </w:tr>
      <w:tr>
        <w:trPr>
          <w:trHeight w:val="332" w:hRule="exact"/>
        </w:trPr>
        <w:tc>
          <w:tcPr>
            <w:tcW w:w="3261" w:type="dxa"/>
            <w:tcBorders>
              <w:top w:val="single" w:sz="8" w:space="0" w:color="000000"/>
              <w:left w:val="single" w:sz="8" w:space="0" w:color="000000"/>
              <w:bottom w:val="single" w:sz="8" w:space="0" w:color="000000"/>
              <w:right w:val="single" w:sz="8" w:space="0" w:color="000000"/>
            </w:tcBorders>
            <w:shd w:val="clear" w:color="auto" w:fill="D2D2D2"/>
          </w:tcPr>
          <w:p>
            <w:pPr>
              <w:pStyle w:val="TableParagraph"/>
              <w:spacing w:line="240" w:lineRule="auto" w:before="11"/>
              <w:ind w:left="98" w:right="0"/>
              <w:jc w:val="left"/>
              <w:rPr>
                <w:rFonts w:ascii="宋体" w:hAnsi="宋体" w:cs="宋体" w:eastAsia="宋体" w:hint="default"/>
                <w:sz w:val="18"/>
                <w:szCs w:val="18"/>
              </w:rPr>
            </w:pPr>
            <w:r>
              <w:rPr>
                <w:rFonts w:ascii="宋体" w:hAnsi="宋体" w:cs="宋体" w:eastAsia="宋体" w:hint="default"/>
                <w:sz w:val="18"/>
                <w:szCs w:val="18"/>
              </w:rPr>
              <w:t>终止经营的净利润</w:t>
            </w:r>
          </w:p>
        </w:tc>
        <w:tc>
          <w:tcPr>
            <w:tcW w:w="3261" w:type="dxa"/>
            <w:tcBorders>
              <w:top w:val="single" w:sz="8" w:space="0" w:color="000000"/>
              <w:left w:val="single" w:sz="8" w:space="0" w:color="000000"/>
              <w:bottom w:val="single" w:sz="8" w:space="0" w:color="000000"/>
              <w:right w:val="single" w:sz="8" w:space="0" w:color="000000"/>
            </w:tcBorders>
          </w:tcPr>
          <w:p>
            <w:pPr/>
          </w:p>
        </w:tc>
        <w:tc>
          <w:tcPr>
            <w:tcW w:w="3118" w:type="dxa"/>
            <w:tcBorders>
              <w:top w:val="single" w:sz="8" w:space="0" w:color="000000"/>
              <w:left w:val="single" w:sz="8" w:space="0" w:color="000000"/>
              <w:bottom w:val="single" w:sz="8" w:space="0" w:color="000000"/>
              <w:right w:val="single" w:sz="8" w:space="0" w:color="000000"/>
            </w:tcBorders>
          </w:tcPr>
          <w:p>
            <w:pPr/>
          </w:p>
        </w:tc>
      </w:tr>
      <w:tr>
        <w:trPr>
          <w:trHeight w:val="332" w:hRule="exact"/>
        </w:trPr>
        <w:tc>
          <w:tcPr>
            <w:tcW w:w="3261" w:type="dxa"/>
            <w:tcBorders>
              <w:top w:val="single" w:sz="8" w:space="0" w:color="000000"/>
              <w:left w:val="single" w:sz="8" w:space="0" w:color="000000"/>
              <w:bottom w:val="single" w:sz="8" w:space="0" w:color="000000"/>
              <w:right w:val="single" w:sz="8" w:space="0" w:color="000000"/>
            </w:tcBorders>
            <w:shd w:val="clear" w:color="auto" w:fill="D2D2D2"/>
          </w:tcPr>
          <w:p>
            <w:pPr>
              <w:pStyle w:val="TableParagraph"/>
              <w:spacing w:line="240" w:lineRule="auto" w:before="11"/>
              <w:ind w:left="98"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3261" w:type="dxa"/>
            <w:tcBorders>
              <w:top w:val="single" w:sz="8" w:space="0" w:color="000000"/>
              <w:left w:val="single" w:sz="8" w:space="0" w:color="000000"/>
              <w:bottom w:val="single" w:sz="8" w:space="0" w:color="000000"/>
              <w:right w:val="single" w:sz="8" w:space="0" w:color="000000"/>
            </w:tcBorders>
          </w:tcPr>
          <w:p>
            <w:pPr/>
          </w:p>
        </w:tc>
        <w:tc>
          <w:tcPr>
            <w:tcW w:w="3118" w:type="dxa"/>
            <w:tcBorders>
              <w:top w:val="single" w:sz="8" w:space="0" w:color="000000"/>
              <w:left w:val="single" w:sz="8" w:space="0" w:color="000000"/>
              <w:bottom w:val="single" w:sz="8" w:space="0" w:color="000000"/>
              <w:right w:val="single" w:sz="8" w:space="0" w:color="000000"/>
            </w:tcBorders>
          </w:tcPr>
          <w:p>
            <w:pPr/>
          </w:p>
        </w:tc>
      </w:tr>
      <w:tr>
        <w:trPr>
          <w:trHeight w:val="332" w:hRule="exact"/>
        </w:trPr>
        <w:tc>
          <w:tcPr>
            <w:tcW w:w="3261" w:type="dxa"/>
            <w:tcBorders>
              <w:top w:val="single" w:sz="8" w:space="0" w:color="000000"/>
              <w:left w:val="single" w:sz="8" w:space="0" w:color="000000"/>
              <w:bottom w:val="single" w:sz="8" w:space="0" w:color="000000"/>
              <w:right w:val="single" w:sz="8" w:space="0" w:color="000000"/>
            </w:tcBorders>
            <w:shd w:val="clear" w:color="auto" w:fill="D2D2D2"/>
          </w:tcPr>
          <w:p>
            <w:pPr>
              <w:pStyle w:val="TableParagraph"/>
              <w:spacing w:line="240" w:lineRule="auto" w:before="11"/>
              <w:ind w:left="98" w:right="0"/>
              <w:jc w:val="left"/>
              <w:rPr>
                <w:rFonts w:ascii="宋体" w:hAnsi="宋体" w:cs="宋体" w:eastAsia="宋体" w:hint="default"/>
                <w:sz w:val="18"/>
                <w:szCs w:val="18"/>
              </w:rPr>
            </w:pPr>
            <w:r>
              <w:rPr>
                <w:rFonts w:ascii="宋体" w:hAnsi="宋体" w:cs="宋体" w:eastAsia="宋体" w:hint="default"/>
                <w:sz w:val="18"/>
                <w:szCs w:val="18"/>
              </w:rPr>
              <w:t>综合收益总额</w:t>
            </w:r>
          </w:p>
        </w:tc>
        <w:tc>
          <w:tcPr>
            <w:tcW w:w="326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0"/>
              <w:ind w:right="96"/>
              <w:jc w:val="right"/>
              <w:rPr>
                <w:rFonts w:ascii="Times New Roman" w:hAnsi="Times New Roman" w:cs="Times New Roman" w:eastAsia="Times New Roman" w:hint="default"/>
                <w:sz w:val="18"/>
                <w:szCs w:val="18"/>
              </w:rPr>
            </w:pPr>
            <w:r>
              <w:rPr>
                <w:rFonts w:ascii="Times New Roman"/>
                <w:w w:val="95"/>
                <w:sz w:val="18"/>
              </w:rPr>
              <w:t>-963,929.53</w:t>
            </w:r>
            <w:r>
              <w:rPr>
                <w:rFonts w:ascii="Times New Roman"/>
                <w:sz w:val="18"/>
              </w:rPr>
            </w:r>
          </w:p>
        </w:tc>
        <w:tc>
          <w:tcPr>
            <w:tcW w:w="311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0"/>
              <w:ind w:right="97"/>
              <w:jc w:val="right"/>
              <w:rPr>
                <w:rFonts w:ascii="Times New Roman" w:hAnsi="Times New Roman" w:cs="Times New Roman" w:eastAsia="Times New Roman" w:hint="default"/>
                <w:sz w:val="18"/>
                <w:szCs w:val="18"/>
              </w:rPr>
            </w:pPr>
            <w:r>
              <w:rPr>
                <w:rFonts w:ascii="Times New Roman"/>
                <w:spacing w:val="-1"/>
                <w:sz w:val="18"/>
              </w:rPr>
              <w:t>-1,400,412.57</w:t>
            </w:r>
          </w:p>
        </w:tc>
      </w:tr>
      <w:tr>
        <w:trPr>
          <w:trHeight w:val="332" w:hRule="exact"/>
        </w:trPr>
        <w:tc>
          <w:tcPr>
            <w:tcW w:w="3261" w:type="dxa"/>
            <w:tcBorders>
              <w:top w:val="single" w:sz="8" w:space="0" w:color="000000"/>
              <w:left w:val="single" w:sz="8" w:space="0" w:color="000000"/>
              <w:bottom w:val="single" w:sz="8" w:space="0" w:color="000000"/>
              <w:right w:val="single" w:sz="8" w:space="0" w:color="000000"/>
            </w:tcBorders>
            <w:shd w:val="clear" w:color="auto" w:fill="D2D2D2"/>
          </w:tcPr>
          <w:p>
            <w:pPr>
              <w:pStyle w:val="TableParagraph"/>
              <w:spacing w:line="240" w:lineRule="auto" w:before="11"/>
              <w:ind w:left="98" w:right="0"/>
              <w:jc w:val="left"/>
              <w:rPr>
                <w:rFonts w:ascii="宋体" w:hAnsi="宋体" w:cs="宋体" w:eastAsia="宋体" w:hint="default"/>
                <w:sz w:val="18"/>
                <w:szCs w:val="18"/>
              </w:rPr>
            </w:pPr>
            <w:r>
              <w:rPr>
                <w:rFonts w:ascii="宋体" w:hAnsi="宋体" w:cs="宋体" w:eastAsia="宋体" w:hint="default"/>
                <w:sz w:val="18"/>
                <w:szCs w:val="18"/>
              </w:rPr>
              <w:t>本年度收到的来自联营企业的股利</w:t>
            </w:r>
          </w:p>
        </w:tc>
        <w:tc>
          <w:tcPr>
            <w:tcW w:w="3261" w:type="dxa"/>
            <w:tcBorders>
              <w:top w:val="single" w:sz="8" w:space="0" w:color="000000"/>
              <w:left w:val="single" w:sz="8" w:space="0" w:color="000000"/>
              <w:bottom w:val="single" w:sz="8" w:space="0" w:color="000000"/>
              <w:right w:val="single" w:sz="8" w:space="0" w:color="000000"/>
            </w:tcBorders>
          </w:tcPr>
          <w:p>
            <w:pPr/>
          </w:p>
        </w:tc>
        <w:tc>
          <w:tcPr>
            <w:tcW w:w="3118" w:type="dxa"/>
            <w:tcBorders>
              <w:top w:val="single" w:sz="8" w:space="0" w:color="000000"/>
              <w:left w:val="single" w:sz="8" w:space="0" w:color="000000"/>
              <w:bottom w:val="single" w:sz="8" w:space="0" w:color="000000"/>
              <w:right w:val="single" w:sz="8" w:space="0" w:color="000000"/>
            </w:tcBorders>
          </w:tcPr>
          <w:p>
            <w:pPr/>
          </w:p>
        </w:tc>
      </w:tr>
    </w:tbl>
    <w:p>
      <w:pPr>
        <w:spacing w:before="11"/>
        <w:ind w:left="234" w:right="0" w:firstLine="0"/>
        <w:jc w:val="left"/>
        <w:rPr>
          <w:rFonts w:ascii="宋体" w:hAnsi="宋体" w:cs="宋体" w:eastAsia="宋体" w:hint="default"/>
          <w:sz w:val="18"/>
          <w:szCs w:val="18"/>
        </w:rPr>
      </w:pPr>
      <w:r>
        <w:rPr>
          <w:rFonts w:ascii="宋体" w:hAnsi="宋体" w:cs="宋体" w:eastAsia="宋体" w:hint="default"/>
          <w:sz w:val="18"/>
          <w:szCs w:val="18"/>
        </w:rPr>
        <w:t>③嘉兴丹城开普股权投资合伙企业（有限合伙）</w:t>
      </w:r>
    </w:p>
    <w:p>
      <w:pPr>
        <w:spacing w:before="76"/>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after="0"/>
        <w:jc w:val="right"/>
        <w:rPr>
          <w:rFonts w:ascii="宋体" w:hAnsi="宋体" w:cs="宋体" w:eastAsia="宋体" w:hint="default"/>
          <w:sz w:val="18"/>
          <w:szCs w:val="18"/>
        </w:rPr>
        <w:sectPr>
          <w:type w:val="continuous"/>
          <w:pgSz w:w="11910" w:h="16840"/>
          <w:pgMar w:top="1060" w:bottom="1160" w:left="900" w:right="0"/>
        </w:sectPr>
      </w:pPr>
    </w:p>
    <w:p>
      <w:pPr>
        <w:spacing w:line="240" w:lineRule="auto" w:before="7"/>
        <w:rPr>
          <w:rFonts w:ascii="宋体" w:hAnsi="宋体" w:cs="宋体" w:eastAsia="宋体" w:hint="default"/>
          <w:sz w:val="28"/>
          <w:szCs w:val="28"/>
        </w:rPr>
      </w:pPr>
    </w:p>
    <w:tbl>
      <w:tblPr>
        <w:tblW w:w="0" w:type="auto"/>
        <w:jc w:val="left"/>
        <w:tblInd w:w="116" w:type="dxa"/>
        <w:tblLayout w:type="fixed"/>
        <w:tblCellMar>
          <w:top w:w="0" w:type="dxa"/>
          <w:left w:w="0" w:type="dxa"/>
          <w:bottom w:w="0" w:type="dxa"/>
          <w:right w:w="0" w:type="dxa"/>
        </w:tblCellMar>
        <w:tblLook w:val="01E0"/>
      </w:tblPr>
      <w:tblGrid>
        <w:gridCol w:w="3251"/>
        <w:gridCol w:w="3261"/>
        <w:gridCol w:w="3118"/>
      </w:tblGrid>
      <w:tr>
        <w:trPr>
          <w:trHeight w:val="332" w:hRule="exact"/>
        </w:trPr>
        <w:tc>
          <w:tcPr>
            <w:tcW w:w="3251" w:type="dxa"/>
            <w:tcBorders>
              <w:top w:val="single" w:sz="8" w:space="0" w:color="000000"/>
              <w:left w:val="single" w:sz="8" w:space="0" w:color="000000"/>
              <w:bottom w:val="single" w:sz="8" w:space="0" w:color="000000"/>
              <w:right w:val="single" w:sz="8" w:space="0" w:color="000000"/>
            </w:tcBorders>
            <w:shd w:val="clear" w:color="auto" w:fill="D2D2D2"/>
          </w:tcPr>
          <w:p>
            <w:pPr/>
          </w:p>
        </w:tc>
        <w:tc>
          <w:tcPr>
            <w:tcW w:w="3261" w:type="dxa"/>
            <w:tcBorders>
              <w:top w:val="single" w:sz="8" w:space="0" w:color="000000"/>
              <w:left w:val="single" w:sz="8" w:space="0" w:color="000000"/>
              <w:bottom w:val="single" w:sz="8" w:space="0" w:color="000000"/>
              <w:right w:val="single" w:sz="8" w:space="0" w:color="000000"/>
            </w:tcBorders>
            <w:shd w:val="clear" w:color="auto" w:fill="D2D2D2"/>
          </w:tcPr>
          <w:p>
            <w:pPr>
              <w:pStyle w:val="TableParagraph"/>
              <w:spacing w:line="240" w:lineRule="auto" w:before="11"/>
              <w:ind w:left="785" w:right="0"/>
              <w:jc w:val="left"/>
              <w:rPr>
                <w:rFonts w:ascii="宋体" w:hAnsi="宋体" w:cs="宋体" w:eastAsia="宋体" w:hint="default"/>
                <w:sz w:val="18"/>
                <w:szCs w:val="18"/>
              </w:rPr>
            </w:pPr>
            <w:r>
              <w:rPr>
                <w:rFonts w:ascii="宋体" w:hAnsi="宋体" w:cs="宋体" w:eastAsia="宋体" w:hint="default"/>
                <w:sz w:val="18"/>
                <w:szCs w:val="18"/>
              </w:rPr>
              <w:t>期末余额</w:t>
            </w:r>
            <w:r>
              <w:rPr>
                <w:rFonts w:ascii="Times New Roman" w:hAnsi="Times New Roman" w:cs="Times New Roman" w:eastAsia="Times New Roman" w:hint="default"/>
                <w:sz w:val="18"/>
                <w:szCs w:val="18"/>
              </w:rPr>
              <w:t>/</w:t>
            </w:r>
            <w:r>
              <w:rPr>
                <w:rFonts w:ascii="宋体" w:hAnsi="宋体" w:cs="宋体" w:eastAsia="宋体" w:hint="default"/>
                <w:sz w:val="18"/>
                <w:szCs w:val="18"/>
              </w:rPr>
              <w:t>本期发生额</w:t>
            </w:r>
          </w:p>
        </w:tc>
        <w:tc>
          <w:tcPr>
            <w:tcW w:w="3118" w:type="dxa"/>
            <w:tcBorders>
              <w:top w:val="single" w:sz="8" w:space="0" w:color="000000"/>
              <w:left w:val="single" w:sz="8" w:space="0" w:color="000000"/>
              <w:bottom w:val="single" w:sz="8" w:space="0" w:color="000000"/>
              <w:right w:val="single" w:sz="8" w:space="0" w:color="000000"/>
            </w:tcBorders>
            <w:shd w:val="clear" w:color="auto" w:fill="D2D2D2"/>
          </w:tcPr>
          <w:p>
            <w:pPr>
              <w:pStyle w:val="TableParagraph"/>
              <w:spacing w:line="240" w:lineRule="auto" w:before="11"/>
              <w:ind w:left="714" w:right="0"/>
              <w:jc w:val="left"/>
              <w:rPr>
                <w:rFonts w:ascii="宋体" w:hAnsi="宋体" w:cs="宋体" w:eastAsia="宋体" w:hint="default"/>
                <w:sz w:val="18"/>
                <w:szCs w:val="18"/>
              </w:rPr>
            </w:pPr>
            <w:r>
              <w:rPr>
                <w:rFonts w:ascii="宋体" w:hAnsi="宋体" w:cs="宋体" w:eastAsia="宋体" w:hint="default"/>
                <w:sz w:val="18"/>
                <w:szCs w:val="18"/>
              </w:rPr>
              <w:t>期初余额</w:t>
            </w:r>
            <w:r>
              <w:rPr>
                <w:rFonts w:ascii="Times New Roman" w:hAnsi="Times New Roman" w:cs="Times New Roman" w:eastAsia="Times New Roman" w:hint="default"/>
                <w:sz w:val="18"/>
                <w:szCs w:val="18"/>
              </w:rPr>
              <w:t>/</w:t>
            </w:r>
            <w:r>
              <w:rPr>
                <w:rFonts w:ascii="宋体" w:hAnsi="宋体" w:cs="宋体" w:eastAsia="宋体" w:hint="default"/>
                <w:sz w:val="18"/>
                <w:szCs w:val="18"/>
              </w:rPr>
              <w:t>上期发生额</w:t>
            </w:r>
          </w:p>
        </w:tc>
      </w:tr>
      <w:tr>
        <w:trPr>
          <w:trHeight w:val="331" w:hRule="exact"/>
        </w:trPr>
        <w:tc>
          <w:tcPr>
            <w:tcW w:w="3251" w:type="dxa"/>
            <w:tcBorders>
              <w:top w:val="single" w:sz="8" w:space="0" w:color="000000"/>
              <w:left w:val="single" w:sz="8" w:space="0" w:color="000000"/>
              <w:bottom w:val="single" w:sz="8" w:space="0" w:color="000000"/>
              <w:right w:val="single" w:sz="8" w:space="0" w:color="000000"/>
            </w:tcBorders>
            <w:shd w:val="clear" w:color="auto" w:fill="D2D2D2"/>
          </w:tcPr>
          <w:p>
            <w:pPr>
              <w:pStyle w:val="TableParagraph"/>
              <w:spacing w:line="240" w:lineRule="auto" w:before="10"/>
              <w:ind w:left="98"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326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0"/>
              <w:ind w:right="96"/>
              <w:jc w:val="right"/>
              <w:rPr>
                <w:rFonts w:ascii="Times New Roman" w:hAnsi="Times New Roman" w:cs="Times New Roman" w:eastAsia="Times New Roman" w:hint="default"/>
                <w:sz w:val="18"/>
                <w:szCs w:val="18"/>
              </w:rPr>
            </w:pPr>
            <w:r>
              <w:rPr>
                <w:rFonts w:ascii="Times New Roman"/>
                <w:sz w:val="18"/>
              </w:rPr>
              <w:t>309,851.27</w:t>
            </w:r>
          </w:p>
        </w:tc>
        <w:tc>
          <w:tcPr>
            <w:tcW w:w="311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0"/>
              <w:ind w:right="97"/>
              <w:jc w:val="right"/>
              <w:rPr>
                <w:rFonts w:ascii="Times New Roman" w:hAnsi="Times New Roman" w:cs="Times New Roman" w:eastAsia="Times New Roman" w:hint="default"/>
                <w:sz w:val="18"/>
                <w:szCs w:val="18"/>
              </w:rPr>
            </w:pPr>
            <w:r>
              <w:rPr>
                <w:rFonts w:ascii="Times New Roman"/>
                <w:spacing w:val="-1"/>
                <w:sz w:val="18"/>
              </w:rPr>
              <w:t>2,456,209.25</w:t>
            </w:r>
          </w:p>
        </w:tc>
      </w:tr>
      <w:tr>
        <w:trPr>
          <w:trHeight w:val="332" w:hRule="exact"/>
        </w:trPr>
        <w:tc>
          <w:tcPr>
            <w:tcW w:w="3251" w:type="dxa"/>
            <w:tcBorders>
              <w:top w:val="single" w:sz="8" w:space="0" w:color="000000"/>
              <w:left w:val="single" w:sz="8" w:space="0" w:color="000000"/>
              <w:bottom w:val="single" w:sz="8" w:space="0" w:color="000000"/>
              <w:right w:val="single" w:sz="8" w:space="0" w:color="000000"/>
            </w:tcBorders>
            <w:shd w:val="clear" w:color="auto" w:fill="D2D2D2"/>
          </w:tcPr>
          <w:p>
            <w:pPr>
              <w:pStyle w:val="TableParagraph"/>
              <w:spacing w:line="240" w:lineRule="auto" w:before="11"/>
              <w:ind w:left="98"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326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97"/>
              <w:jc w:val="right"/>
              <w:rPr>
                <w:rFonts w:ascii="Times New Roman" w:hAnsi="Times New Roman" w:cs="Times New Roman" w:eastAsia="Times New Roman" w:hint="default"/>
                <w:sz w:val="18"/>
                <w:szCs w:val="18"/>
              </w:rPr>
            </w:pPr>
            <w:r>
              <w:rPr>
                <w:rFonts w:ascii="Times New Roman"/>
                <w:spacing w:val="-1"/>
                <w:sz w:val="18"/>
              </w:rPr>
              <w:t>34,600,000.00</w:t>
            </w:r>
          </w:p>
        </w:tc>
        <w:tc>
          <w:tcPr>
            <w:tcW w:w="311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97"/>
              <w:jc w:val="right"/>
              <w:rPr>
                <w:rFonts w:ascii="Times New Roman" w:hAnsi="Times New Roman" w:cs="Times New Roman" w:eastAsia="Times New Roman" w:hint="default"/>
                <w:sz w:val="18"/>
                <w:szCs w:val="18"/>
              </w:rPr>
            </w:pPr>
            <w:r>
              <w:rPr>
                <w:rFonts w:ascii="Times New Roman"/>
                <w:spacing w:val="-1"/>
                <w:sz w:val="18"/>
              </w:rPr>
              <w:t>22,800,000.00</w:t>
            </w:r>
          </w:p>
        </w:tc>
      </w:tr>
      <w:tr>
        <w:trPr>
          <w:trHeight w:val="332" w:hRule="exact"/>
        </w:trPr>
        <w:tc>
          <w:tcPr>
            <w:tcW w:w="3251" w:type="dxa"/>
            <w:tcBorders>
              <w:top w:val="single" w:sz="8" w:space="0" w:color="000000"/>
              <w:left w:val="single" w:sz="8" w:space="0" w:color="000000"/>
              <w:bottom w:val="single" w:sz="8" w:space="0" w:color="000000"/>
              <w:right w:val="single" w:sz="8" w:space="0" w:color="000000"/>
            </w:tcBorders>
            <w:shd w:val="clear" w:color="auto" w:fill="D2D2D2"/>
          </w:tcPr>
          <w:p>
            <w:pPr>
              <w:pStyle w:val="TableParagraph"/>
              <w:spacing w:line="240" w:lineRule="auto" w:before="11"/>
              <w:ind w:left="98" w:right="0"/>
              <w:jc w:val="left"/>
              <w:rPr>
                <w:rFonts w:ascii="宋体" w:hAnsi="宋体" w:cs="宋体" w:eastAsia="宋体" w:hint="default"/>
                <w:sz w:val="18"/>
                <w:szCs w:val="18"/>
              </w:rPr>
            </w:pPr>
            <w:r>
              <w:rPr>
                <w:rFonts w:ascii="宋体" w:hAnsi="宋体" w:cs="宋体" w:eastAsia="宋体" w:hint="default"/>
                <w:sz w:val="18"/>
                <w:szCs w:val="18"/>
              </w:rPr>
              <w:t>资产合计</w:t>
            </w:r>
          </w:p>
        </w:tc>
        <w:tc>
          <w:tcPr>
            <w:tcW w:w="326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97"/>
              <w:jc w:val="right"/>
              <w:rPr>
                <w:rFonts w:ascii="Times New Roman" w:hAnsi="Times New Roman" w:cs="Times New Roman" w:eastAsia="Times New Roman" w:hint="default"/>
                <w:sz w:val="18"/>
                <w:szCs w:val="18"/>
              </w:rPr>
            </w:pPr>
            <w:r>
              <w:rPr>
                <w:rFonts w:ascii="Times New Roman"/>
                <w:spacing w:val="-1"/>
                <w:sz w:val="18"/>
              </w:rPr>
              <w:t>34,909,851.27</w:t>
            </w:r>
          </w:p>
        </w:tc>
        <w:tc>
          <w:tcPr>
            <w:tcW w:w="311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97"/>
              <w:jc w:val="right"/>
              <w:rPr>
                <w:rFonts w:ascii="Times New Roman" w:hAnsi="Times New Roman" w:cs="Times New Roman" w:eastAsia="Times New Roman" w:hint="default"/>
                <w:sz w:val="18"/>
                <w:szCs w:val="18"/>
              </w:rPr>
            </w:pPr>
            <w:r>
              <w:rPr>
                <w:rFonts w:ascii="Times New Roman"/>
                <w:spacing w:val="-1"/>
                <w:sz w:val="18"/>
              </w:rPr>
              <w:t>25,256,209.25</w:t>
            </w:r>
          </w:p>
        </w:tc>
      </w:tr>
      <w:tr>
        <w:trPr>
          <w:trHeight w:val="332" w:hRule="exact"/>
        </w:trPr>
        <w:tc>
          <w:tcPr>
            <w:tcW w:w="3251" w:type="dxa"/>
            <w:tcBorders>
              <w:top w:val="single" w:sz="8" w:space="0" w:color="000000"/>
              <w:left w:val="single" w:sz="8" w:space="0" w:color="000000"/>
              <w:bottom w:val="single" w:sz="8" w:space="0" w:color="000000"/>
              <w:right w:val="single" w:sz="8" w:space="0" w:color="000000"/>
            </w:tcBorders>
            <w:shd w:val="clear" w:color="auto" w:fill="D2D2D2"/>
          </w:tcPr>
          <w:p>
            <w:pPr>
              <w:pStyle w:val="TableParagraph"/>
              <w:spacing w:line="240" w:lineRule="auto" w:before="11"/>
              <w:ind w:left="98"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326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0"/>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11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0"/>
              <w:ind w:right="97"/>
              <w:jc w:val="right"/>
              <w:rPr>
                <w:rFonts w:ascii="Times New Roman" w:hAnsi="Times New Roman" w:cs="Times New Roman" w:eastAsia="Times New Roman" w:hint="default"/>
                <w:sz w:val="18"/>
                <w:szCs w:val="18"/>
              </w:rPr>
            </w:pPr>
            <w:r>
              <w:rPr>
                <w:rFonts w:ascii="Times New Roman"/>
                <w:spacing w:val="-1"/>
                <w:sz w:val="18"/>
              </w:rPr>
              <w:t>4,341,225.60</w:t>
            </w:r>
          </w:p>
        </w:tc>
      </w:tr>
      <w:tr>
        <w:trPr>
          <w:trHeight w:val="332" w:hRule="exact"/>
        </w:trPr>
        <w:tc>
          <w:tcPr>
            <w:tcW w:w="3251" w:type="dxa"/>
            <w:tcBorders>
              <w:top w:val="single" w:sz="8" w:space="0" w:color="000000"/>
              <w:left w:val="single" w:sz="8" w:space="0" w:color="000000"/>
              <w:bottom w:val="single" w:sz="8" w:space="0" w:color="000000"/>
              <w:right w:val="single" w:sz="8" w:space="0" w:color="000000"/>
            </w:tcBorders>
            <w:shd w:val="clear" w:color="auto" w:fill="D2D2D2"/>
          </w:tcPr>
          <w:p>
            <w:pPr>
              <w:pStyle w:val="TableParagraph"/>
              <w:spacing w:line="240" w:lineRule="auto" w:before="11"/>
              <w:ind w:left="98"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3261" w:type="dxa"/>
            <w:tcBorders>
              <w:top w:val="single" w:sz="8" w:space="0" w:color="000000"/>
              <w:left w:val="single" w:sz="8" w:space="0" w:color="000000"/>
              <w:bottom w:val="single" w:sz="8" w:space="0" w:color="000000"/>
              <w:right w:val="single" w:sz="8" w:space="0" w:color="000000"/>
            </w:tcBorders>
          </w:tcPr>
          <w:p>
            <w:pPr/>
          </w:p>
        </w:tc>
        <w:tc>
          <w:tcPr>
            <w:tcW w:w="3118" w:type="dxa"/>
            <w:tcBorders>
              <w:top w:val="single" w:sz="8" w:space="0" w:color="000000"/>
              <w:left w:val="single" w:sz="8" w:space="0" w:color="000000"/>
              <w:bottom w:val="single" w:sz="8" w:space="0" w:color="000000"/>
              <w:right w:val="single" w:sz="8" w:space="0" w:color="000000"/>
            </w:tcBorders>
          </w:tcPr>
          <w:p>
            <w:pPr/>
          </w:p>
        </w:tc>
      </w:tr>
      <w:tr>
        <w:trPr>
          <w:trHeight w:val="332" w:hRule="exact"/>
        </w:trPr>
        <w:tc>
          <w:tcPr>
            <w:tcW w:w="3251" w:type="dxa"/>
            <w:tcBorders>
              <w:top w:val="single" w:sz="8" w:space="0" w:color="000000"/>
              <w:left w:val="single" w:sz="8" w:space="0" w:color="000000"/>
              <w:bottom w:val="single" w:sz="8" w:space="0" w:color="000000"/>
              <w:right w:val="single" w:sz="8" w:space="0" w:color="000000"/>
            </w:tcBorders>
            <w:shd w:val="clear" w:color="auto" w:fill="D2D2D2"/>
          </w:tcPr>
          <w:p>
            <w:pPr>
              <w:pStyle w:val="TableParagraph"/>
              <w:spacing w:line="240" w:lineRule="auto" w:before="11"/>
              <w:ind w:left="98"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326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11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97"/>
              <w:jc w:val="right"/>
              <w:rPr>
                <w:rFonts w:ascii="Times New Roman" w:hAnsi="Times New Roman" w:cs="Times New Roman" w:eastAsia="Times New Roman" w:hint="default"/>
                <w:sz w:val="18"/>
                <w:szCs w:val="18"/>
              </w:rPr>
            </w:pPr>
            <w:r>
              <w:rPr>
                <w:rFonts w:ascii="Times New Roman"/>
                <w:spacing w:val="-1"/>
                <w:sz w:val="18"/>
              </w:rPr>
              <w:t>4,341,225.60</w:t>
            </w:r>
          </w:p>
        </w:tc>
      </w:tr>
      <w:tr>
        <w:trPr>
          <w:trHeight w:val="331" w:hRule="exact"/>
        </w:trPr>
        <w:tc>
          <w:tcPr>
            <w:tcW w:w="3251" w:type="dxa"/>
            <w:tcBorders>
              <w:top w:val="single" w:sz="8" w:space="0" w:color="000000"/>
              <w:left w:val="single" w:sz="8" w:space="0" w:color="000000"/>
              <w:bottom w:val="single" w:sz="8" w:space="0" w:color="000000"/>
              <w:right w:val="single" w:sz="8" w:space="0" w:color="000000"/>
            </w:tcBorders>
            <w:shd w:val="clear" w:color="auto" w:fill="D2D2D2"/>
          </w:tcPr>
          <w:p>
            <w:pPr>
              <w:pStyle w:val="TableParagraph"/>
              <w:spacing w:line="240" w:lineRule="auto" w:before="10"/>
              <w:ind w:left="98"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3261" w:type="dxa"/>
            <w:tcBorders>
              <w:top w:val="single" w:sz="8" w:space="0" w:color="000000"/>
              <w:left w:val="single" w:sz="8" w:space="0" w:color="000000"/>
              <w:bottom w:val="single" w:sz="8" w:space="0" w:color="000000"/>
              <w:right w:val="single" w:sz="8" w:space="0" w:color="000000"/>
            </w:tcBorders>
          </w:tcPr>
          <w:p>
            <w:pPr/>
          </w:p>
        </w:tc>
        <w:tc>
          <w:tcPr>
            <w:tcW w:w="3118" w:type="dxa"/>
            <w:tcBorders>
              <w:top w:val="single" w:sz="8" w:space="0" w:color="000000"/>
              <w:left w:val="single" w:sz="8" w:space="0" w:color="000000"/>
              <w:bottom w:val="single" w:sz="8" w:space="0" w:color="000000"/>
              <w:right w:val="single" w:sz="8" w:space="0" w:color="000000"/>
            </w:tcBorders>
          </w:tcPr>
          <w:p>
            <w:pPr/>
          </w:p>
        </w:tc>
      </w:tr>
      <w:tr>
        <w:trPr>
          <w:trHeight w:val="332" w:hRule="exact"/>
        </w:trPr>
        <w:tc>
          <w:tcPr>
            <w:tcW w:w="3251" w:type="dxa"/>
            <w:tcBorders>
              <w:top w:val="single" w:sz="8" w:space="0" w:color="000000"/>
              <w:left w:val="single" w:sz="8" w:space="0" w:color="000000"/>
              <w:bottom w:val="single" w:sz="8" w:space="0" w:color="000000"/>
              <w:right w:val="single" w:sz="8" w:space="0" w:color="000000"/>
            </w:tcBorders>
            <w:shd w:val="clear" w:color="auto" w:fill="D2D2D2"/>
          </w:tcPr>
          <w:p>
            <w:pPr>
              <w:pStyle w:val="TableParagraph"/>
              <w:spacing w:line="240" w:lineRule="auto" w:before="11"/>
              <w:ind w:left="98" w:right="0"/>
              <w:jc w:val="left"/>
              <w:rPr>
                <w:rFonts w:ascii="宋体" w:hAnsi="宋体" w:cs="宋体" w:eastAsia="宋体" w:hint="default"/>
                <w:sz w:val="18"/>
                <w:szCs w:val="18"/>
              </w:rPr>
            </w:pPr>
            <w:r>
              <w:rPr>
                <w:rFonts w:ascii="宋体" w:hAnsi="宋体" w:cs="宋体" w:eastAsia="宋体" w:hint="default"/>
                <w:sz w:val="18"/>
                <w:szCs w:val="18"/>
              </w:rPr>
              <w:t>归属于母公司股东权益</w:t>
            </w:r>
          </w:p>
        </w:tc>
        <w:tc>
          <w:tcPr>
            <w:tcW w:w="326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97"/>
              <w:jc w:val="right"/>
              <w:rPr>
                <w:rFonts w:ascii="Times New Roman" w:hAnsi="Times New Roman" w:cs="Times New Roman" w:eastAsia="Times New Roman" w:hint="default"/>
                <w:sz w:val="18"/>
                <w:szCs w:val="18"/>
              </w:rPr>
            </w:pPr>
            <w:r>
              <w:rPr>
                <w:rFonts w:ascii="Times New Roman"/>
                <w:spacing w:val="-1"/>
                <w:sz w:val="18"/>
              </w:rPr>
              <w:t>34,909,851.27</w:t>
            </w:r>
          </w:p>
        </w:tc>
        <w:tc>
          <w:tcPr>
            <w:tcW w:w="311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97"/>
              <w:jc w:val="right"/>
              <w:rPr>
                <w:rFonts w:ascii="Times New Roman" w:hAnsi="Times New Roman" w:cs="Times New Roman" w:eastAsia="Times New Roman" w:hint="default"/>
                <w:sz w:val="18"/>
                <w:szCs w:val="18"/>
              </w:rPr>
            </w:pPr>
            <w:r>
              <w:rPr>
                <w:rFonts w:ascii="Times New Roman"/>
                <w:spacing w:val="-1"/>
                <w:sz w:val="18"/>
              </w:rPr>
              <w:t>20,914,983.65</w:t>
            </w:r>
          </w:p>
        </w:tc>
      </w:tr>
      <w:tr>
        <w:trPr>
          <w:trHeight w:val="332" w:hRule="exact"/>
        </w:trPr>
        <w:tc>
          <w:tcPr>
            <w:tcW w:w="3251" w:type="dxa"/>
            <w:tcBorders>
              <w:top w:val="single" w:sz="8" w:space="0" w:color="000000"/>
              <w:left w:val="single" w:sz="8" w:space="0" w:color="000000"/>
              <w:bottom w:val="single" w:sz="8" w:space="0" w:color="000000"/>
              <w:right w:val="single" w:sz="8" w:space="0" w:color="000000"/>
            </w:tcBorders>
            <w:shd w:val="clear" w:color="auto" w:fill="D2D2D2"/>
          </w:tcPr>
          <w:p>
            <w:pPr>
              <w:pStyle w:val="TableParagraph"/>
              <w:spacing w:line="240" w:lineRule="auto" w:before="11"/>
              <w:ind w:left="98" w:right="0"/>
              <w:jc w:val="left"/>
              <w:rPr>
                <w:rFonts w:ascii="宋体" w:hAnsi="宋体" w:cs="宋体" w:eastAsia="宋体" w:hint="default"/>
                <w:sz w:val="18"/>
                <w:szCs w:val="18"/>
              </w:rPr>
            </w:pPr>
            <w:r>
              <w:rPr>
                <w:rFonts w:ascii="宋体" w:hAnsi="宋体" w:cs="宋体" w:eastAsia="宋体" w:hint="default"/>
                <w:sz w:val="18"/>
                <w:szCs w:val="18"/>
              </w:rPr>
              <w:t>按持股比例计算的净资产份额</w:t>
            </w:r>
          </w:p>
        </w:tc>
        <w:tc>
          <w:tcPr>
            <w:tcW w:w="326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97"/>
              <w:jc w:val="right"/>
              <w:rPr>
                <w:rFonts w:ascii="Times New Roman" w:hAnsi="Times New Roman" w:cs="Times New Roman" w:eastAsia="Times New Roman" w:hint="default"/>
                <w:sz w:val="18"/>
                <w:szCs w:val="18"/>
              </w:rPr>
            </w:pPr>
            <w:r>
              <w:rPr>
                <w:rFonts w:ascii="Times New Roman"/>
                <w:spacing w:val="-1"/>
                <w:sz w:val="18"/>
              </w:rPr>
              <w:t>33,747,353.22</w:t>
            </w:r>
          </w:p>
        </w:tc>
        <w:tc>
          <w:tcPr>
            <w:tcW w:w="311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97"/>
              <w:jc w:val="right"/>
              <w:rPr>
                <w:rFonts w:ascii="Times New Roman" w:hAnsi="Times New Roman" w:cs="Times New Roman" w:eastAsia="Times New Roman" w:hint="default"/>
                <w:sz w:val="18"/>
                <w:szCs w:val="18"/>
              </w:rPr>
            </w:pPr>
            <w:r>
              <w:rPr>
                <w:rFonts w:ascii="Times New Roman"/>
                <w:spacing w:val="-1"/>
                <w:sz w:val="18"/>
              </w:rPr>
              <w:t>20,218,514.69</w:t>
            </w:r>
          </w:p>
        </w:tc>
      </w:tr>
      <w:tr>
        <w:trPr>
          <w:trHeight w:val="331" w:hRule="exact"/>
        </w:trPr>
        <w:tc>
          <w:tcPr>
            <w:tcW w:w="3251" w:type="dxa"/>
            <w:tcBorders>
              <w:top w:val="single" w:sz="8" w:space="0" w:color="000000"/>
              <w:left w:val="single" w:sz="8" w:space="0" w:color="000000"/>
              <w:bottom w:val="single" w:sz="8" w:space="0" w:color="000000"/>
              <w:right w:val="single" w:sz="8" w:space="0" w:color="000000"/>
            </w:tcBorders>
            <w:shd w:val="clear" w:color="auto" w:fill="D2D2D2"/>
          </w:tcPr>
          <w:p>
            <w:pPr>
              <w:pStyle w:val="TableParagraph"/>
              <w:spacing w:line="240" w:lineRule="auto" w:before="10"/>
              <w:ind w:left="98" w:right="0"/>
              <w:jc w:val="left"/>
              <w:rPr>
                <w:rFonts w:ascii="宋体" w:hAnsi="宋体" w:cs="宋体" w:eastAsia="宋体" w:hint="default"/>
                <w:sz w:val="18"/>
                <w:szCs w:val="18"/>
              </w:rPr>
            </w:pPr>
            <w:r>
              <w:rPr>
                <w:rFonts w:ascii="宋体" w:hAnsi="宋体" w:cs="宋体" w:eastAsia="宋体" w:hint="default"/>
                <w:sz w:val="18"/>
                <w:szCs w:val="18"/>
              </w:rPr>
              <w:t>调整事项</w:t>
            </w:r>
          </w:p>
        </w:tc>
        <w:tc>
          <w:tcPr>
            <w:tcW w:w="3261" w:type="dxa"/>
            <w:tcBorders>
              <w:top w:val="single" w:sz="8" w:space="0" w:color="000000"/>
              <w:left w:val="single" w:sz="8" w:space="0" w:color="000000"/>
              <w:bottom w:val="single" w:sz="8" w:space="0" w:color="000000"/>
              <w:right w:val="single" w:sz="8" w:space="0" w:color="000000"/>
            </w:tcBorders>
          </w:tcPr>
          <w:p>
            <w:pPr/>
          </w:p>
        </w:tc>
        <w:tc>
          <w:tcPr>
            <w:tcW w:w="3118" w:type="dxa"/>
            <w:tcBorders>
              <w:top w:val="single" w:sz="8" w:space="0" w:color="000000"/>
              <w:left w:val="single" w:sz="8" w:space="0" w:color="000000"/>
              <w:bottom w:val="single" w:sz="8" w:space="0" w:color="000000"/>
              <w:right w:val="single" w:sz="8" w:space="0" w:color="000000"/>
            </w:tcBorders>
          </w:tcPr>
          <w:p>
            <w:pPr/>
          </w:p>
        </w:tc>
      </w:tr>
      <w:tr>
        <w:trPr>
          <w:trHeight w:val="332" w:hRule="exact"/>
        </w:trPr>
        <w:tc>
          <w:tcPr>
            <w:tcW w:w="3251" w:type="dxa"/>
            <w:tcBorders>
              <w:top w:val="single" w:sz="8" w:space="0" w:color="000000"/>
              <w:left w:val="single" w:sz="8" w:space="0" w:color="000000"/>
              <w:bottom w:val="single" w:sz="8" w:space="0" w:color="000000"/>
              <w:right w:val="single" w:sz="8" w:space="0" w:color="000000"/>
            </w:tcBorders>
            <w:shd w:val="clear" w:color="auto" w:fill="D2D2D2"/>
          </w:tcPr>
          <w:p>
            <w:pPr>
              <w:pStyle w:val="TableParagraph"/>
              <w:spacing w:line="240" w:lineRule="auto" w:before="11"/>
              <w:ind w:left="9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商誉</w:t>
            </w:r>
          </w:p>
        </w:tc>
        <w:tc>
          <w:tcPr>
            <w:tcW w:w="3261" w:type="dxa"/>
            <w:tcBorders>
              <w:top w:val="single" w:sz="8" w:space="0" w:color="000000"/>
              <w:left w:val="single" w:sz="8" w:space="0" w:color="000000"/>
              <w:bottom w:val="single" w:sz="8" w:space="0" w:color="000000"/>
              <w:right w:val="single" w:sz="8" w:space="0" w:color="000000"/>
            </w:tcBorders>
          </w:tcPr>
          <w:p>
            <w:pPr/>
          </w:p>
        </w:tc>
        <w:tc>
          <w:tcPr>
            <w:tcW w:w="3118" w:type="dxa"/>
            <w:tcBorders>
              <w:top w:val="single" w:sz="8" w:space="0" w:color="000000"/>
              <w:left w:val="single" w:sz="8" w:space="0" w:color="000000"/>
              <w:bottom w:val="single" w:sz="8" w:space="0" w:color="000000"/>
              <w:right w:val="single" w:sz="8" w:space="0" w:color="000000"/>
            </w:tcBorders>
          </w:tcPr>
          <w:p>
            <w:pPr/>
          </w:p>
        </w:tc>
      </w:tr>
      <w:tr>
        <w:trPr>
          <w:trHeight w:val="332" w:hRule="exact"/>
        </w:trPr>
        <w:tc>
          <w:tcPr>
            <w:tcW w:w="3251" w:type="dxa"/>
            <w:tcBorders>
              <w:top w:val="single" w:sz="8" w:space="0" w:color="000000"/>
              <w:left w:val="single" w:sz="8" w:space="0" w:color="000000"/>
              <w:bottom w:val="single" w:sz="8" w:space="0" w:color="000000"/>
              <w:right w:val="single" w:sz="8" w:space="0" w:color="000000"/>
            </w:tcBorders>
            <w:shd w:val="clear" w:color="auto" w:fill="D2D2D2"/>
          </w:tcPr>
          <w:p>
            <w:pPr>
              <w:pStyle w:val="TableParagraph"/>
              <w:spacing w:line="240" w:lineRule="auto" w:before="11"/>
              <w:ind w:left="9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内部交易未实现利润</w:t>
            </w:r>
          </w:p>
        </w:tc>
        <w:tc>
          <w:tcPr>
            <w:tcW w:w="3261" w:type="dxa"/>
            <w:tcBorders>
              <w:top w:val="single" w:sz="8" w:space="0" w:color="000000"/>
              <w:left w:val="single" w:sz="8" w:space="0" w:color="000000"/>
              <w:bottom w:val="single" w:sz="8" w:space="0" w:color="000000"/>
              <w:right w:val="single" w:sz="8" w:space="0" w:color="000000"/>
            </w:tcBorders>
          </w:tcPr>
          <w:p>
            <w:pPr/>
          </w:p>
        </w:tc>
        <w:tc>
          <w:tcPr>
            <w:tcW w:w="3118" w:type="dxa"/>
            <w:tcBorders>
              <w:top w:val="single" w:sz="8" w:space="0" w:color="000000"/>
              <w:left w:val="single" w:sz="8" w:space="0" w:color="000000"/>
              <w:bottom w:val="single" w:sz="8" w:space="0" w:color="000000"/>
              <w:right w:val="single" w:sz="8" w:space="0" w:color="000000"/>
            </w:tcBorders>
          </w:tcPr>
          <w:p>
            <w:pPr/>
          </w:p>
        </w:tc>
      </w:tr>
      <w:tr>
        <w:trPr>
          <w:trHeight w:val="331" w:hRule="exact"/>
        </w:trPr>
        <w:tc>
          <w:tcPr>
            <w:tcW w:w="3251" w:type="dxa"/>
            <w:tcBorders>
              <w:top w:val="single" w:sz="8" w:space="0" w:color="000000"/>
              <w:left w:val="single" w:sz="8" w:space="0" w:color="000000"/>
              <w:bottom w:val="single" w:sz="8" w:space="0" w:color="000000"/>
              <w:right w:val="single" w:sz="8" w:space="0" w:color="000000"/>
            </w:tcBorders>
            <w:shd w:val="clear" w:color="auto" w:fill="D2D2D2"/>
          </w:tcPr>
          <w:p>
            <w:pPr>
              <w:pStyle w:val="TableParagraph"/>
              <w:spacing w:line="240" w:lineRule="auto" w:before="10"/>
              <w:ind w:left="9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其他</w:t>
            </w:r>
          </w:p>
        </w:tc>
        <w:tc>
          <w:tcPr>
            <w:tcW w:w="3261" w:type="dxa"/>
            <w:tcBorders>
              <w:top w:val="single" w:sz="8" w:space="0" w:color="000000"/>
              <w:left w:val="single" w:sz="8" w:space="0" w:color="000000"/>
              <w:bottom w:val="single" w:sz="8" w:space="0" w:color="000000"/>
              <w:right w:val="single" w:sz="8" w:space="0" w:color="000000"/>
            </w:tcBorders>
          </w:tcPr>
          <w:p>
            <w:pPr/>
          </w:p>
        </w:tc>
        <w:tc>
          <w:tcPr>
            <w:tcW w:w="3118" w:type="dxa"/>
            <w:tcBorders>
              <w:top w:val="single" w:sz="8" w:space="0" w:color="000000"/>
              <w:left w:val="single" w:sz="8" w:space="0" w:color="000000"/>
              <w:bottom w:val="single" w:sz="8" w:space="0" w:color="000000"/>
              <w:right w:val="single" w:sz="8" w:space="0" w:color="000000"/>
            </w:tcBorders>
          </w:tcPr>
          <w:p>
            <w:pPr/>
          </w:p>
        </w:tc>
      </w:tr>
      <w:tr>
        <w:trPr>
          <w:trHeight w:val="485" w:hRule="exact"/>
        </w:trPr>
        <w:tc>
          <w:tcPr>
            <w:tcW w:w="3251" w:type="dxa"/>
            <w:tcBorders>
              <w:top w:val="single" w:sz="8" w:space="0" w:color="000000"/>
              <w:left w:val="single" w:sz="8" w:space="0" w:color="000000"/>
              <w:bottom w:val="single" w:sz="8" w:space="0" w:color="000000"/>
              <w:right w:val="single" w:sz="8" w:space="0" w:color="000000"/>
            </w:tcBorders>
            <w:shd w:val="clear" w:color="auto" w:fill="D2D2D2"/>
          </w:tcPr>
          <w:p>
            <w:pPr>
              <w:pStyle w:val="TableParagraph"/>
              <w:spacing w:line="240" w:lineRule="auto" w:before="88"/>
              <w:ind w:left="98" w:right="0"/>
              <w:jc w:val="left"/>
              <w:rPr>
                <w:rFonts w:ascii="宋体" w:hAnsi="宋体" w:cs="宋体" w:eastAsia="宋体" w:hint="default"/>
                <w:sz w:val="18"/>
                <w:szCs w:val="18"/>
              </w:rPr>
            </w:pPr>
            <w:r>
              <w:rPr>
                <w:rFonts w:ascii="宋体" w:hAnsi="宋体" w:cs="宋体" w:eastAsia="宋体" w:hint="default"/>
                <w:sz w:val="18"/>
                <w:szCs w:val="18"/>
              </w:rPr>
              <w:t>对联营企业权益投资的账面价值</w:t>
            </w:r>
          </w:p>
        </w:tc>
        <w:tc>
          <w:tcPr>
            <w:tcW w:w="326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8"/>
              <w:ind w:right="97"/>
              <w:jc w:val="right"/>
              <w:rPr>
                <w:rFonts w:ascii="Times New Roman" w:hAnsi="Times New Roman" w:cs="Times New Roman" w:eastAsia="Times New Roman" w:hint="default"/>
                <w:sz w:val="18"/>
                <w:szCs w:val="18"/>
              </w:rPr>
            </w:pPr>
            <w:r>
              <w:rPr>
                <w:rFonts w:ascii="Times New Roman"/>
                <w:spacing w:val="-1"/>
                <w:sz w:val="18"/>
              </w:rPr>
              <w:t>37,483,401.90</w:t>
            </w:r>
          </w:p>
        </w:tc>
        <w:tc>
          <w:tcPr>
            <w:tcW w:w="311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8"/>
              <w:ind w:right="97"/>
              <w:jc w:val="right"/>
              <w:rPr>
                <w:rFonts w:ascii="Times New Roman" w:hAnsi="Times New Roman" w:cs="Times New Roman" w:eastAsia="Times New Roman" w:hint="default"/>
                <w:sz w:val="18"/>
                <w:szCs w:val="18"/>
              </w:rPr>
            </w:pPr>
            <w:r>
              <w:rPr>
                <w:rFonts w:ascii="Times New Roman"/>
                <w:spacing w:val="-1"/>
                <w:sz w:val="18"/>
              </w:rPr>
              <w:t>23,539,245.77</w:t>
            </w:r>
          </w:p>
        </w:tc>
      </w:tr>
      <w:tr>
        <w:trPr>
          <w:trHeight w:val="644" w:hRule="exact"/>
        </w:trPr>
        <w:tc>
          <w:tcPr>
            <w:tcW w:w="3251" w:type="dxa"/>
            <w:tcBorders>
              <w:top w:val="single" w:sz="8" w:space="0" w:color="000000"/>
              <w:left w:val="single" w:sz="8" w:space="0" w:color="000000"/>
              <w:bottom w:val="single" w:sz="8" w:space="0" w:color="000000"/>
              <w:right w:val="single" w:sz="8" w:space="0" w:color="000000"/>
            </w:tcBorders>
            <w:shd w:val="clear" w:color="auto" w:fill="D2D2D2"/>
          </w:tcPr>
          <w:p>
            <w:pPr>
              <w:pStyle w:val="TableParagraph"/>
              <w:spacing w:line="316" w:lineRule="auto" w:before="11"/>
              <w:ind w:left="98" w:right="251"/>
              <w:jc w:val="left"/>
              <w:rPr>
                <w:rFonts w:ascii="宋体" w:hAnsi="宋体" w:cs="宋体" w:eastAsia="宋体" w:hint="default"/>
                <w:sz w:val="18"/>
                <w:szCs w:val="18"/>
              </w:rPr>
            </w:pPr>
            <w:r>
              <w:rPr>
                <w:rFonts w:ascii="宋体" w:hAnsi="宋体" w:cs="宋体" w:eastAsia="宋体" w:hint="default"/>
                <w:sz w:val="18"/>
                <w:szCs w:val="18"/>
              </w:rPr>
              <w:t>存在公开报价的联营企业权益投资的 公允价值</w:t>
            </w:r>
          </w:p>
        </w:tc>
        <w:tc>
          <w:tcPr>
            <w:tcW w:w="3261" w:type="dxa"/>
            <w:tcBorders>
              <w:top w:val="single" w:sz="8" w:space="0" w:color="000000"/>
              <w:left w:val="single" w:sz="8" w:space="0" w:color="000000"/>
              <w:bottom w:val="single" w:sz="8" w:space="0" w:color="000000"/>
              <w:right w:val="single" w:sz="8" w:space="0" w:color="000000"/>
            </w:tcBorders>
          </w:tcPr>
          <w:p>
            <w:pPr/>
          </w:p>
        </w:tc>
        <w:tc>
          <w:tcPr>
            <w:tcW w:w="3118" w:type="dxa"/>
            <w:tcBorders>
              <w:top w:val="single" w:sz="8" w:space="0" w:color="000000"/>
              <w:left w:val="single" w:sz="8" w:space="0" w:color="000000"/>
              <w:bottom w:val="single" w:sz="8" w:space="0" w:color="000000"/>
              <w:right w:val="single" w:sz="8" w:space="0" w:color="000000"/>
            </w:tcBorders>
          </w:tcPr>
          <w:p>
            <w:pPr/>
          </w:p>
        </w:tc>
      </w:tr>
      <w:tr>
        <w:trPr>
          <w:trHeight w:val="332" w:hRule="exact"/>
        </w:trPr>
        <w:tc>
          <w:tcPr>
            <w:tcW w:w="3251" w:type="dxa"/>
            <w:tcBorders>
              <w:top w:val="single" w:sz="8" w:space="0" w:color="000000"/>
              <w:left w:val="single" w:sz="8" w:space="0" w:color="000000"/>
              <w:bottom w:val="single" w:sz="8" w:space="0" w:color="000000"/>
              <w:right w:val="single" w:sz="8" w:space="0" w:color="000000"/>
            </w:tcBorders>
            <w:shd w:val="clear" w:color="auto" w:fill="D2D2D2"/>
          </w:tcPr>
          <w:p>
            <w:pPr>
              <w:pStyle w:val="TableParagraph"/>
              <w:spacing w:line="240" w:lineRule="auto" w:before="11"/>
              <w:ind w:left="98"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326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11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9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31" w:hRule="exact"/>
        </w:trPr>
        <w:tc>
          <w:tcPr>
            <w:tcW w:w="3251" w:type="dxa"/>
            <w:tcBorders>
              <w:top w:val="single" w:sz="8" w:space="0" w:color="000000"/>
              <w:left w:val="single" w:sz="8" w:space="0" w:color="000000"/>
              <w:bottom w:val="single" w:sz="8" w:space="0" w:color="000000"/>
              <w:right w:val="single" w:sz="8" w:space="0" w:color="000000"/>
            </w:tcBorders>
            <w:shd w:val="clear" w:color="auto" w:fill="D2D2D2"/>
          </w:tcPr>
          <w:p>
            <w:pPr>
              <w:pStyle w:val="TableParagraph"/>
              <w:spacing w:line="240" w:lineRule="auto" w:before="10"/>
              <w:ind w:left="98"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326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0"/>
              <w:ind w:right="97"/>
              <w:jc w:val="right"/>
              <w:rPr>
                <w:rFonts w:ascii="Times New Roman" w:hAnsi="Times New Roman" w:cs="Times New Roman" w:eastAsia="Times New Roman" w:hint="default"/>
                <w:sz w:val="18"/>
                <w:szCs w:val="18"/>
              </w:rPr>
            </w:pPr>
            <w:r>
              <w:rPr>
                <w:rFonts w:ascii="Times New Roman"/>
                <w:spacing w:val="-1"/>
                <w:sz w:val="18"/>
              </w:rPr>
              <w:t>1,522,867.62</w:t>
            </w:r>
          </w:p>
        </w:tc>
        <w:tc>
          <w:tcPr>
            <w:tcW w:w="311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0"/>
              <w:ind w:right="97"/>
              <w:jc w:val="right"/>
              <w:rPr>
                <w:rFonts w:ascii="Times New Roman" w:hAnsi="Times New Roman" w:cs="Times New Roman" w:eastAsia="Times New Roman" w:hint="default"/>
                <w:sz w:val="18"/>
                <w:szCs w:val="18"/>
              </w:rPr>
            </w:pPr>
            <w:r>
              <w:rPr>
                <w:rFonts w:ascii="Times New Roman"/>
                <w:spacing w:val="-1"/>
                <w:sz w:val="18"/>
              </w:rPr>
              <w:t>-3,144,248.86</w:t>
            </w:r>
          </w:p>
        </w:tc>
      </w:tr>
      <w:tr>
        <w:trPr>
          <w:trHeight w:val="332" w:hRule="exact"/>
        </w:trPr>
        <w:tc>
          <w:tcPr>
            <w:tcW w:w="3251" w:type="dxa"/>
            <w:tcBorders>
              <w:top w:val="single" w:sz="8" w:space="0" w:color="000000"/>
              <w:left w:val="single" w:sz="8" w:space="0" w:color="000000"/>
              <w:bottom w:val="single" w:sz="8" w:space="0" w:color="000000"/>
              <w:right w:val="single" w:sz="8" w:space="0" w:color="000000"/>
            </w:tcBorders>
            <w:shd w:val="clear" w:color="auto" w:fill="D2D2D2"/>
          </w:tcPr>
          <w:p>
            <w:pPr>
              <w:pStyle w:val="TableParagraph"/>
              <w:spacing w:line="240" w:lineRule="auto" w:before="11"/>
              <w:ind w:left="98" w:right="0"/>
              <w:jc w:val="left"/>
              <w:rPr>
                <w:rFonts w:ascii="宋体" w:hAnsi="宋体" w:cs="宋体" w:eastAsia="宋体" w:hint="default"/>
                <w:sz w:val="18"/>
                <w:szCs w:val="18"/>
              </w:rPr>
            </w:pPr>
            <w:r>
              <w:rPr>
                <w:rFonts w:ascii="宋体" w:hAnsi="宋体" w:cs="宋体" w:eastAsia="宋体" w:hint="default"/>
                <w:sz w:val="18"/>
                <w:szCs w:val="18"/>
              </w:rPr>
              <w:t>终止经营的净利润</w:t>
            </w:r>
          </w:p>
        </w:tc>
        <w:tc>
          <w:tcPr>
            <w:tcW w:w="3261" w:type="dxa"/>
            <w:tcBorders>
              <w:top w:val="single" w:sz="8" w:space="0" w:color="000000"/>
              <w:left w:val="single" w:sz="8" w:space="0" w:color="000000"/>
              <w:bottom w:val="single" w:sz="8" w:space="0" w:color="000000"/>
              <w:right w:val="single" w:sz="8" w:space="0" w:color="000000"/>
            </w:tcBorders>
          </w:tcPr>
          <w:p>
            <w:pPr/>
          </w:p>
        </w:tc>
        <w:tc>
          <w:tcPr>
            <w:tcW w:w="3118" w:type="dxa"/>
            <w:tcBorders>
              <w:top w:val="single" w:sz="8" w:space="0" w:color="000000"/>
              <w:left w:val="single" w:sz="8" w:space="0" w:color="000000"/>
              <w:bottom w:val="single" w:sz="8" w:space="0" w:color="000000"/>
              <w:right w:val="single" w:sz="8" w:space="0" w:color="000000"/>
            </w:tcBorders>
          </w:tcPr>
          <w:p>
            <w:pPr/>
          </w:p>
        </w:tc>
      </w:tr>
      <w:tr>
        <w:trPr>
          <w:trHeight w:val="333" w:hRule="exact"/>
        </w:trPr>
        <w:tc>
          <w:tcPr>
            <w:tcW w:w="3251" w:type="dxa"/>
            <w:tcBorders>
              <w:top w:val="single" w:sz="8" w:space="0" w:color="000000"/>
              <w:left w:val="single" w:sz="8" w:space="0" w:color="000000"/>
              <w:bottom w:val="single" w:sz="8" w:space="0" w:color="000000"/>
              <w:right w:val="single" w:sz="8" w:space="0" w:color="000000"/>
            </w:tcBorders>
            <w:shd w:val="clear" w:color="auto" w:fill="D2D2D2"/>
          </w:tcPr>
          <w:p>
            <w:pPr>
              <w:pStyle w:val="TableParagraph"/>
              <w:spacing w:line="240" w:lineRule="auto" w:before="12"/>
              <w:ind w:left="98"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3261" w:type="dxa"/>
            <w:tcBorders>
              <w:top w:val="single" w:sz="8" w:space="0" w:color="000000"/>
              <w:left w:val="single" w:sz="8" w:space="0" w:color="000000"/>
              <w:bottom w:val="single" w:sz="8" w:space="0" w:color="000000"/>
              <w:right w:val="single" w:sz="8" w:space="0" w:color="000000"/>
            </w:tcBorders>
          </w:tcPr>
          <w:p>
            <w:pPr/>
          </w:p>
        </w:tc>
        <w:tc>
          <w:tcPr>
            <w:tcW w:w="3118" w:type="dxa"/>
            <w:tcBorders>
              <w:top w:val="single" w:sz="8" w:space="0" w:color="000000"/>
              <w:left w:val="single" w:sz="8" w:space="0" w:color="000000"/>
              <w:bottom w:val="single" w:sz="8" w:space="0" w:color="000000"/>
              <w:right w:val="single" w:sz="8" w:space="0" w:color="000000"/>
            </w:tcBorders>
          </w:tcPr>
          <w:p>
            <w:pPr/>
          </w:p>
        </w:tc>
      </w:tr>
      <w:tr>
        <w:trPr>
          <w:trHeight w:val="331" w:hRule="exact"/>
        </w:trPr>
        <w:tc>
          <w:tcPr>
            <w:tcW w:w="3251" w:type="dxa"/>
            <w:tcBorders>
              <w:top w:val="single" w:sz="8" w:space="0" w:color="000000"/>
              <w:left w:val="single" w:sz="8" w:space="0" w:color="000000"/>
              <w:bottom w:val="single" w:sz="8" w:space="0" w:color="000000"/>
              <w:right w:val="single" w:sz="8" w:space="0" w:color="000000"/>
            </w:tcBorders>
            <w:shd w:val="clear" w:color="auto" w:fill="D2D2D2"/>
          </w:tcPr>
          <w:p>
            <w:pPr>
              <w:pStyle w:val="TableParagraph"/>
              <w:spacing w:line="240" w:lineRule="auto" w:before="10"/>
              <w:ind w:left="98" w:right="0"/>
              <w:jc w:val="left"/>
              <w:rPr>
                <w:rFonts w:ascii="宋体" w:hAnsi="宋体" w:cs="宋体" w:eastAsia="宋体" w:hint="default"/>
                <w:sz w:val="18"/>
                <w:szCs w:val="18"/>
              </w:rPr>
            </w:pPr>
            <w:r>
              <w:rPr>
                <w:rFonts w:ascii="宋体" w:hAnsi="宋体" w:cs="宋体" w:eastAsia="宋体" w:hint="default"/>
                <w:sz w:val="18"/>
                <w:szCs w:val="18"/>
              </w:rPr>
              <w:t>综合收益总额</w:t>
            </w:r>
          </w:p>
        </w:tc>
        <w:tc>
          <w:tcPr>
            <w:tcW w:w="326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0"/>
              <w:ind w:right="97"/>
              <w:jc w:val="right"/>
              <w:rPr>
                <w:rFonts w:ascii="Times New Roman" w:hAnsi="Times New Roman" w:cs="Times New Roman" w:eastAsia="Times New Roman" w:hint="default"/>
                <w:sz w:val="18"/>
                <w:szCs w:val="18"/>
              </w:rPr>
            </w:pPr>
            <w:r>
              <w:rPr>
                <w:rFonts w:ascii="Times New Roman"/>
                <w:spacing w:val="-1"/>
                <w:sz w:val="18"/>
              </w:rPr>
              <w:t>1,522,867.62</w:t>
            </w:r>
          </w:p>
        </w:tc>
        <w:tc>
          <w:tcPr>
            <w:tcW w:w="311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0"/>
              <w:ind w:right="97"/>
              <w:jc w:val="right"/>
              <w:rPr>
                <w:rFonts w:ascii="Times New Roman" w:hAnsi="Times New Roman" w:cs="Times New Roman" w:eastAsia="Times New Roman" w:hint="default"/>
                <w:sz w:val="18"/>
                <w:szCs w:val="18"/>
              </w:rPr>
            </w:pPr>
            <w:r>
              <w:rPr>
                <w:rFonts w:ascii="Times New Roman"/>
                <w:spacing w:val="-1"/>
                <w:sz w:val="18"/>
              </w:rPr>
              <w:t>-3,144,248.86</w:t>
            </w:r>
          </w:p>
        </w:tc>
      </w:tr>
      <w:tr>
        <w:trPr>
          <w:trHeight w:val="485" w:hRule="exact"/>
        </w:trPr>
        <w:tc>
          <w:tcPr>
            <w:tcW w:w="3251" w:type="dxa"/>
            <w:tcBorders>
              <w:top w:val="single" w:sz="8" w:space="0" w:color="000000"/>
              <w:left w:val="single" w:sz="8" w:space="0" w:color="000000"/>
              <w:bottom w:val="single" w:sz="8" w:space="0" w:color="000000"/>
              <w:right w:val="single" w:sz="8" w:space="0" w:color="000000"/>
            </w:tcBorders>
            <w:shd w:val="clear" w:color="auto" w:fill="D2D2D2"/>
          </w:tcPr>
          <w:p>
            <w:pPr>
              <w:pStyle w:val="TableParagraph"/>
              <w:spacing w:line="240" w:lineRule="auto" w:before="88"/>
              <w:ind w:left="98" w:right="0"/>
              <w:jc w:val="left"/>
              <w:rPr>
                <w:rFonts w:ascii="宋体" w:hAnsi="宋体" w:cs="宋体" w:eastAsia="宋体" w:hint="default"/>
                <w:sz w:val="18"/>
                <w:szCs w:val="18"/>
              </w:rPr>
            </w:pPr>
            <w:r>
              <w:rPr>
                <w:rFonts w:ascii="宋体" w:hAnsi="宋体" w:cs="宋体" w:eastAsia="宋体" w:hint="default"/>
                <w:sz w:val="18"/>
                <w:szCs w:val="18"/>
              </w:rPr>
              <w:t>本年度收到的来自联营企业的股利</w:t>
            </w:r>
          </w:p>
        </w:tc>
        <w:tc>
          <w:tcPr>
            <w:tcW w:w="3261" w:type="dxa"/>
            <w:tcBorders>
              <w:top w:val="single" w:sz="8" w:space="0" w:color="000000"/>
              <w:left w:val="single" w:sz="8" w:space="0" w:color="000000"/>
              <w:bottom w:val="single" w:sz="8" w:space="0" w:color="000000"/>
              <w:right w:val="single" w:sz="8" w:space="0" w:color="000000"/>
            </w:tcBorders>
          </w:tcPr>
          <w:p>
            <w:pPr/>
          </w:p>
        </w:tc>
        <w:tc>
          <w:tcPr>
            <w:tcW w:w="3118" w:type="dxa"/>
            <w:tcBorders>
              <w:top w:val="single" w:sz="8" w:space="0" w:color="000000"/>
              <w:left w:val="single" w:sz="8" w:space="0" w:color="000000"/>
              <w:bottom w:val="single" w:sz="8" w:space="0" w:color="000000"/>
              <w:right w:val="single" w:sz="8" w:space="0" w:color="000000"/>
            </w:tcBorders>
          </w:tcPr>
          <w:p>
            <w:pPr/>
          </w:p>
        </w:tc>
      </w:tr>
    </w:tbl>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3"/>
          <w:szCs w:val="23"/>
        </w:rPr>
      </w:pPr>
    </w:p>
    <w:p>
      <w:pPr>
        <w:pStyle w:val="Heading4"/>
        <w:spacing w:line="240" w:lineRule="auto" w:before="35"/>
        <w:ind w:left="234" w:right="0"/>
        <w:jc w:val="left"/>
        <w:rPr>
          <w:b w:val="0"/>
          <w:bCs w:val="0"/>
        </w:rPr>
      </w:pPr>
      <w:bookmarkStart w:name="（4）不重要的合营企业和联营企业的汇总财务信息" w:id="375"/>
      <w:bookmarkEnd w:id="375"/>
      <w:r>
        <w:rPr>
          <w:b w:val="0"/>
          <w:bCs w:val="0"/>
        </w:rPr>
      </w:r>
      <w:r>
        <w:rPr/>
        <w:t>（</w:t>
      </w:r>
      <w:r>
        <w:rPr>
          <w:rFonts w:ascii="Times New Roman" w:hAnsi="Times New Roman" w:cs="Times New Roman" w:eastAsia="Times New Roman" w:hint="default"/>
        </w:rPr>
        <w:t>4</w:t>
      </w:r>
      <w:r>
        <w:rPr/>
        <w:t>）不重要的合营企业和联营企业的汇总财务信息</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240" w:type="dxa"/>
        <w:tblLayout w:type="fixed"/>
        <w:tblCellMar>
          <w:top w:w="0" w:type="dxa"/>
          <w:left w:w="0" w:type="dxa"/>
          <w:bottom w:w="0" w:type="dxa"/>
          <w:right w:w="0" w:type="dxa"/>
        </w:tblCellMar>
        <w:tblLook w:val="01E0"/>
      </w:tblPr>
      <w:tblGrid>
        <w:gridCol w:w="3302"/>
        <w:gridCol w:w="3071"/>
        <w:gridCol w:w="3186"/>
      </w:tblGrid>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0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00" w:right="0"/>
              <w:jc w:val="left"/>
              <w:rPr>
                <w:rFonts w:ascii="宋体" w:hAnsi="宋体" w:cs="宋体" w:eastAsia="宋体" w:hint="default"/>
                <w:sz w:val="18"/>
                <w:szCs w:val="18"/>
              </w:rPr>
            </w:pPr>
            <w:r>
              <w:rPr>
                <w:rFonts w:ascii="宋体" w:hAnsi="宋体" w:cs="宋体" w:eastAsia="宋体" w:hint="default"/>
                <w:sz w:val="18"/>
                <w:szCs w:val="18"/>
              </w:rPr>
              <w:t>期末余额</w:t>
            </w:r>
            <w:r>
              <w:rPr>
                <w:rFonts w:ascii="Times New Roman" w:hAnsi="Times New Roman" w:cs="Times New Roman" w:eastAsia="Times New Roman" w:hint="default"/>
                <w:sz w:val="18"/>
                <w:szCs w:val="18"/>
              </w:rPr>
              <w:t>/</w:t>
            </w:r>
            <w:r>
              <w:rPr>
                <w:rFonts w:ascii="宋体" w:hAnsi="宋体" w:cs="宋体" w:eastAsia="宋体" w:hint="default"/>
                <w:sz w:val="18"/>
                <w:szCs w:val="18"/>
              </w:rPr>
              <w:t>本期发生额</w:t>
            </w:r>
          </w:p>
        </w:tc>
        <w:tc>
          <w:tcPr>
            <w:tcW w:w="31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52" w:right="0"/>
              <w:jc w:val="left"/>
              <w:rPr>
                <w:rFonts w:ascii="宋体" w:hAnsi="宋体" w:cs="宋体" w:eastAsia="宋体" w:hint="default"/>
                <w:sz w:val="18"/>
                <w:szCs w:val="18"/>
              </w:rPr>
            </w:pPr>
            <w:r>
              <w:rPr>
                <w:rFonts w:ascii="宋体" w:hAnsi="宋体" w:cs="宋体" w:eastAsia="宋体" w:hint="default"/>
                <w:sz w:val="18"/>
                <w:szCs w:val="18"/>
              </w:rPr>
              <w:t>期初余额</w:t>
            </w:r>
            <w:r>
              <w:rPr>
                <w:rFonts w:ascii="Times New Roman" w:hAnsi="Times New Roman" w:cs="Times New Roman" w:eastAsia="Times New Roman" w:hint="default"/>
                <w:sz w:val="18"/>
                <w:szCs w:val="18"/>
              </w:rPr>
              <w:t>/</w:t>
            </w:r>
            <w:r>
              <w:rPr>
                <w:rFonts w:ascii="宋体" w:hAnsi="宋体" w:cs="宋体" w:eastAsia="宋体" w:hint="default"/>
                <w:sz w:val="18"/>
                <w:szCs w:val="18"/>
              </w:rPr>
              <w:t>上期发生额</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合营企业：</w:t>
            </w:r>
          </w:p>
        </w:tc>
        <w:tc>
          <w:tcPr>
            <w:tcW w:w="30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0" w:right="0"/>
              <w:jc w:val="center"/>
              <w:rPr>
                <w:rFonts w:ascii="Times New Roman" w:hAnsi="Times New Roman" w:cs="Times New Roman" w:eastAsia="Times New Roman" w:hint="default"/>
                <w:sz w:val="18"/>
                <w:szCs w:val="18"/>
              </w:rPr>
            </w:pPr>
            <w:r>
              <w:rPr>
                <w:rFonts w:ascii="Times New Roman"/>
                <w:sz w:val="18"/>
              </w:rPr>
              <w:t>--</w:t>
            </w:r>
          </w:p>
        </w:tc>
        <w:tc>
          <w:tcPr>
            <w:tcW w:w="31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投资账面价值合计</w:t>
            </w:r>
          </w:p>
        </w:tc>
        <w:tc>
          <w:tcPr>
            <w:tcW w:w="307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3,713,036.44</w:t>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3,725,512.37</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下列各项按持股比例计算的合计数</w:t>
            </w:r>
          </w:p>
        </w:tc>
        <w:tc>
          <w:tcPr>
            <w:tcW w:w="30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0" w:right="0"/>
              <w:jc w:val="center"/>
              <w:rPr>
                <w:rFonts w:ascii="Times New Roman" w:hAnsi="Times New Roman" w:cs="Times New Roman" w:eastAsia="Times New Roman" w:hint="default"/>
                <w:sz w:val="18"/>
                <w:szCs w:val="18"/>
              </w:rPr>
            </w:pPr>
            <w:r>
              <w:rPr>
                <w:rFonts w:ascii="Times New Roman"/>
                <w:sz w:val="18"/>
              </w:rPr>
              <w:t>--</w:t>
            </w:r>
          </w:p>
        </w:tc>
        <w:tc>
          <w:tcPr>
            <w:tcW w:w="31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联营企业：</w:t>
            </w:r>
          </w:p>
        </w:tc>
        <w:tc>
          <w:tcPr>
            <w:tcW w:w="30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0" w:right="0"/>
              <w:jc w:val="center"/>
              <w:rPr>
                <w:rFonts w:ascii="Times New Roman" w:hAnsi="Times New Roman" w:cs="Times New Roman" w:eastAsia="Times New Roman" w:hint="default"/>
                <w:sz w:val="18"/>
                <w:szCs w:val="18"/>
              </w:rPr>
            </w:pPr>
            <w:r>
              <w:rPr>
                <w:rFonts w:ascii="Times New Roman"/>
                <w:sz w:val="18"/>
              </w:rPr>
              <w:t>--</w:t>
            </w:r>
          </w:p>
        </w:tc>
        <w:tc>
          <w:tcPr>
            <w:tcW w:w="31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下列各项按持股比例计算的合计数</w:t>
            </w:r>
          </w:p>
        </w:tc>
        <w:tc>
          <w:tcPr>
            <w:tcW w:w="30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0" w:right="0"/>
              <w:jc w:val="center"/>
              <w:rPr>
                <w:rFonts w:ascii="Times New Roman" w:hAnsi="Times New Roman" w:cs="Times New Roman" w:eastAsia="Times New Roman" w:hint="default"/>
                <w:sz w:val="18"/>
                <w:szCs w:val="18"/>
              </w:rPr>
            </w:pPr>
            <w:r>
              <w:rPr>
                <w:rFonts w:ascii="Times New Roman"/>
                <w:sz w:val="18"/>
              </w:rPr>
              <w:t>--</w:t>
            </w:r>
          </w:p>
        </w:tc>
        <w:tc>
          <w:tcPr>
            <w:tcW w:w="31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净利润</w:t>
            </w:r>
          </w:p>
        </w:tc>
        <w:tc>
          <w:tcPr>
            <w:tcW w:w="307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-62,379.67</w:t>
            </w:r>
            <w:r>
              <w:rPr>
                <w:rFonts w:ascii="Times New Roman"/>
                <w:sz w:val="18"/>
              </w:rPr>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-50,035.37</w:t>
            </w:r>
            <w:r>
              <w:rPr>
                <w:rFonts w:ascii="Times New Roman"/>
                <w:sz w:val="18"/>
              </w:rPr>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综合收益总额</w:t>
            </w:r>
          </w:p>
        </w:tc>
        <w:tc>
          <w:tcPr>
            <w:tcW w:w="307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-62,379.67</w:t>
            </w:r>
            <w:r>
              <w:rPr>
                <w:rFonts w:ascii="Times New Roman"/>
                <w:sz w:val="18"/>
              </w:rPr>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-50,035.37</w:t>
            </w:r>
            <w:r>
              <w:rPr>
                <w:rFonts w:ascii="Times New Roman"/>
                <w:sz w:val="18"/>
              </w:rPr>
            </w:r>
          </w:p>
        </w:tc>
      </w:tr>
    </w:tbl>
    <w:p>
      <w:pPr>
        <w:spacing w:before="51"/>
        <w:ind w:left="23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after="0"/>
        <w:jc w:val="left"/>
        <w:rPr>
          <w:rFonts w:ascii="宋体" w:hAnsi="宋体" w:cs="宋体" w:eastAsia="宋体" w:hint="default"/>
          <w:sz w:val="18"/>
          <w:szCs w:val="18"/>
        </w:rPr>
        <w:sectPr>
          <w:pgSz w:w="11910" w:h="16840"/>
          <w:pgMar w:header="877" w:footer="979" w:top="1060" w:bottom="1160" w:left="900" w:right="0"/>
        </w:sectPr>
      </w:pPr>
    </w:p>
    <w:p>
      <w:pPr>
        <w:spacing w:line="240" w:lineRule="auto" w:before="9"/>
        <w:rPr>
          <w:rFonts w:ascii="宋体" w:hAnsi="宋体" w:cs="宋体" w:eastAsia="宋体" w:hint="default"/>
          <w:sz w:val="24"/>
          <w:szCs w:val="24"/>
        </w:rPr>
      </w:pPr>
    </w:p>
    <w:p>
      <w:pPr>
        <w:pStyle w:val="Heading4"/>
        <w:spacing w:line="240" w:lineRule="auto" w:before="35"/>
        <w:ind w:right="1117"/>
        <w:jc w:val="left"/>
        <w:rPr>
          <w:b w:val="0"/>
          <w:bCs w:val="0"/>
        </w:rPr>
      </w:pPr>
      <w:bookmarkStart w:name="（5）合营企业或联营企业向本公司转移资金的能力存在重大限制的说明" w:id="376"/>
      <w:bookmarkEnd w:id="376"/>
      <w:r>
        <w:rPr>
          <w:b w:val="0"/>
          <w:bCs w:val="0"/>
        </w:rPr>
      </w:r>
      <w:r>
        <w:rPr/>
        <w:t>（</w:t>
      </w:r>
      <w:r>
        <w:rPr>
          <w:rFonts w:ascii="Times New Roman" w:hAnsi="Times New Roman" w:cs="Times New Roman" w:eastAsia="Times New Roman" w:hint="default"/>
        </w:rPr>
        <w:t>5</w:t>
      </w:r>
      <w:r>
        <w:rPr/>
        <w:t>）合营企业或联营企业向本公司转移资金的能力存在重大限制的说明</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1117"/>
        <w:jc w:val="left"/>
        <w:rPr>
          <w:b w:val="0"/>
          <w:bCs w:val="0"/>
        </w:rPr>
      </w:pPr>
      <w:bookmarkStart w:name="（6）合营企业或联营企业发生的超额亏损" w:id="377"/>
      <w:bookmarkEnd w:id="377"/>
      <w:r>
        <w:rPr>
          <w:b w:val="0"/>
          <w:bCs w:val="0"/>
        </w:rPr>
      </w:r>
      <w:r>
        <w:rPr/>
        <w:t>（</w:t>
      </w:r>
      <w:r>
        <w:rPr>
          <w:rFonts w:ascii="Times New Roman" w:hAnsi="Times New Roman" w:cs="Times New Roman" w:eastAsia="Times New Roman" w:hint="default"/>
        </w:rPr>
        <w:t>6</w:t>
      </w:r>
      <w:r>
        <w:rPr/>
        <w:t>）合营企业或联营企业发生的超额亏损</w:t>
      </w:r>
      <w:r>
        <w:rPr>
          <w:b w:val="0"/>
          <w:bCs w:val="0"/>
        </w:rPr>
      </w:r>
    </w:p>
    <w:p>
      <w:pPr>
        <w:spacing w:line="240" w:lineRule="auto" w:before="8"/>
        <w:rPr>
          <w:rFonts w:ascii="宋体" w:hAnsi="宋体" w:cs="宋体" w:eastAsia="宋体" w:hint="default"/>
          <w:b/>
          <w:bCs/>
          <w:sz w:val="26"/>
          <w:szCs w:val="26"/>
        </w:rPr>
      </w:pPr>
    </w:p>
    <w:p>
      <w:pPr>
        <w:spacing w:before="0"/>
        <w:ind w:left="154" w:right="1117"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0"/>
        <w:rPr>
          <w:rFonts w:ascii="宋体" w:hAnsi="宋体" w:cs="宋体" w:eastAsia="宋体" w:hint="default"/>
          <w:sz w:val="26"/>
          <w:szCs w:val="26"/>
        </w:rPr>
      </w:pPr>
    </w:p>
    <w:p>
      <w:pPr>
        <w:pStyle w:val="Heading4"/>
        <w:spacing w:line="240" w:lineRule="auto"/>
        <w:ind w:right="1117"/>
        <w:jc w:val="left"/>
        <w:rPr>
          <w:b w:val="0"/>
          <w:bCs w:val="0"/>
        </w:rPr>
      </w:pPr>
      <w:bookmarkStart w:name="（7）与合营企业投资相关的未确认承诺" w:id="378"/>
      <w:bookmarkEnd w:id="378"/>
      <w:r>
        <w:rPr>
          <w:b w:val="0"/>
          <w:bCs w:val="0"/>
        </w:rPr>
      </w:r>
      <w:r>
        <w:rPr/>
        <w:t>（</w:t>
      </w:r>
      <w:r>
        <w:rPr>
          <w:rFonts w:ascii="Times New Roman" w:hAnsi="Times New Roman" w:cs="Times New Roman" w:eastAsia="Times New Roman" w:hint="default"/>
        </w:rPr>
        <w:t>7</w:t>
      </w:r>
      <w:r>
        <w:rPr/>
        <w:t>）与合营企业投资相关的未确认承诺</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1117"/>
        <w:jc w:val="left"/>
        <w:rPr>
          <w:b w:val="0"/>
          <w:bCs w:val="0"/>
        </w:rPr>
      </w:pPr>
      <w:bookmarkStart w:name="（8）与合营企业或联营企业投资相关的或有负债" w:id="379"/>
      <w:bookmarkEnd w:id="379"/>
      <w:r>
        <w:rPr>
          <w:b w:val="0"/>
          <w:bCs w:val="0"/>
        </w:rPr>
      </w:r>
      <w:r>
        <w:rPr/>
        <w:t>（</w:t>
      </w:r>
      <w:r>
        <w:rPr>
          <w:rFonts w:ascii="Times New Roman" w:hAnsi="Times New Roman" w:cs="Times New Roman" w:eastAsia="Times New Roman" w:hint="default"/>
        </w:rPr>
        <w:t>8</w:t>
      </w:r>
      <w:r>
        <w:rPr/>
        <w:t>）与合营企业或联营企业投资相关的或有负债</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1117"/>
        <w:jc w:val="left"/>
        <w:rPr>
          <w:b w:val="0"/>
          <w:bCs w:val="0"/>
        </w:rPr>
      </w:pPr>
      <w:bookmarkStart w:name="4、重要的共同经营" w:id="380"/>
      <w:bookmarkEnd w:id="380"/>
      <w:r>
        <w:rPr>
          <w:b w:val="0"/>
          <w:bCs w:val="0"/>
        </w:rPr>
      </w:r>
      <w:r>
        <w:rPr>
          <w:rFonts w:ascii="Times New Roman" w:hAnsi="Times New Roman" w:cs="Times New Roman" w:eastAsia="Times New Roman" w:hint="default"/>
        </w:rPr>
        <w:t>4</w:t>
      </w:r>
      <w:r>
        <w:rPr/>
        <w:t>、重要的共同经营</w:t>
      </w:r>
      <w:r>
        <w:rPr>
          <w:b w:val="0"/>
          <w:bCs w:val="0"/>
        </w:rPr>
      </w:r>
    </w:p>
    <w:p>
      <w:pPr>
        <w:spacing w:line="240" w:lineRule="auto" w:before="8"/>
        <w:rPr>
          <w:rFonts w:ascii="宋体" w:hAnsi="宋体" w:cs="宋体" w:eastAsia="宋体" w:hint="default"/>
          <w:b/>
          <w:bCs/>
          <w:sz w:val="26"/>
          <w:szCs w:val="26"/>
        </w:rPr>
      </w:pPr>
    </w:p>
    <w:p>
      <w:pPr>
        <w:spacing w:line="360" w:lineRule="auto" w:before="0"/>
        <w:ind w:left="154" w:right="5532" w:firstLine="0"/>
        <w:jc w:val="left"/>
        <w:rPr>
          <w:rFonts w:ascii="宋体" w:hAnsi="宋体" w:cs="宋体" w:eastAsia="宋体" w:hint="default"/>
          <w:sz w:val="18"/>
          <w:szCs w:val="18"/>
        </w:rPr>
      </w:pPr>
      <w:r>
        <w:rPr>
          <w:rFonts w:ascii="宋体" w:hAnsi="宋体" w:cs="宋体" w:eastAsia="宋体" w:hint="default"/>
          <w:sz w:val="18"/>
          <w:szCs w:val="18"/>
        </w:rPr>
        <w:t>在共同经营中的持股比例或享有的份额不同于表决权比例的说明： 共同经营为单独主体的，分类为共同经营的依据：</w:t>
      </w:r>
    </w:p>
    <w:p>
      <w:pPr>
        <w:spacing w:before="26"/>
        <w:ind w:left="154" w:right="1117"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0"/>
        <w:rPr>
          <w:rFonts w:ascii="宋体" w:hAnsi="宋体" w:cs="宋体" w:eastAsia="宋体" w:hint="default"/>
          <w:sz w:val="26"/>
          <w:szCs w:val="26"/>
        </w:rPr>
      </w:pPr>
    </w:p>
    <w:p>
      <w:pPr>
        <w:pStyle w:val="Heading4"/>
        <w:spacing w:line="240" w:lineRule="auto"/>
        <w:ind w:right="1117"/>
        <w:jc w:val="left"/>
        <w:rPr>
          <w:b w:val="0"/>
          <w:bCs w:val="0"/>
        </w:rPr>
      </w:pPr>
      <w:bookmarkStart w:name="5、在未纳入合并财务报表范围的结构化主体中的权益" w:id="381"/>
      <w:bookmarkEnd w:id="381"/>
      <w:r>
        <w:rPr>
          <w:b w:val="0"/>
          <w:bCs w:val="0"/>
        </w:rPr>
      </w:r>
      <w:r>
        <w:rPr>
          <w:rFonts w:ascii="Times New Roman" w:hAnsi="Times New Roman" w:cs="Times New Roman" w:eastAsia="Times New Roman" w:hint="default"/>
        </w:rPr>
        <w:t>5</w:t>
      </w:r>
      <w:r>
        <w:rPr/>
        <w:t>、在未纳入合并财务报表范围的结构化主体中的权益</w:t>
      </w:r>
      <w:r>
        <w:rPr>
          <w:b w:val="0"/>
          <w:bCs w:val="0"/>
        </w:rPr>
      </w:r>
    </w:p>
    <w:p>
      <w:pPr>
        <w:spacing w:line="240" w:lineRule="auto" w:before="9"/>
        <w:rPr>
          <w:rFonts w:ascii="宋体" w:hAnsi="宋体" w:cs="宋体" w:eastAsia="宋体" w:hint="default"/>
          <w:b/>
          <w:bCs/>
          <w:sz w:val="26"/>
          <w:szCs w:val="26"/>
        </w:rPr>
      </w:pPr>
    </w:p>
    <w:p>
      <w:pPr>
        <w:spacing w:before="0"/>
        <w:ind w:left="154" w:right="1117" w:firstLine="0"/>
        <w:jc w:val="left"/>
        <w:rPr>
          <w:rFonts w:ascii="宋体" w:hAnsi="宋体" w:cs="宋体" w:eastAsia="宋体" w:hint="default"/>
          <w:sz w:val="18"/>
          <w:szCs w:val="18"/>
        </w:rPr>
      </w:pPr>
      <w:r>
        <w:rPr>
          <w:rFonts w:ascii="宋体" w:hAnsi="宋体" w:cs="宋体" w:eastAsia="宋体" w:hint="default"/>
          <w:sz w:val="18"/>
          <w:szCs w:val="18"/>
        </w:rPr>
        <w:t>未纳入合并财务报表范围的结构化主体的相关说明：</w:t>
      </w:r>
    </w:p>
    <w:p>
      <w:pPr>
        <w:spacing w:after="0"/>
        <w:jc w:val="left"/>
        <w:rPr>
          <w:rFonts w:ascii="宋体" w:hAnsi="宋体" w:cs="宋体" w:eastAsia="宋体" w:hint="default"/>
          <w:sz w:val="18"/>
          <w:szCs w:val="18"/>
        </w:rPr>
        <w:sectPr>
          <w:pgSz w:w="11910" w:h="16840"/>
          <w:pgMar w:header="877" w:footer="979" w:top="1060" w:bottom="1160" w:left="980" w:right="0"/>
        </w:sectPr>
      </w:pPr>
    </w:p>
    <w:p>
      <w:pPr>
        <w:spacing w:line="240" w:lineRule="auto" w:before="9"/>
        <w:rPr>
          <w:rFonts w:ascii="宋体" w:hAnsi="宋体" w:cs="宋体" w:eastAsia="宋体" w:hint="default"/>
          <w:sz w:val="24"/>
          <w:szCs w:val="24"/>
        </w:rPr>
      </w:pPr>
    </w:p>
    <w:p>
      <w:pPr>
        <w:pStyle w:val="Heading2"/>
        <w:spacing w:line="477" w:lineRule="auto" w:before="35"/>
        <w:ind w:right="7692"/>
        <w:jc w:val="left"/>
        <w:rPr>
          <w:b w:val="0"/>
          <w:bCs w:val="0"/>
        </w:rPr>
      </w:pPr>
      <w:bookmarkStart w:name="6、其他" w:id="382"/>
      <w:bookmarkEnd w:id="382"/>
      <w:r>
        <w:rPr>
          <w:b w:val="0"/>
          <w:bCs w:val="0"/>
        </w:rPr>
      </w:r>
      <w:r>
        <w:rPr>
          <w:rFonts w:ascii="Times New Roman" w:hAnsi="Times New Roman" w:cs="Times New Roman" w:eastAsia="Times New Roman" w:hint="default"/>
          <w:sz w:val="21"/>
          <w:szCs w:val="21"/>
        </w:rPr>
        <w:t>6</w:t>
      </w:r>
      <w:r>
        <w:rPr>
          <w:sz w:val="21"/>
          <w:szCs w:val="21"/>
        </w:rPr>
        <w:t>、其他</w:t>
      </w:r>
      <w:r>
        <w:rPr>
          <w:spacing w:val="1"/>
          <w:w w:val="99"/>
          <w:sz w:val="21"/>
          <w:szCs w:val="21"/>
        </w:rPr>
        <w:t> </w:t>
      </w:r>
      <w:bookmarkStart w:name="十、与金融工具相关的风险" w:id="383"/>
      <w:bookmarkEnd w:id="383"/>
      <w:r>
        <w:rPr>
          <w:spacing w:val="1"/>
          <w:w w:val="99"/>
          <w:sz w:val="21"/>
          <w:szCs w:val="21"/>
        </w:rPr>
      </w:r>
      <w:r>
        <w:rPr>
          <w:w w:val="95"/>
        </w:rPr>
        <w:t>十、与金融工具相关的风险</w:t>
      </w:r>
      <w:r>
        <w:rPr>
          <w:spacing w:val="18"/>
          <w:w w:val="95"/>
        </w:rPr>
        <w:t> </w:t>
      </w:r>
      <w:r>
        <w:rPr>
          <w:spacing w:val="18"/>
          <w:w w:val="95"/>
        </w:rPr>
      </w:r>
      <w:bookmarkStart w:name="十一、公允价值的披露" w:id="384"/>
      <w:bookmarkEnd w:id="384"/>
      <w:r>
        <w:rPr/>
        <w:t>十一、公允价值的披露</w:t>
      </w:r>
      <w:r>
        <w:rPr>
          <w:b w:val="0"/>
          <w:bCs w:val="0"/>
        </w:rPr>
      </w:r>
    </w:p>
    <w:p>
      <w:pPr>
        <w:pStyle w:val="Heading4"/>
        <w:spacing w:line="240" w:lineRule="auto" w:before="84"/>
        <w:ind w:right="1117"/>
        <w:jc w:val="left"/>
        <w:rPr>
          <w:b w:val="0"/>
          <w:bCs w:val="0"/>
        </w:rPr>
      </w:pPr>
      <w:bookmarkStart w:name="1、以公允价值计量的资产和负债的期末公允价值" w:id="385"/>
      <w:bookmarkEnd w:id="385"/>
      <w:r>
        <w:rPr>
          <w:b w:val="0"/>
          <w:bCs w:val="0"/>
        </w:rPr>
      </w:r>
      <w:r>
        <w:rPr>
          <w:rFonts w:ascii="Times New Roman" w:hAnsi="Times New Roman" w:cs="Times New Roman" w:eastAsia="Times New Roman" w:hint="default"/>
        </w:rPr>
        <w:t>1</w:t>
      </w:r>
      <w:r>
        <w:rPr/>
        <w:t>、以公允价值计量的资产和负债的期末公允价值</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1117"/>
        <w:jc w:val="left"/>
        <w:rPr>
          <w:b w:val="0"/>
          <w:bCs w:val="0"/>
        </w:rPr>
      </w:pPr>
      <w:bookmarkStart w:name="2、持续和非持续第一层次公允价值计量项目市价的确定依据" w:id="386"/>
      <w:bookmarkEnd w:id="386"/>
      <w:r>
        <w:rPr>
          <w:b w:val="0"/>
          <w:bCs w:val="0"/>
        </w:rPr>
      </w:r>
      <w:r>
        <w:rPr>
          <w:rFonts w:ascii="Times New Roman" w:hAnsi="Times New Roman" w:cs="Times New Roman" w:eastAsia="Times New Roman" w:hint="default"/>
        </w:rPr>
        <w:t>2</w:t>
      </w:r>
      <w:r>
        <w:rPr/>
        <w:t>、持续和非持续第一层次公允价值计量项目市价的确定依据</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1117"/>
        <w:jc w:val="left"/>
        <w:rPr>
          <w:b w:val="0"/>
          <w:bCs w:val="0"/>
        </w:rPr>
      </w:pPr>
      <w:bookmarkStart w:name="3、持续和非持续第二层次公允价值计量项目，采用的估值技术和重要参数的定性及定量信" w:id="387"/>
      <w:bookmarkEnd w:id="387"/>
      <w:r>
        <w:rPr>
          <w:b w:val="0"/>
          <w:bCs w:val="0"/>
        </w:rPr>
      </w:r>
      <w:r>
        <w:rPr>
          <w:rFonts w:ascii="Times New Roman" w:hAnsi="Times New Roman" w:cs="Times New Roman" w:eastAsia="Times New Roman" w:hint="default"/>
        </w:rPr>
        <w:t>3</w:t>
      </w:r>
      <w:r>
        <w:rPr/>
        <w:t>、持续和非持续第二层次公允价值计量项目，采用的估值技术和重要参数的定性及定量信息</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1117"/>
        <w:jc w:val="left"/>
        <w:rPr>
          <w:b w:val="0"/>
          <w:bCs w:val="0"/>
        </w:rPr>
      </w:pPr>
      <w:bookmarkStart w:name="4、持续和非持续第三层次公允价值计量项目，采用的估值技术和重要参数的定性及定量信" w:id="388"/>
      <w:bookmarkEnd w:id="388"/>
      <w:r>
        <w:rPr>
          <w:b w:val="0"/>
          <w:bCs w:val="0"/>
        </w:rPr>
      </w:r>
      <w:r>
        <w:rPr>
          <w:rFonts w:ascii="Times New Roman" w:hAnsi="Times New Roman" w:cs="Times New Roman" w:eastAsia="Times New Roman" w:hint="default"/>
        </w:rPr>
        <w:t>4</w:t>
      </w:r>
      <w:r>
        <w:rPr/>
        <w:t>、持续和非持续第三层次公允价值计量项目，采用的估值技术和重要参数的定性及定量信息</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1117"/>
        <w:jc w:val="left"/>
        <w:rPr>
          <w:b w:val="0"/>
          <w:bCs w:val="0"/>
        </w:rPr>
      </w:pPr>
      <w:bookmarkStart w:name="5、持续的第三层次公允价值计量项目，期初与期末账面价值间的调节信息及不可观察参数" w:id="389"/>
      <w:bookmarkEnd w:id="389"/>
      <w:r>
        <w:rPr>
          <w:b w:val="0"/>
          <w:bCs w:val="0"/>
        </w:rPr>
      </w:r>
      <w:r>
        <w:rPr>
          <w:rFonts w:ascii="Times New Roman" w:hAnsi="Times New Roman" w:cs="Times New Roman" w:eastAsia="Times New Roman" w:hint="default"/>
        </w:rPr>
        <w:t>5</w:t>
      </w:r>
      <w:r>
        <w:rPr/>
        <w:t>、持续的第三层次公允价值计量项目，期初与期末账面价值间的调节信息及不可观察参数敏感性分析</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1117"/>
        <w:jc w:val="left"/>
        <w:rPr>
          <w:b w:val="0"/>
          <w:bCs w:val="0"/>
        </w:rPr>
      </w:pPr>
      <w:bookmarkStart w:name="6、持续的公允价值计量项目，本期内发生各层级之间转换的，转换的原因及确定转换时点" w:id="390"/>
      <w:bookmarkEnd w:id="390"/>
      <w:r>
        <w:rPr>
          <w:b w:val="0"/>
          <w:bCs w:val="0"/>
        </w:rPr>
      </w:r>
      <w:r>
        <w:rPr>
          <w:rFonts w:ascii="Times New Roman" w:hAnsi="Times New Roman" w:cs="Times New Roman" w:eastAsia="Times New Roman" w:hint="default"/>
        </w:rPr>
        <w:t>6</w:t>
      </w:r>
      <w:r>
        <w:rPr/>
        <w:t>、持续的公允价值计量项目，本期内发生各层级之间转换的，转换的原因及确定转换时点的政策</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1117"/>
        <w:jc w:val="left"/>
        <w:rPr>
          <w:b w:val="0"/>
          <w:bCs w:val="0"/>
        </w:rPr>
      </w:pPr>
      <w:bookmarkStart w:name="7、本期内发生的估值技术变更及变更原因" w:id="391"/>
      <w:bookmarkEnd w:id="391"/>
      <w:r>
        <w:rPr>
          <w:b w:val="0"/>
          <w:bCs w:val="0"/>
        </w:rPr>
      </w:r>
      <w:r>
        <w:rPr>
          <w:rFonts w:ascii="Times New Roman" w:hAnsi="Times New Roman" w:cs="Times New Roman" w:eastAsia="Times New Roman" w:hint="default"/>
        </w:rPr>
        <w:t>7</w:t>
      </w:r>
      <w:r>
        <w:rPr/>
        <w:t>、本期内发生的估值技术变更及变更原因</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1117"/>
        <w:jc w:val="left"/>
        <w:rPr>
          <w:b w:val="0"/>
          <w:bCs w:val="0"/>
        </w:rPr>
      </w:pPr>
      <w:bookmarkStart w:name="8、不以公允价值计量的金融资产和金融负债的公允价值情况" w:id="392"/>
      <w:bookmarkEnd w:id="392"/>
      <w:r>
        <w:rPr>
          <w:b w:val="0"/>
          <w:bCs w:val="0"/>
        </w:rPr>
      </w:r>
      <w:r>
        <w:rPr>
          <w:rFonts w:ascii="Times New Roman" w:hAnsi="Times New Roman" w:cs="Times New Roman" w:eastAsia="Times New Roman" w:hint="default"/>
        </w:rPr>
        <w:t>8</w:t>
      </w:r>
      <w:r>
        <w:rPr/>
        <w:t>、不以公允价值计量的金融资产和金融负债的公允价值情况</w:t>
      </w:r>
      <w:r>
        <w:rPr>
          <w:b w:val="0"/>
          <w:bCs w:val="0"/>
        </w:rPr>
      </w:r>
    </w:p>
    <w:p>
      <w:pPr>
        <w:spacing w:line="240" w:lineRule="auto" w:before="9"/>
        <w:rPr>
          <w:rFonts w:ascii="宋体" w:hAnsi="宋体" w:cs="宋体" w:eastAsia="宋体" w:hint="default"/>
          <w:b/>
          <w:bCs/>
          <w:sz w:val="24"/>
          <w:szCs w:val="24"/>
        </w:rPr>
      </w:pPr>
    </w:p>
    <w:p>
      <w:pPr>
        <w:spacing w:line="487" w:lineRule="auto" w:before="0"/>
        <w:ind w:left="154" w:right="7692" w:firstLine="0"/>
        <w:jc w:val="left"/>
        <w:rPr>
          <w:rFonts w:ascii="宋体" w:hAnsi="宋体" w:cs="宋体" w:eastAsia="宋体" w:hint="default"/>
          <w:sz w:val="21"/>
          <w:szCs w:val="21"/>
        </w:rPr>
      </w:pPr>
      <w:bookmarkStart w:name="9、其他" w:id="393"/>
      <w:bookmarkEnd w:id="393"/>
      <w:r>
        <w:rPr/>
      </w:r>
      <w:r>
        <w:rPr>
          <w:rFonts w:ascii="Times New Roman" w:hAnsi="Times New Roman" w:cs="Times New Roman" w:eastAsia="Times New Roman" w:hint="default"/>
          <w:b/>
          <w:bCs/>
          <w:sz w:val="21"/>
          <w:szCs w:val="21"/>
        </w:rPr>
        <w:t>9</w:t>
      </w:r>
      <w:r>
        <w:rPr>
          <w:rFonts w:ascii="宋体" w:hAnsi="宋体" w:cs="宋体" w:eastAsia="宋体" w:hint="default"/>
          <w:b/>
          <w:bCs/>
          <w:sz w:val="21"/>
          <w:szCs w:val="21"/>
        </w:rPr>
        <w:t>、其他</w:t>
      </w:r>
      <w:r>
        <w:rPr>
          <w:rFonts w:ascii="宋体" w:hAnsi="宋体" w:cs="宋体" w:eastAsia="宋体" w:hint="default"/>
          <w:b/>
          <w:bCs/>
          <w:spacing w:val="1"/>
          <w:w w:val="99"/>
          <w:sz w:val="21"/>
          <w:szCs w:val="21"/>
        </w:rPr>
        <w:t> </w:t>
      </w:r>
      <w:bookmarkStart w:name="十二、关联方及关联交易" w:id="394"/>
      <w:bookmarkEnd w:id="394"/>
      <w:r>
        <w:rPr>
          <w:rFonts w:ascii="宋体" w:hAnsi="宋体" w:cs="宋体" w:eastAsia="宋体" w:hint="default"/>
          <w:b/>
          <w:bCs/>
          <w:spacing w:val="1"/>
          <w:w w:val="99"/>
          <w:sz w:val="21"/>
          <w:szCs w:val="21"/>
        </w:rPr>
      </w:r>
      <w:r>
        <w:rPr>
          <w:rFonts w:ascii="宋体" w:hAnsi="宋体" w:cs="宋体" w:eastAsia="宋体" w:hint="default"/>
          <w:b/>
          <w:bCs/>
          <w:w w:val="95"/>
          <w:sz w:val="24"/>
          <w:szCs w:val="24"/>
        </w:rPr>
        <w:t>十二、关联方及关联交易</w:t>
      </w:r>
      <w:r>
        <w:rPr>
          <w:rFonts w:ascii="宋体" w:hAnsi="宋体" w:cs="宋体" w:eastAsia="宋体" w:hint="default"/>
          <w:b/>
          <w:bCs/>
          <w:spacing w:val="7"/>
          <w:w w:val="95"/>
          <w:sz w:val="24"/>
          <w:szCs w:val="24"/>
        </w:rPr>
        <w:t> </w:t>
      </w:r>
      <w:r>
        <w:rPr>
          <w:rFonts w:ascii="宋体" w:hAnsi="宋体" w:cs="宋体" w:eastAsia="宋体" w:hint="default"/>
          <w:b/>
          <w:bCs/>
          <w:spacing w:val="7"/>
          <w:w w:val="95"/>
          <w:sz w:val="24"/>
          <w:szCs w:val="24"/>
        </w:rPr>
      </w:r>
      <w:bookmarkStart w:name="1、本企业的母公司情况" w:id="395"/>
      <w:bookmarkEnd w:id="395"/>
      <w:r>
        <w:rPr>
          <w:rFonts w:ascii="宋体" w:hAnsi="宋体" w:cs="宋体" w:eastAsia="宋体" w:hint="default"/>
          <w:b/>
          <w:bCs/>
          <w:spacing w:val="7"/>
          <w:w w:val="95"/>
          <w:sz w:val="24"/>
          <w:szCs w:val="24"/>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、本企业的母公司情况</w:t>
      </w:r>
      <w:r>
        <w:rPr>
          <w:rFonts w:ascii="宋体" w:hAnsi="宋体" w:cs="宋体" w:eastAsia="宋体" w:hint="default"/>
          <w:sz w:val="21"/>
          <w:szCs w:val="21"/>
        </w:rPr>
      </w:r>
    </w:p>
    <w:p>
      <w:pPr>
        <w:spacing w:line="360" w:lineRule="auto" w:before="108"/>
        <w:ind w:left="154" w:right="8412" w:firstLine="0"/>
        <w:jc w:val="left"/>
        <w:rPr>
          <w:rFonts w:ascii="宋体" w:hAnsi="宋体" w:cs="宋体" w:eastAsia="宋体" w:hint="default"/>
          <w:sz w:val="18"/>
          <w:szCs w:val="18"/>
        </w:rPr>
      </w:pPr>
      <w:r>
        <w:rPr>
          <w:rFonts w:ascii="宋体" w:hAnsi="宋体" w:cs="宋体" w:eastAsia="宋体" w:hint="default"/>
          <w:sz w:val="18"/>
          <w:szCs w:val="18"/>
        </w:rPr>
        <w:t>本企业的母公司情况的说明 本企业最终控制方是。 其他说明：</w:t>
      </w:r>
    </w:p>
    <w:p>
      <w:pPr>
        <w:spacing w:line="240" w:lineRule="auto" w:before="11"/>
        <w:rPr>
          <w:rFonts w:ascii="宋体" w:hAnsi="宋体" w:cs="宋体" w:eastAsia="宋体" w:hint="default"/>
          <w:sz w:val="19"/>
          <w:szCs w:val="19"/>
        </w:rPr>
      </w:pPr>
    </w:p>
    <w:p>
      <w:pPr>
        <w:pStyle w:val="Heading4"/>
        <w:spacing w:line="240" w:lineRule="auto"/>
        <w:ind w:right="1117"/>
        <w:jc w:val="left"/>
        <w:rPr>
          <w:b w:val="0"/>
          <w:bCs w:val="0"/>
        </w:rPr>
      </w:pPr>
      <w:bookmarkStart w:name="2、本企业的子公司情况" w:id="396"/>
      <w:bookmarkEnd w:id="396"/>
      <w:r>
        <w:rPr>
          <w:b w:val="0"/>
          <w:bCs w:val="0"/>
        </w:rPr>
      </w:r>
      <w:r>
        <w:rPr>
          <w:rFonts w:ascii="Times New Roman" w:hAnsi="Times New Roman" w:cs="Times New Roman" w:eastAsia="Times New Roman" w:hint="default"/>
        </w:rPr>
        <w:t>2</w:t>
      </w:r>
      <w:r>
        <w:rPr/>
        <w:t>、本企业的子公司情况</w:t>
      </w:r>
      <w:r>
        <w:rPr>
          <w:b w:val="0"/>
          <w:bCs w:val="0"/>
        </w:rPr>
      </w:r>
    </w:p>
    <w:p>
      <w:pPr>
        <w:spacing w:line="240" w:lineRule="auto" w:before="9"/>
        <w:rPr>
          <w:rFonts w:ascii="宋体" w:hAnsi="宋体" w:cs="宋体" w:eastAsia="宋体" w:hint="default"/>
          <w:b/>
          <w:bCs/>
          <w:sz w:val="26"/>
          <w:szCs w:val="26"/>
        </w:rPr>
      </w:pPr>
    </w:p>
    <w:p>
      <w:pPr>
        <w:spacing w:before="0"/>
        <w:ind w:left="154" w:right="1117" w:firstLine="0"/>
        <w:jc w:val="left"/>
        <w:rPr>
          <w:rFonts w:ascii="宋体" w:hAnsi="宋体" w:cs="宋体" w:eastAsia="宋体" w:hint="default"/>
          <w:sz w:val="18"/>
          <w:szCs w:val="18"/>
        </w:rPr>
      </w:pPr>
      <w:r>
        <w:rPr>
          <w:rFonts w:ascii="宋体" w:hAnsi="宋体" w:cs="宋体" w:eastAsia="宋体" w:hint="default"/>
          <w:sz w:val="18"/>
          <w:szCs w:val="18"/>
        </w:rPr>
        <w:t>本企业子公司的情况详见附注。</w:t>
      </w:r>
    </w:p>
    <w:p>
      <w:pPr>
        <w:spacing w:line="240" w:lineRule="auto" w:before="10"/>
        <w:rPr>
          <w:rFonts w:ascii="宋体" w:hAnsi="宋体" w:cs="宋体" w:eastAsia="宋体" w:hint="default"/>
          <w:sz w:val="26"/>
          <w:szCs w:val="26"/>
        </w:rPr>
      </w:pPr>
    </w:p>
    <w:p>
      <w:pPr>
        <w:pStyle w:val="Heading4"/>
        <w:spacing w:line="240" w:lineRule="auto"/>
        <w:ind w:right="1117"/>
        <w:jc w:val="left"/>
        <w:rPr>
          <w:b w:val="0"/>
          <w:bCs w:val="0"/>
        </w:rPr>
      </w:pPr>
      <w:bookmarkStart w:name="3、本企业合营和联营企业情况" w:id="397"/>
      <w:bookmarkEnd w:id="397"/>
      <w:r>
        <w:rPr>
          <w:b w:val="0"/>
          <w:bCs w:val="0"/>
        </w:rPr>
      </w:r>
      <w:r>
        <w:rPr>
          <w:rFonts w:ascii="Times New Roman" w:hAnsi="Times New Roman" w:cs="Times New Roman" w:eastAsia="Times New Roman" w:hint="default"/>
        </w:rPr>
        <w:t>3</w:t>
      </w:r>
      <w:r>
        <w:rPr/>
        <w:t>、本企业合营和联营企业情况</w:t>
      </w:r>
      <w:r>
        <w:rPr>
          <w:b w:val="0"/>
          <w:bCs w:val="0"/>
        </w:rPr>
      </w:r>
    </w:p>
    <w:p>
      <w:pPr>
        <w:spacing w:line="240" w:lineRule="auto" w:before="9"/>
        <w:rPr>
          <w:rFonts w:ascii="宋体" w:hAnsi="宋体" w:cs="宋体" w:eastAsia="宋体" w:hint="default"/>
          <w:b/>
          <w:bCs/>
          <w:sz w:val="26"/>
          <w:szCs w:val="26"/>
        </w:rPr>
      </w:pPr>
    </w:p>
    <w:p>
      <w:pPr>
        <w:spacing w:line="357" w:lineRule="auto" w:before="0"/>
        <w:ind w:left="154" w:right="2292" w:firstLine="0"/>
        <w:jc w:val="left"/>
        <w:rPr>
          <w:rFonts w:ascii="宋体" w:hAnsi="宋体" w:cs="宋体" w:eastAsia="宋体" w:hint="default"/>
          <w:sz w:val="18"/>
          <w:szCs w:val="18"/>
        </w:rPr>
      </w:pPr>
      <w:r>
        <w:rPr>
          <w:rFonts w:ascii="宋体" w:hAnsi="宋体" w:cs="宋体" w:eastAsia="宋体" w:hint="default"/>
          <w:sz w:val="18"/>
          <w:szCs w:val="18"/>
        </w:rPr>
        <w:t>本企业重要的合营或联营企业详见附注。 本期与本公司发生关联方交易，或前期与本公司发生关联方交易形成余额的其他合营或联营企业情况如下：</w:t>
      </w:r>
    </w:p>
    <w:tbl>
      <w:tblPr>
        <w:tblW w:w="0" w:type="auto"/>
        <w:jc w:val="left"/>
        <w:tblInd w:w="149" w:type="dxa"/>
        <w:tblLayout w:type="fixed"/>
        <w:tblCellMar>
          <w:top w:w="0" w:type="dxa"/>
          <w:left w:w="0" w:type="dxa"/>
          <w:bottom w:w="0" w:type="dxa"/>
          <w:right w:w="0" w:type="dxa"/>
        </w:tblCellMar>
        <w:tblLook w:val="01E0"/>
      </w:tblPr>
      <w:tblGrid>
        <w:gridCol w:w="4783"/>
        <w:gridCol w:w="4786"/>
      </w:tblGrid>
      <w:tr>
        <w:trPr>
          <w:trHeight w:val="402"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576" w:right="0"/>
              <w:jc w:val="left"/>
              <w:rPr>
                <w:rFonts w:ascii="宋体" w:hAnsi="宋体" w:cs="宋体" w:eastAsia="宋体" w:hint="default"/>
                <w:sz w:val="18"/>
                <w:szCs w:val="18"/>
              </w:rPr>
            </w:pPr>
            <w:r>
              <w:rPr>
                <w:rFonts w:ascii="宋体" w:hAnsi="宋体" w:cs="宋体" w:eastAsia="宋体" w:hint="default"/>
                <w:sz w:val="18"/>
                <w:szCs w:val="18"/>
              </w:rPr>
              <w:t>合营或联营企业名称</w:t>
            </w:r>
          </w:p>
        </w:tc>
        <w:tc>
          <w:tcPr>
            <w:tcW w:w="47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与本企业关系</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成都兰途网络科技有限公司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联营企业</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北京乐智科技有限公司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联营企业</w:t>
            </w:r>
          </w:p>
        </w:tc>
      </w:tr>
    </w:tbl>
    <w:p>
      <w:pPr>
        <w:spacing w:after="0" w:line="240" w:lineRule="auto"/>
        <w:jc w:val="left"/>
        <w:rPr>
          <w:rFonts w:ascii="宋体" w:hAnsi="宋体" w:cs="宋体" w:eastAsia="宋体" w:hint="default"/>
          <w:sz w:val="18"/>
          <w:szCs w:val="18"/>
        </w:rPr>
        <w:sectPr>
          <w:pgSz w:w="11910" w:h="16840"/>
          <w:pgMar w:header="877" w:footer="979" w:top="1060" w:bottom="1160" w:left="980" w:right="0"/>
        </w:sectPr>
      </w:pPr>
    </w:p>
    <w:p>
      <w:pPr>
        <w:spacing w:line="240" w:lineRule="auto" w:before="6"/>
        <w:rPr>
          <w:rFonts w:ascii="宋体" w:hAnsi="宋体" w:cs="宋体" w:eastAsia="宋体" w:hint="default"/>
          <w:sz w:val="3"/>
          <w:szCs w:val="3"/>
        </w:rPr>
      </w:pPr>
    </w:p>
    <w:tbl>
      <w:tblPr>
        <w:tblW w:w="0" w:type="auto"/>
        <w:jc w:val="left"/>
        <w:tblInd w:w="149" w:type="dxa"/>
        <w:tblLayout w:type="fixed"/>
        <w:tblCellMar>
          <w:top w:w="0" w:type="dxa"/>
          <w:left w:w="0" w:type="dxa"/>
          <w:bottom w:w="0" w:type="dxa"/>
          <w:right w:w="0" w:type="dxa"/>
        </w:tblCellMar>
        <w:tblLook w:val="01E0"/>
      </w:tblPr>
      <w:tblGrid>
        <w:gridCol w:w="4783"/>
        <w:gridCol w:w="4786"/>
      </w:tblGrid>
      <w:tr>
        <w:trPr>
          <w:trHeight w:val="332" w:hRule="exact"/>
        </w:trPr>
        <w:tc>
          <w:tcPr>
            <w:tcW w:w="4783" w:type="dxa"/>
            <w:tcBorders>
              <w:top w:val="nil" w:sz="6" w:space="0" w:color="auto"/>
              <w:left w:val="nil" w:sz="6" w:space="0" w:color="auto"/>
              <w:bottom w:val="single" w:sz="4" w:space="0" w:color="000000"/>
              <w:right w:val="nil" w:sz="6" w:space="0" w:color="auto"/>
            </w:tcBorders>
          </w:tcPr>
          <w:p>
            <w:pPr/>
          </w:p>
        </w:tc>
        <w:tc>
          <w:tcPr>
            <w:tcW w:w="4786" w:type="dxa"/>
            <w:tcBorders>
              <w:top w:val="nil" w:sz="6" w:space="0" w:color="auto"/>
              <w:left w:val="nil" w:sz="6" w:space="0" w:color="auto"/>
              <w:bottom w:val="single" w:sz="4" w:space="0" w:color="000000"/>
              <w:right w:val="nil" w:sz="6" w:space="0" w:color="auto"/>
            </w:tcBorders>
          </w:tcPr>
          <w:p>
            <w:pP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北京希嘉创智教育科技有限公司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联营企业</w:t>
            </w:r>
          </w:p>
        </w:tc>
      </w:tr>
    </w:tbl>
    <w:p>
      <w:pPr>
        <w:spacing w:before="51"/>
        <w:ind w:left="154" w:right="1117" w:firstLine="0"/>
        <w:jc w:val="left"/>
        <w:rPr>
          <w:rFonts w:ascii="宋体" w:hAnsi="宋体" w:cs="宋体" w:eastAsia="宋体" w:hint="default"/>
          <w:sz w:val="18"/>
          <w:szCs w:val="18"/>
        </w:rPr>
      </w:pPr>
      <w:r>
        <w:rPr/>
        <w:pict>
          <v:group style="position:absolute;margin-left:55.200001pt;margin-top:-36.978271pt;width:485pt;height:.1pt;mso-position-horizontal-relative:page;mso-position-vertical-relative:paragraph;z-index:-1221280" coordorigin="1104,-740" coordsize="9700,2">
            <v:shape style="position:absolute;left:1104;top:-740;width:9700;height:2" coordorigin="1104,-740" coordsize="9700,0" path="m1104,-740l10804,-740e" filled="false" stroked="true" strokeweight=".72pt" strokecolor="#000000">
              <v:path arrowok="t"/>
            </v:shape>
            <w10:wrap type="none"/>
          </v:group>
        </w:pict>
      </w: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pStyle w:val="Heading4"/>
        <w:spacing w:line="240" w:lineRule="auto"/>
        <w:ind w:right="1117"/>
        <w:jc w:val="left"/>
        <w:rPr>
          <w:b w:val="0"/>
          <w:bCs w:val="0"/>
        </w:rPr>
      </w:pPr>
      <w:bookmarkStart w:name="4、其他关联方情况" w:id="398"/>
      <w:bookmarkEnd w:id="398"/>
      <w:r>
        <w:rPr>
          <w:b w:val="0"/>
          <w:bCs w:val="0"/>
        </w:rPr>
      </w:r>
      <w:r>
        <w:rPr>
          <w:rFonts w:ascii="Times New Roman" w:hAnsi="Times New Roman" w:cs="Times New Roman" w:eastAsia="Times New Roman" w:hint="default"/>
        </w:rPr>
        <w:t>4</w:t>
      </w:r>
      <w:r>
        <w:rPr/>
        <w:t>、其他关联方情况</w:t>
      </w:r>
      <w:r>
        <w:rPr>
          <w:b w:val="0"/>
          <w:bCs w:val="0"/>
        </w:rPr>
      </w:r>
    </w:p>
    <w:p>
      <w:pPr>
        <w:spacing w:line="240" w:lineRule="auto" w:before="11"/>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4783"/>
        <w:gridCol w:w="4786"/>
      </w:tblGrid>
      <w:tr>
        <w:trPr>
          <w:trHeight w:val="402"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其他关联方名称</w:t>
            </w:r>
          </w:p>
        </w:tc>
        <w:tc>
          <w:tcPr>
            <w:tcW w:w="47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398" w:right="0"/>
              <w:jc w:val="left"/>
              <w:rPr>
                <w:rFonts w:ascii="宋体" w:hAnsi="宋体" w:cs="宋体" w:eastAsia="宋体" w:hint="default"/>
                <w:sz w:val="18"/>
                <w:szCs w:val="18"/>
              </w:rPr>
            </w:pPr>
            <w:r>
              <w:rPr>
                <w:rFonts w:ascii="宋体" w:hAnsi="宋体" w:cs="宋体" w:eastAsia="宋体" w:hint="default"/>
                <w:sz w:val="18"/>
                <w:szCs w:val="18"/>
              </w:rPr>
              <w:t>其他关联方与本企业关系</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河南佳弘信诚企业管理咨询中心（有限合伙）</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董事、副总经理尚卫国担任普通合伙人</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湖南科瑞特科技有限公司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联营企业嘉兴丹诚持股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w:t>
            </w:r>
            <w:r>
              <w:rPr>
                <w:rFonts w:ascii="宋体" w:hAnsi="宋体" w:cs="宋体" w:eastAsia="宋体" w:hint="default"/>
                <w:sz w:val="18"/>
                <w:szCs w:val="18"/>
              </w:rPr>
              <w:t>；副总经理杜建平担任董事</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职派咨询（北京）有限责任公司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联营企业嘉兴丹诚持股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40%</w:t>
            </w:r>
          </w:p>
        </w:tc>
      </w:tr>
      <w:tr>
        <w:trPr>
          <w:trHeight w:val="714"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上海天维恒瑞企业管理合伙企业（有限合伙）</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1"/>
              <w:jc w:val="left"/>
              <w:rPr>
                <w:rFonts w:ascii="宋体" w:hAnsi="宋体" w:cs="宋体" w:eastAsia="宋体" w:hint="default"/>
                <w:sz w:val="18"/>
                <w:szCs w:val="18"/>
              </w:rPr>
            </w:pPr>
            <w:r>
              <w:rPr>
                <w:rFonts w:ascii="宋体" w:hAnsi="宋体" w:cs="宋体" w:eastAsia="宋体" w:hint="default"/>
                <w:sz w:val="18"/>
                <w:szCs w:val="18"/>
              </w:rPr>
              <w:t>天维恒瑞的普通合伙人郎金文先生与公司控股股东、实际控 制人杨维国先生及其他</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名股东为一致行动人</w:t>
            </w:r>
          </w:p>
        </w:tc>
      </w:tr>
    </w:tbl>
    <w:p>
      <w:pPr>
        <w:spacing w:before="51"/>
        <w:ind w:left="154" w:right="1117"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pStyle w:val="Heading4"/>
        <w:spacing w:line="240" w:lineRule="auto"/>
        <w:ind w:right="1117"/>
        <w:jc w:val="left"/>
        <w:rPr>
          <w:b w:val="0"/>
          <w:bCs w:val="0"/>
        </w:rPr>
      </w:pPr>
      <w:bookmarkStart w:name="5、关联交易情况" w:id="399"/>
      <w:bookmarkEnd w:id="399"/>
      <w:r>
        <w:rPr>
          <w:b w:val="0"/>
          <w:bCs w:val="0"/>
        </w:rPr>
      </w:r>
      <w:r>
        <w:rPr>
          <w:rFonts w:ascii="Times New Roman" w:hAnsi="Times New Roman" w:cs="Times New Roman" w:eastAsia="Times New Roman" w:hint="default"/>
        </w:rPr>
        <w:t>5</w:t>
      </w:r>
      <w:r>
        <w:rPr/>
        <w:t>、关联交易情况</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1117"/>
        <w:jc w:val="left"/>
        <w:rPr>
          <w:b w:val="0"/>
          <w:bCs w:val="0"/>
        </w:rPr>
      </w:pPr>
      <w:bookmarkStart w:name="（1）购销商品、提供和接受劳务的关联交易" w:id="400"/>
      <w:bookmarkEnd w:id="400"/>
      <w:r>
        <w:rPr>
          <w:b w:val="0"/>
          <w:bCs w:val="0"/>
        </w:rPr>
      </w:r>
      <w:r>
        <w:rPr/>
        <w:t>（</w:t>
      </w:r>
      <w:r>
        <w:rPr>
          <w:rFonts w:ascii="Times New Roman" w:hAnsi="Times New Roman" w:cs="Times New Roman" w:eastAsia="Times New Roman" w:hint="default"/>
        </w:rPr>
        <w:t>1</w:t>
      </w:r>
      <w:r>
        <w:rPr/>
        <w:t>）购销商品、提供和接受劳务的关联交易</w:t>
      </w:r>
      <w:r>
        <w:rPr>
          <w:b w:val="0"/>
          <w:bCs w:val="0"/>
        </w:rPr>
      </w:r>
    </w:p>
    <w:p>
      <w:pPr>
        <w:spacing w:line="240" w:lineRule="auto" w:before="4"/>
        <w:rPr>
          <w:rFonts w:ascii="宋体" w:hAnsi="宋体" w:cs="宋体" w:eastAsia="宋体" w:hint="default"/>
          <w:b/>
          <w:bCs/>
          <w:sz w:val="23"/>
          <w:szCs w:val="23"/>
        </w:rPr>
      </w:pPr>
    </w:p>
    <w:p>
      <w:pPr>
        <w:spacing w:before="44"/>
        <w:ind w:left="154" w:right="1117" w:firstLine="0"/>
        <w:jc w:val="left"/>
        <w:rPr>
          <w:rFonts w:ascii="宋体" w:hAnsi="宋体" w:cs="宋体" w:eastAsia="宋体" w:hint="default"/>
          <w:sz w:val="18"/>
          <w:szCs w:val="18"/>
        </w:rPr>
      </w:pPr>
      <w:r>
        <w:rPr>
          <w:rFonts w:ascii="宋体" w:hAnsi="宋体" w:cs="宋体" w:eastAsia="宋体" w:hint="default"/>
          <w:sz w:val="18"/>
          <w:szCs w:val="18"/>
        </w:rPr>
        <w:t>采购商品</w:t>
      </w:r>
      <w:r>
        <w:rPr>
          <w:rFonts w:ascii="Times New Roman" w:hAnsi="Times New Roman" w:cs="Times New Roman" w:eastAsia="Times New Roman" w:hint="default"/>
          <w:sz w:val="18"/>
          <w:szCs w:val="18"/>
        </w:rPr>
        <w:t>/</w:t>
      </w:r>
      <w:r>
        <w:rPr>
          <w:rFonts w:ascii="宋体" w:hAnsi="宋体" w:cs="宋体" w:eastAsia="宋体" w:hint="default"/>
          <w:sz w:val="18"/>
          <w:szCs w:val="18"/>
        </w:rPr>
        <w:t>接受劳务情况表</w:t>
      </w:r>
    </w:p>
    <w:p>
      <w:pPr>
        <w:spacing w:before="102"/>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540"/>
        <w:gridCol w:w="1454"/>
        <w:gridCol w:w="1455"/>
        <w:gridCol w:w="1706"/>
        <w:gridCol w:w="1708"/>
        <w:gridCol w:w="1706"/>
      </w:tblGrid>
      <w:tr>
        <w:trPr>
          <w:trHeight w:val="402" w:hRule="exact"/>
        </w:trPr>
        <w:tc>
          <w:tcPr>
            <w:tcW w:w="15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94" w:right="0"/>
              <w:jc w:val="left"/>
              <w:rPr>
                <w:rFonts w:ascii="宋体" w:hAnsi="宋体" w:cs="宋体" w:eastAsia="宋体" w:hint="default"/>
                <w:sz w:val="18"/>
                <w:szCs w:val="18"/>
              </w:rPr>
            </w:pPr>
            <w:r>
              <w:rPr>
                <w:rFonts w:ascii="宋体" w:hAnsi="宋体" w:cs="宋体" w:eastAsia="宋体" w:hint="default"/>
                <w:sz w:val="18"/>
                <w:szCs w:val="18"/>
              </w:rPr>
              <w:t>关联方</w:t>
            </w:r>
          </w:p>
        </w:tc>
        <w:tc>
          <w:tcPr>
            <w:tcW w:w="14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82" w:right="0"/>
              <w:jc w:val="left"/>
              <w:rPr>
                <w:rFonts w:ascii="宋体" w:hAnsi="宋体" w:cs="宋体" w:eastAsia="宋体" w:hint="default"/>
                <w:sz w:val="18"/>
                <w:szCs w:val="18"/>
              </w:rPr>
            </w:pPr>
            <w:r>
              <w:rPr>
                <w:rFonts w:ascii="宋体" w:hAnsi="宋体" w:cs="宋体" w:eastAsia="宋体" w:hint="default"/>
                <w:sz w:val="18"/>
                <w:szCs w:val="18"/>
              </w:rPr>
              <w:t>关联交易内容</w:t>
            </w:r>
          </w:p>
        </w:tc>
        <w:tc>
          <w:tcPr>
            <w:tcW w:w="14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71"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17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18" w:right="0"/>
              <w:jc w:val="left"/>
              <w:rPr>
                <w:rFonts w:ascii="宋体" w:hAnsi="宋体" w:cs="宋体" w:eastAsia="宋体" w:hint="default"/>
                <w:sz w:val="18"/>
                <w:szCs w:val="18"/>
              </w:rPr>
            </w:pPr>
            <w:r>
              <w:rPr>
                <w:rFonts w:ascii="宋体" w:hAnsi="宋体" w:cs="宋体" w:eastAsia="宋体" w:hint="default"/>
                <w:sz w:val="18"/>
                <w:szCs w:val="18"/>
              </w:rPr>
              <w:t>获批的交易额度</w:t>
            </w:r>
          </w:p>
        </w:tc>
        <w:tc>
          <w:tcPr>
            <w:tcW w:w="1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28" w:right="0"/>
              <w:jc w:val="left"/>
              <w:rPr>
                <w:rFonts w:ascii="宋体" w:hAnsi="宋体" w:cs="宋体" w:eastAsia="宋体" w:hint="default"/>
                <w:sz w:val="18"/>
                <w:szCs w:val="18"/>
              </w:rPr>
            </w:pPr>
            <w:r>
              <w:rPr>
                <w:rFonts w:ascii="宋体" w:hAnsi="宋体" w:cs="宋体" w:eastAsia="宋体" w:hint="default"/>
                <w:sz w:val="18"/>
                <w:szCs w:val="18"/>
              </w:rPr>
              <w:t>是否超过交易额度</w:t>
            </w:r>
          </w:p>
        </w:tc>
        <w:tc>
          <w:tcPr>
            <w:tcW w:w="17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98"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714" w:hRule="exact"/>
        </w:trPr>
        <w:tc>
          <w:tcPr>
            <w:tcW w:w="154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65"/>
              <w:jc w:val="left"/>
              <w:rPr>
                <w:rFonts w:ascii="宋体" w:hAnsi="宋体" w:cs="宋体" w:eastAsia="宋体" w:hint="default"/>
                <w:sz w:val="18"/>
                <w:szCs w:val="18"/>
              </w:rPr>
            </w:pPr>
            <w:r>
              <w:rPr>
                <w:rFonts w:ascii="宋体" w:hAnsi="宋体" w:cs="宋体" w:eastAsia="宋体" w:hint="default"/>
                <w:sz w:val="18"/>
                <w:szCs w:val="18"/>
              </w:rPr>
              <w:t>北京乐智科技有限 公司</w:t>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3" w:right="158"/>
              <w:jc w:val="left"/>
              <w:rPr>
                <w:rFonts w:ascii="宋体" w:hAnsi="宋体" w:cs="宋体" w:eastAsia="宋体" w:hint="default"/>
                <w:sz w:val="18"/>
                <w:szCs w:val="18"/>
              </w:rPr>
            </w:pPr>
            <w:r>
              <w:rPr>
                <w:rFonts w:ascii="宋体" w:hAnsi="宋体" w:cs="宋体" w:eastAsia="宋体" w:hint="default"/>
                <w:sz w:val="18"/>
                <w:szCs w:val="18"/>
              </w:rPr>
              <w:t>与日常经营相关 的关联交易</w:t>
            </w:r>
          </w:p>
        </w:tc>
        <w:tc>
          <w:tcPr>
            <w:tcW w:w="1455" w:type="dxa"/>
            <w:tcBorders>
              <w:top w:val="single" w:sz="4" w:space="0" w:color="000000"/>
              <w:left w:val="single" w:sz="4" w:space="0" w:color="000000"/>
              <w:bottom w:val="single" w:sz="4" w:space="0" w:color="000000"/>
              <w:right w:val="single" w:sz="4" w:space="0" w:color="000000"/>
            </w:tcBorders>
          </w:tcPr>
          <w:p>
            <w:pPr/>
          </w:p>
        </w:tc>
        <w:tc>
          <w:tcPr>
            <w:tcW w:w="1706" w:type="dxa"/>
            <w:tcBorders>
              <w:top w:val="single" w:sz="4" w:space="0" w:color="000000"/>
              <w:left w:val="single" w:sz="4" w:space="0" w:color="000000"/>
              <w:bottom w:val="single" w:sz="4" w:space="0" w:color="000000"/>
              <w:right w:val="single" w:sz="4" w:space="0" w:color="000000"/>
            </w:tcBorders>
          </w:tcPr>
          <w:p>
            <w:pPr/>
          </w:p>
        </w:tc>
        <w:tc>
          <w:tcPr>
            <w:tcW w:w="1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21,645.63</w:t>
            </w:r>
          </w:p>
        </w:tc>
      </w:tr>
      <w:tr>
        <w:trPr>
          <w:trHeight w:val="715" w:hRule="exact"/>
        </w:trPr>
        <w:tc>
          <w:tcPr>
            <w:tcW w:w="154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65"/>
              <w:jc w:val="left"/>
              <w:rPr>
                <w:rFonts w:ascii="宋体" w:hAnsi="宋体" w:cs="宋体" w:eastAsia="宋体" w:hint="default"/>
                <w:sz w:val="18"/>
                <w:szCs w:val="18"/>
              </w:rPr>
            </w:pPr>
            <w:r>
              <w:rPr>
                <w:rFonts w:ascii="宋体" w:hAnsi="宋体" w:cs="宋体" w:eastAsia="宋体" w:hint="default"/>
                <w:sz w:val="18"/>
                <w:szCs w:val="18"/>
              </w:rPr>
              <w:t>成都兰途网络科技 有限公司</w:t>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3" w:right="158"/>
              <w:jc w:val="left"/>
              <w:rPr>
                <w:rFonts w:ascii="宋体" w:hAnsi="宋体" w:cs="宋体" w:eastAsia="宋体" w:hint="default"/>
                <w:sz w:val="18"/>
                <w:szCs w:val="18"/>
              </w:rPr>
            </w:pPr>
            <w:r>
              <w:rPr>
                <w:rFonts w:ascii="宋体" w:hAnsi="宋体" w:cs="宋体" w:eastAsia="宋体" w:hint="default"/>
                <w:sz w:val="18"/>
                <w:szCs w:val="18"/>
              </w:rPr>
              <w:t>与日常经营相关 的关联交易</w:t>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610" w:right="0"/>
              <w:jc w:val="left"/>
              <w:rPr>
                <w:rFonts w:ascii="Times New Roman" w:hAnsi="Times New Roman" w:cs="Times New Roman" w:eastAsia="Times New Roman" w:hint="default"/>
                <w:sz w:val="18"/>
                <w:szCs w:val="18"/>
              </w:rPr>
            </w:pPr>
            <w:r>
              <w:rPr>
                <w:rFonts w:ascii="Times New Roman"/>
                <w:sz w:val="18"/>
              </w:rPr>
              <w:t>584,364.61</w:t>
            </w:r>
          </w:p>
        </w:tc>
        <w:tc>
          <w:tcPr>
            <w:tcW w:w="1706" w:type="dxa"/>
            <w:tcBorders>
              <w:top w:val="single" w:sz="4" w:space="0" w:color="000000"/>
              <w:left w:val="single" w:sz="4" w:space="0" w:color="000000"/>
              <w:bottom w:val="single" w:sz="4" w:space="0" w:color="000000"/>
              <w:right w:val="single" w:sz="4" w:space="0" w:color="000000"/>
            </w:tcBorders>
          </w:tcPr>
          <w:p>
            <w:pPr/>
          </w:p>
        </w:tc>
        <w:tc>
          <w:tcPr>
            <w:tcW w:w="1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863,418.80</w:t>
            </w:r>
          </w:p>
        </w:tc>
      </w:tr>
    </w:tbl>
    <w:p>
      <w:pPr>
        <w:spacing w:before="51"/>
        <w:ind w:left="154" w:right="1117" w:firstLine="0"/>
        <w:jc w:val="left"/>
        <w:rPr>
          <w:rFonts w:ascii="宋体" w:hAnsi="宋体" w:cs="宋体" w:eastAsia="宋体" w:hint="default"/>
          <w:sz w:val="18"/>
          <w:szCs w:val="18"/>
        </w:rPr>
      </w:pPr>
      <w:r>
        <w:rPr>
          <w:rFonts w:ascii="宋体" w:hAnsi="宋体" w:cs="宋体" w:eastAsia="宋体" w:hint="default"/>
          <w:sz w:val="18"/>
          <w:szCs w:val="18"/>
        </w:rPr>
        <w:t>出售商品</w:t>
      </w:r>
      <w:r>
        <w:rPr>
          <w:rFonts w:ascii="Times New Roman" w:hAnsi="Times New Roman" w:cs="Times New Roman" w:eastAsia="Times New Roman" w:hint="default"/>
          <w:sz w:val="18"/>
          <w:szCs w:val="18"/>
        </w:rPr>
        <w:t>/</w:t>
      </w:r>
      <w:r>
        <w:rPr>
          <w:rFonts w:ascii="宋体" w:hAnsi="宋体" w:cs="宋体" w:eastAsia="宋体" w:hint="default"/>
          <w:sz w:val="18"/>
          <w:szCs w:val="18"/>
        </w:rPr>
        <w:t>提供劳务情况表</w:t>
      </w:r>
    </w:p>
    <w:p>
      <w:pPr>
        <w:spacing w:before="102"/>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398"/>
        <w:gridCol w:w="2259"/>
        <w:gridCol w:w="2260"/>
        <w:gridCol w:w="2652"/>
      </w:tblGrid>
      <w:tr>
        <w:trPr>
          <w:trHeight w:val="402" w:hRule="exact"/>
        </w:trPr>
        <w:tc>
          <w:tcPr>
            <w:tcW w:w="23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关联方</w:t>
            </w:r>
          </w:p>
        </w:tc>
        <w:tc>
          <w:tcPr>
            <w:tcW w:w="22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关联交易内容</w:t>
            </w:r>
          </w:p>
        </w:tc>
        <w:tc>
          <w:tcPr>
            <w:tcW w:w="22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74"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71"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23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北京希嘉创智教育科技有限</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41"/>
              <w:jc w:val="center"/>
              <w:rPr>
                <w:rFonts w:ascii="宋体" w:hAnsi="宋体" w:cs="宋体" w:eastAsia="宋体" w:hint="default"/>
                <w:sz w:val="18"/>
                <w:szCs w:val="18"/>
              </w:rPr>
            </w:pPr>
            <w:r>
              <w:rPr>
                <w:rFonts w:ascii="宋体" w:hAnsi="宋体" w:cs="宋体" w:eastAsia="宋体" w:hint="default"/>
                <w:sz w:val="18"/>
                <w:szCs w:val="18"/>
              </w:rPr>
              <w:t>与日常经营相关的关联交易</w:t>
            </w:r>
          </w:p>
        </w:tc>
        <w:tc>
          <w:tcPr>
            <w:tcW w:w="2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0.00</w:t>
            </w:r>
          </w:p>
        </w:tc>
        <w:tc>
          <w:tcPr>
            <w:tcW w:w="2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2,494,276.95</w:t>
            </w:r>
          </w:p>
        </w:tc>
      </w:tr>
      <w:tr>
        <w:trPr>
          <w:trHeight w:val="402" w:hRule="exact"/>
        </w:trPr>
        <w:tc>
          <w:tcPr>
            <w:tcW w:w="23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成都兰途网络科技有限公司</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41"/>
              <w:jc w:val="center"/>
              <w:rPr>
                <w:rFonts w:ascii="宋体" w:hAnsi="宋体" w:cs="宋体" w:eastAsia="宋体" w:hint="default"/>
                <w:sz w:val="18"/>
                <w:szCs w:val="18"/>
              </w:rPr>
            </w:pPr>
            <w:r>
              <w:rPr>
                <w:rFonts w:ascii="宋体" w:hAnsi="宋体" w:cs="宋体" w:eastAsia="宋体" w:hint="default"/>
                <w:sz w:val="18"/>
                <w:szCs w:val="18"/>
              </w:rPr>
              <w:t>与日常经营相关的关联交易</w:t>
            </w:r>
          </w:p>
        </w:tc>
        <w:tc>
          <w:tcPr>
            <w:tcW w:w="2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0.00</w:t>
            </w:r>
          </w:p>
        </w:tc>
        <w:tc>
          <w:tcPr>
            <w:tcW w:w="2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41,452.99</w:t>
            </w:r>
          </w:p>
        </w:tc>
      </w:tr>
      <w:tr>
        <w:trPr>
          <w:trHeight w:val="714" w:hRule="exact"/>
        </w:trPr>
        <w:tc>
          <w:tcPr>
            <w:tcW w:w="239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23"/>
              <w:jc w:val="left"/>
              <w:rPr>
                <w:rFonts w:ascii="宋体" w:hAnsi="宋体" w:cs="宋体" w:eastAsia="宋体" w:hint="default"/>
                <w:sz w:val="18"/>
                <w:szCs w:val="18"/>
              </w:rPr>
            </w:pPr>
            <w:r>
              <w:rPr>
                <w:rFonts w:ascii="宋体" w:hAnsi="宋体" w:cs="宋体" w:eastAsia="宋体" w:hint="default"/>
                <w:sz w:val="18"/>
                <w:szCs w:val="18"/>
              </w:rPr>
              <w:t>职派咨询（北京）有限责任公 司</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41"/>
              <w:jc w:val="center"/>
              <w:rPr>
                <w:rFonts w:ascii="宋体" w:hAnsi="宋体" w:cs="宋体" w:eastAsia="宋体" w:hint="default"/>
                <w:sz w:val="18"/>
                <w:szCs w:val="18"/>
              </w:rPr>
            </w:pPr>
            <w:r>
              <w:rPr>
                <w:rFonts w:ascii="宋体" w:hAnsi="宋体" w:cs="宋体" w:eastAsia="宋体" w:hint="default"/>
                <w:sz w:val="18"/>
                <w:szCs w:val="18"/>
              </w:rPr>
              <w:t>与日常经营相关的关联交易</w:t>
            </w:r>
          </w:p>
        </w:tc>
        <w:tc>
          <w:tcPr>
            <w:tcW w:w="2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67,156.60</w:t>
            </w:r>
          </w:p>
        </w:tc>
        <w:tc>
          <w:tcPr>
            <w:tcW w:w="2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0.00</w:t>
            </w:r>
          </w:p>
        </w:tc>
      </w:tr>
      <w:tr>
        <w:trPr>
          <w:trHeight w:val="402" w:hRule="exact"/>
        </w:trPr>
        <w:tc>
          <w:tcPr>
            <w:tcW w:w="23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湖南科瑞特科技有限公司</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41"/>
              <w:jc w:val="center"/>
              <w:rPr>
                <w:rFonts w:ascii="宋体" w:hAnsi="宋体" w:cs="宋体" w:eastAsia="宋体" w:hint="default"/>
                <w:sz w:val="18"/>
                <w:szCs w:val="18"/>
              </w:rPr>
            </w:pPr>
            <w:r>
              <w:rPr>
                <w:rFonts w:ascii="宋体" w:hAnsi="宋体" w:cs="宋体" w:eastAsia="宋体" w:hint="default"/>
                <w:sz w:val="18"/>
                <w:szCs w:val="18"/>
              </w:rPr>
              <w:t>与日常经营相关的关联交易</w:t>
            </w:r>
          </w:p>
        </w:tc>
        <w:tc>
          <w:tcPr>
            <w:tcW w:w="2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4,038,879.32</w:t>
            </w:r>
          </w:p>
        </w:tc>
        <w:tc>
          <w:tcPr>
            <w:tcW w:w="2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r>
    </w:tbl>
    <w:p>
      <w:pPr>
        <w:spacing w:before="51"/>
        <w:ind w:left="154" w:right="1117" w:firstLine="0"/>
        <w:jc w:val="left"/>
        <w:rPr>
          <w:rFonts w:ascii="宋体" w:hAnsi="宋体" w:cs="宋体" w:eastAsia="宋体" w:hint="default"/>
          <w:sz w:val="18"/>
          <w:szCs w:val="18"/>
        </w:rPr>
      </w:pPr>
      <w:r>
        <w:rPr>
          <w:rFonts w:ascii="宋体" w:hAnsi="宋体" w:cs="宋体" w:eastAsia="宋体" w:hint="default"/>
          <w:sz w:val="18"/>
          <w:szCs w:val="18"/>
        </w:rPr>
        <w:t>购销商品、提供和接受劳务的关联交易说明</w:t>
      </w:r>
    </w:p>
    <w:p>
      <w:pPr>
        <w:spacing w:line="240" w:lineRule="auto" w:before="11"/>
        <w:rPr>
          <w:rFonts w:ascii="宋体" w:hAnsi="宋体" w:cs="宋体" w:eastAsia="宋体" w:hint="default"/>
          <w:sz w:val="26"/>
          <w:szCs w:val="26"/>
        </w:rPr>
      </w:pPr>
    </w:p>
    <w:p>
      <w:pPr>
        <w:pStyle w:val="Heading4"/>
        <w:spacing w:line="240" w:lineRule="auto"/>
        <w:ind w:right="1117"/>
        <w:jc w:val="left"/>
        <w:rPr>
          <w:b w:val="0"/>
          <w:bCs w:val="0"/>
        </w:rPr>
      </w:pPr>
      <w:bookmarkStart w:name="（2）关联受托管理/承包及委托管理/出包情况" w:id="401"/>
      <w:bookmarkEnd w:id="401"/>
      <w:r>
        <w:rPr>
          <w:b w:val="0"/>
          <w:bCs w:val="0"/>
        </w:rPr>
      </w:r>
      <w:r>
        <w:rPr/>
        <w:t>（</w:t>
      </w:r>
      <w:r>
        <w:rPr>
          <w:rFonts w:ascii="Times New Roman" w:hAnsi="Times New Roman" w:cs="Times New Roman" w:eastAsia="Times New Roman" w:hint="default"/>
        </w:rPr>
        <w:t>2</w:t>
      </w:r>
      <w:r>
        <w:rPr/>
        <w:t>）关联受托管理</w:t>
      </w:r>
      <w:r>
        <w:rPr>
          <w:rFonts w:ascii="Times New Roman" w:hAnsi="Times New Roman" w:cs="Times New Roman" w:eastAsia="Times New Roman" w:hint="default"/>
        </w:rPr>
        <w:t>/</w:t>
      </w:r>
      <w:r>
        <w:rPr/>
        <w:t>承包及委托管理</w:t>
      </w:r>
      <w:r>
        <w:rPr>
          <w:rFonts w:ascii="Times New Roman" w:hAnsi="Times New Roman" w:cs="Times New Roman" w:eastAsia="Times New Roman" w:hint="default"/>
        </w:rPr>
        <w:t>/</w:t>
      </w:r>
      <w:r>
        <w:rPr/>
        <w:t>出包情况</w:t>
      </w:r>
      <w:r>
        <w:rPr>
          <w:b w:val="0"/>
          <w:bCs w:val="0"/>
        </w:rPr>
      </w:r>
    </w:p>
    <w:p>
      <w:pPr>
        <w:spacing w:line="240" w:lineRule="auto" w:before="8"/>
        <w:rPr>
          <w:rFonts w:ascii="宋体" w:hAnsi="宋体" w:cs="宋体" w:eastAsia="宋体" w:hint="default"/>
          <w:b/>
          <w:bCs/>
          <w:sz w:val="26"/>
          <w:szCs w:val="26"/>
        </w:rPr>
      </w:pPr>
    </w:p>
    <w:p>
      <w:pPr>
        <w:spacing w:line="338" w:lineRule="auto" w:before="0"/>
        <w:ind w:left="154" w:right="8362" w:firstLine="0"/>
        <w:jc w:val="left"/>
        <w:rPr>
          <w:rFonts w:ascii="宋体" w:hAnsi="宋体" w:cs="宋体" w:eastAsia="宋体" w:hint="default"/>
          <w:sz w:val="18"/>
          <w:szCs w:val="18"/>
        </w:rPr>
      </w:pPr>
      <w:r>
        <w:rPr>
          <w:rFonts w:ascii="宋体" w:hAnsi="宋体" w:cs="宋体" w:eastAsia="宋体" w:hint="default"/>
          <w:sz w:val="18"/>
          <w:szCs w:val="18"/>
        </w:rPr>
        <w:t>本公司受托管理</w:t>
      </w:r>
      <w:r>
        <w:rPr>
          <w:rFonts w:ascii="Times New Roman" w:hAnsi="Times New Roman" w:cs="Times New Roman" w:eastAsia="Times New Roman" w:hint="default"/>
          <w:sz w:val="18"/>
          <w:szCs w:val="18"/>
        </w:rPr>
        <w:t>/</w:t>
      </w:r>
      <w:r>
        <w:rPr>
          <w:rFonts w:ascii="宋体" w:hAnsi="宋体" w:cs="宋体" w:eastAsia="宋体" w:hint="default"/>
          <w:sz w:val="18"/>
          <w:szCs w:val="18"/>
        </w:rPr>
        <w:t>承包情况表： 关联托管</w:t>
      </w:r>
      <w:r>
        <w:rPr>
          <w:rFonts w:ascii="Times New Roman" w:hAnsi="Times New Roman" w:cs="Times New Roman" w:eastAsia="Times New Roman" w:hint="default"/>
          <w:sz w:val="18"/>
          <w:szCs w:val="18"/>
        </w:rPr>
        <w:t>/</w:t>
      </w:r>
      <w:r>
        <w:rPr>
          <w:rFonts w:ascii="宋体" w:hAnsi="宋体" w:cs="宋体" w:eastAsia="宋体" w:hint="default"/>
          <w:sz w:val="18"/>
          <w:szCs w:val="18"/>
        </w:rPr>
        <w:t>承包情况说明 本公司委托管理</w:t>
      </w:r>
      <w:r>
        <w:rPr>
          <w:rFonts w:ascii="Times New Roman" w:hAnsi="Times New Roman" w:cs="Times New Roman" w:eastAsia="Times New Roman" w:hint="default"/>
          <w:sz w:val="18"/>
          <w:szCs w:val="18"/>
        </w:rPr>
        <w:t>/</w:t>
      </w:r>
      <w:r>
        <w:rPr>
          <w:rFonts w:ascii="宋体" w:hAnsi="宋体" w:cs="宋体" w:eastAsia="宋体" w:hint="default"/>
          <w:sz w:val="18"/>
          <w:szCs w:val="18"/>
        </w:rPr>
        <w:t>出包情况表：</w:t>
      </w:r>
    </w:p>
    <w:p>
      <w:pPr>
        <w:spacing w:after="0" w:line="338" w:lineRule="auto"/>
        <w:jc w:val="left"/>
        <w:rPr>
          <w:rFonts w:ascii="宋体" w:hAnsi="宋体" w:cs="宋体" w:eastAsia="宋体" w:hint="default"/>
          <w:sz w:val="18"/>
          <w:szCs w:val="18"/>
        </w:rPr>
        <w:sectPr>
          <w:pgSz w:w="11910" w:h="16840"/>
          <w:pgMar w:header="877" w:footer="979" w:top="1060" w:bottom="1160" w:left="980" w:right="0"/>
        </w:sectPr>
      </w:pPr>
    </w:p>
    <w:p>
      <w:pPr>
        <w:spacing w:line="240" w:lineRule="auto" w:before="12"/>
        <w:rPr>
          <w:rFonts w:ascii="宋体" w:hAnsi="宋体" w:cs="宋体" w:eastAsia="宋体" w:hint="default"/>
          <w:sz w:val="2"/>
          <w:szCs w:val="2"/>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spacing w:line="240" w:lineRule="auto" w:before="7"/>
        <w:rPr>
          <w:rFonts w:ascii="宋体" w:hAnsi="宋体" w:cs="宋体" w:eastAsia="宋体" w:hint="default"/>
          <w:sz w:val="21"/>
          <w:szCs w:val="21"/>
        </w:rPr>
      </w:pPr>
    </w:p>
    <w:p>
      <w:pPr>
        <w:spacing w:before="44"/>
        <w:ind w:left="154" w:right="0" w:firstLine="0"/>
        <w:jc w:val="both"/>
        <w:rPr>
          <w:rFonts w:ascii="宋体" w:hAnsi="宋体" w:cs="宋体" w:eastAsia="宋体" w:hint="default"/>
          <w:sz w:val="18"/>
          <w:szCs w:val="18"/>
        </w:rPr>
      </w:pPr>
      <w:r>
        <w:rPr>
          <w:rFonts w:ascii="宋体" w:hAnsi="宋体" w:cs="宋体" w:eastAsia="宋体" w:hint="default"/>
          <w:sz w:val="18"/>
          <w:szCs w:val="18"/>
        </w:rPr>
        <w:t>关联管理</w:t>
      </w:r>
      <w:r>
        <w:rPr>
          <w:rFonts w:ascii="Times New Roman" w:hAnsi="Times New Roman" w:cs="Times New Roman" w:eastAsia="Times New Roman" w:hint="default"/>
          <w:sz w:val="18"/>
          <w:szCs w:val="18"/>
        </w:rPr>
        <w:t>/</w:t>
      </w:r>
      <w:r>
        <w:rPr>
          <w:rFonts w:ascii="宋体" w:hAnsi="宋体" w:cs="宋体" w:eastAsia="宋体" w:hint="default"/>
          <w:sz w:val="18"/>
          <w:szCs w:val="18"/>
        </w:rPr>
        <w:t>出包情况说明</w:t>
      </w:r>
    </w:p>
    <w:p>
      <w:pPr>
        <w:spacing w:line="240" w:lineRule="auto" w:before="9"/>
        <w:rPr>
          <w:rFonts w:ascii="宋体" w:hAnsi="宋体" w:cs="宋体" w:eastAsia="宋体" w:hint="default"/>
          <w:sz w:val="25"/>
          <w:szCs w:val="25"/>
        </w:rPr>
      </w:pPr>
    </w:p>
    <w:p>
      <w:pPr>
        <w:pStyle w:val="Heading4"/>
        <w:spacing w:line="240" w:lineRule="auto"/>
        <w:ind w:right="0"/>
        <w:jc w:val="both"/>
        <w:rPr>
          <w:b w:val="0"/>
          <w:bCs w:val="0"/>
        </w:rPr>
      </w:pPr>
      <w:bookmarkStart w:name="（3）关联租赁情况" w:id="402"/>
      <w:bookmarkEnd w:id="402"/>
      <w:r>
        <w:rPr>
          <w:b w:val="0"/>
          <w:bCs w:val="0"/>
        </w:rPr>
      </w:r>
      <w:r>
        <w:rPr/>
        <w:t>（</w:t>
      </w:r>
      <w:r>
        <w:rPr>
          <w:rFonts w:ascii="Times New Roman" w:hAnsi="Times New Roman" w:cs="Times New Roman" w:eastAsia="Times New Roman" w:hint="default"/>
        </w:rPr>
        <w:t>3</w:t>
      </w:r>
      <w:r>
        <w:rPr/>
        <w:t>）关联租赁情况</w:t>
      </w:r>
      <w:r>
        <w:rPr>
          <w:b w:val="0"/>
          <w:bCs w:val="0"/>
        </w:rPr>
      </w:r>
    </w:p>
    <w:p>
      <w:pPr>
        <w:spacing w:line="240" w:lineRule="auto" w:before="9"/>
        <w:rPr>
          <w:rFonts w:ascii="宋体" w:hAnsi="宋体" w:cs="宋体" w:eastAsia="宋体" w:hint="default"/>
          <w:b/>
          <w:bCs/>
          <w:sz w:val="26"/>
          <w:szCs w:val="26"/>
        </w:rPr>
      </w:pPr>
    </w:p>
    <w:p>
      <w:pPr>
        <w:spacing w:line="360" w:lineRule="auto" w:before="0"/>
        <w:ind w:left="154" w:right="9150" w:firstLine="0"/>
        <w:jc w:val="both"/>
        <w:rPr>
          <w:rFonts w:ascii="宋体" w:hAnsi="宋体" w:cs="宋体" w:eastAsia="宋体" w:hint="default"/>
          <w:sz w:val="18"/>
          <w:szCs w:val="18"/>
        </w:rPr>
      </w:pPr>
      <w:r>
        <w:rPr>
          <w:rFonts w:ascii="宋体" w:hAnsi="宋体" w:cs="宋体" w:eastAsia="宋体" w:hint="default"/>
          <w:sz w:val="18"/>
          <w:szCs w:val="18"/>
        </w:rPr>
        <w:t>本公司作为出租方： 本公司作为承租方： 关联租赁情况说明</w:t>
      </w:r>
    </w:p>
    <w:p>
      <w:pPr>
        <w:spacing w:line="240" w:lineRule="auto" w:before="11"/>
        <w:rPr>
          <w:rFonts w:ascii="宋体" w:hAnsi="宋体" w:cs="宋体" w:eastAsia="宋体" w:hint="default"/>
          <w:sz w:val="19"/>
          <w:szCs w:val="19"/>
        </w:rPr>
      </w:pPr>
    </w:p>
    <w:p>
      <w:pPr>
        <w:pStyle w:val="Heading4"/>
        <w:spacing w:line="240" w:lineRule="auto"/>
        <w:ind w:right="0"/>
        <w:jc w:val="both"/>
        <w:rPr>
          <w:b w:val="0"/>
          <w:bCs w:val="0"/>
        </w:rPr>
      </w:pPr>
      <w:bookmarkStart w:name="（4）关联担保情况" w:id="403"/>
      <w:bookmarkEnd w:id="403"/>
      <w:r>
        <w:rPr>
          <w:b w:val="0"/>
          <w:bCs w:val="0"/>
        </w:rPr>
      </w:r>
      <w:r>
        <w:rPr/>
        <w:t>（</w:t>
      </w:r>
      <w:r>
        <w:rPr>
          <w:rFonts w:ascii="Times New Roman" w:hAnsi="Times New Roman" w:cs="Times New Roman" w:eastAsia="Times New Roman" w:hint="default"/>
        </w:rPr>
        <w:t>4</w:t>
      </w:r>
      <w:r>
        <w:rPr/>
        <w:t>）关联担保情况</w:t>
      </w:r>
      <w:r>
        <w:rPr>
          <w:b w:val="0"/>
          <w:bCs w:val="0"/>
        </w:rPr>
      </w:r>
    </w:p>
    <w:p>
      <w:pPr>
        <w:spacing w:line="240" w:lineRule="auto" w:before="4"/>
        <w:rPr>
          <w:rFonts w:ascii="宋体" w:hAnsi="宋体" w:cs="宋体" w:eastAsia="宋体" w:hint="default"/>
          <w:b/>
          <w:bCs/>
          <w:sz w:val="23"/>
          <w:szCs w:val="23"/>
        </w:rPr>
      </w:pPr>
    </w:p>
    <w:p>
      <w:pPr>
        <w:spacing w:before="44"/>
        <w:ind w:left="154" w:right="1117" w:firstLine="0"/>
        <w:jc w:val="left"/>
        <w:rPr>
          <w:rFonts w:ascii="宋体" w:hAnsi="宋体" w:cs="宋体" w:eastAsia="宋体" w:hint="default"/>
          <w:sz w:val="18"/>
          <w:szCs w:val="18"/>
        </w:rPr>
      </w:pPr>
      <w:r>
        <w:rPr>
          <w:rFonts w:ascii="宋体" w:hAnsi="宋体" w:cs="宋体" w:eastAsia="宋体" w:hint="default"/>
          <w:sz w:val="18"/>
          <w:szCs w:val="18"/>
        </w:rPr>
        <w:t>本公司作为担保方</w:t>
      </w:r>
    </w:p>
    <w:p>
      <w:pPr>
        <w:spacing w:before="116"/>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13"/>
        <w:gridCol w:w="1916"/>
        <w:gridCol w:w="1914"/>
        <w:gridCol w:w="1914"/>
        <w:gridCol w:w="1914"/>
      </w:tblGrid>
      <w:tr>
        <w:trPr>
          <w:trHeight w:val="401"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2" w:right="0"/>
              <w:jc w:val="left"/>
              <w:rPr>
                <w:rFonts w:ascii="宋体" w:hAnsi="宋体" w:cs="宋体" w:eastAsia="宋体" w:hint="default"/>
                <w:sz w:val="18"/>
                <w:szCs w:val="18"/>
              </w:rPr>
            </w:pPr>
            <w:r>
              <w:rPr>
                <w:rFonts w:ascii="宋体" w:hAnsi="宋体" w:cs="宋体" w:eastAsia="宋体" w:hint="default"/>
                <w:sz w:val="18"/>
                <w:szCs w:val="18"/>
              </w:rPr>
              <w:t>被担保方</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担保金额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01" w:right="0"/>
              <w:jc w:val="left"/>
              <w:rPr>
                <w:rFonts w:ascii="宋体" w:hAnsi="宋体" w:cs="宋体" w:eastAsia="宋体" w:hint="default"/>
                <w:sz w:val="18"/>
                <w:szCs w:val="18"/>
              </w:rPr>
            </w:pPr>
            <w:r>
              <w:rPr>
                <w:rFonts w:ascii="宋体" w:hAnsi="宋体" w:cs="宋体" w:eastAsia="宋体" w:hint="default"/>
                <w:sz w:val="18"/>
                <w:szCs w:val="18"/>
              </w:rPr>
              <w:t>担保起始日</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01" w:right="0"/>
              <w:jc w:val="left"/>
              <w:rPr>
                <w:rFonts w:ascii="宋体" w:hAnsi="宋体" w:cs="宋体" w:eastAsia="宋体" w:hint="default"/>
                <w:sz w:val="18"/>
                <w:szCs w:val="18"/>
              </w:rPr>
            </w:pPr>
            <w:r>
              <w:rPr>
                <w:rFonts w:ascii="宋体" w:hAnsi="宋体" w:cs="宋体" w:eastAsia="宋体" w:hint="default"/>
                <w:sz w:val="18"/>
                <w:szCs w:val="18"/>
              </w:rPr>
              <w:t>担保到期日</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1" w:right="0"/>
              <w:jc w:val="left"/>
              <w:rPr>
                <w:rFonts w:ascii="宋体" w:hAnsi="宋体" w:cs="宋体" w:eastAsia="宋体" w:hint="default"/>
                <w:sz w:val="18"/>
                <w:szCs w:val="18"/>
              </w:rPr>
            </w:pPr>
            <w:r>
              <w:rPr>
                <w:rFonts w:ascii="宋体" w:hAnsi="宋体" w:cs="宋体" w:eastAsia="宋体" w:hint="default"/>
                <w:sz w:val="18"/>
                <w:szCs w:val="18"/>
              </w:rPr>
              <w:t>担保是否已经履行完毕</w:t>
            </w:r>
          </w:p>
        </w:tc>
      </w:tr>
      <w:tr>
        <w:trPr>
          <w:trHeight w:val="714"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78"/>
              <w:jc w:val="left"/>
              <w:rPr>
                <w:rFonts w:ascii="宋体" w:hAnsi="宋体" w:cs="宋体" w:eastAsia="宋体" w:hint="default"/>
                <w:sz w:val="18"/>
                <w:szCs w:val="18"/>
              </w:rPr>
            </w:pPr>
            <w:r>
              <w:rPr>
                <w:rFonts w:ascii="宋体" w:hAnsi="宋体" w:cs="宋体" w:eastAsia="宋体" w:hint="default"/>
                <w:sz w:val="18"/>
                <w:szCs w:val="18"/>
              </w:rPr>
              <w:t>北京希嘉创智教育科技 有限公司</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8,000,000.00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5"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78"/>
              <w:jc w:val="left"/>
              <w:rPr>
                <w:rFonts w:ascii="宋体" w:hAnsi="宋体" w:cs="宋体" w:eastAsia="宋体" w:hint="default"/>
                <w:sz w:val="18"/>
                <w:szCs w:val="18"/>
              </w:rPr>
            </w:pPr>
            <w:r>
              <w:rPr>
                <w:rFonts w:ascii="宋体" w:hAnsi="宋体" w:cs="宋体" w:eastAsia="宋体" w:hint="default"/>
                <w:sz w:val="18"/>
                <w:szCs w:val="18"/>
              </w:rPr>
              <w:t>上海树维信息科技有限 公司</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8,000,000.00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spacing w:before="51"/>
        <w:ind w:left="154" w:right="1117" w:firstLine="0"/>
        <w:jc w:val="left"/>
        <w:rPr>
          <w:rFonts w:ascii="宋体" w:hAnsi="宋体" w:cs="宋体" w:eastAsia="宋体" w:hint="default"/>
          <w:sz w:val="18"/>
          <w:szCs w:val="18"/>
        </w:rPr>
      </w:pPr>
      <w:r>
        <w:rPr>
          <w:rFonts w:ascii="宋体" w:hAnsi="宋体" w:cs="宋体" w:eastAsia="宋体" w:hint="default"/>
          <w:sz w:val="18"/>
          <w:szCs w:val="18"/>
        </w:rPr>
        <w:t>本公司作为被担保方</w:t>
      </w:r>
    </w:p>
    <w:p>
      <w:pPr>
        <w:spacing w:before="116"/>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13"/>
        <w:gridCol w:w="1916"/>
        <w:gridCol w:w="1914"/>
        <w:gridCol w:w="1914"/>
        <w:gridCol w:w="1914"/>
      </w:tblGrid>
      <w:tr>
        <w:trPr>
          <w:trHeight w:val="402"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担保方</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担保金额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01" w:right="0"/>
              <w:jc w:val="left"/>
              <w:rPr>
                <w:rFonts w:ascii="宋体" w:hAnsi="宋体" w:cs="宋体" w:eastAsia="宋体" w:hint="default"/>
                <w:sz w:val="18"/>
                <w:szCs w:val="18"/>
              </w:rPr>
            </w:pPr>
            <w:r>
              <w:rPr>
                <w:rFonts w:ascii="宋体" w:hAnsi="宋体" w:cs="宋体" w:eastAsia="宋体" w:hint="default"/>
                <w:sz w:val="18"/>
                <w:szCs w:val="18"/>
              </w:rPr>
              <w:t>担保起始日</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01" w:right="0"/>
              <w:jc w:val="left"/>
              <w:rPr>
                <w:rFonts w:ascii="宋体" w:hAnsi="宋体" w:cs="宋体" w:eastAsia="宋体" w:hint="default"/>
                <w:sz w:val="18"/>
                <w:szCs w:val="18"/>
              </w:rPr>
            </w:pPr>
            <w:r>
              <w:rPr>
                <w:rFonts w:ascii="宋体" w:hAnsi="宋体" w:cs="宋体" w:eastAsia="宋体" w:hint="default"/>
                <w:sz w:val="18"/>
                <w:szCs w:val="18"/>
              </w:rPr>
              <w:t>担保到期日</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1" w:right="0"/>
              <w:jc w:val="left"/>
              <w:rPr>
                <w:rFonts w:ascii="宋体" w:hAnsi="宋体" w:cs="宋体" w:eastAsia="宋体" w:hint="default"/>
                <w:sz w:val="18"/>
                <w:szCs w:val="18"/>
              </w:rPr>
            </w:pPr>
            <w:r>
              <w:rPr>
                <w:rFonts w:ascii="宋体" w:hAnsi="宋体" w:cs="宋体" w:eastAsia="宋体" w:hint="default"/>
                <w:sz w:val="18"/>
                <w:szCs w:val="18"/>
              </w:rPr>
              <w:t>担保是否已经履行完毕</w:t>
            </w:r>
          </w:p>
        </w:tc>
      </w:tr>
      <w:tr>
        <w:trPr>
          <w:trHeight w:val="402"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杨维国</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60,000,000.00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杨维国</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60,000,000.00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杨维国</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80,000,000.00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杨维国</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66,000,000.00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杨维国</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30,000,000.00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杨维国</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60,000,000.00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杨维国</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8,000,000.00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杨维国</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26,000,000.00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杨维国</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46,650,000.00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杨维国</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17,350,000.00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杨维国</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82,000,000.00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spacing w:before="51"/>
        <w:ind w:left="154" w:right="1117" w:firstLine="0"/>
        <w:jc w:val="left"/>
        <w:rPr>
          <w:rFonts w:ascii="宋体" w:hAnsi="宋体" w:cs="宋体" w:eastAsia="宋体" w:hint="default"/>
          <w:sz w:val="18"/>
          <w:szCs w:val="18"/>
        </w:rPr>
      </w:pPr>
      <w:r>
        <w:rPr>
          <w:rFonts w:ascii="宋体" w:hAnsi="宋体" w:cs="宋体" w:eastAsia="宋体" w:hint="default"/>
          <w:sz w:val="18"/>
          <w:szCs w:val="18"/>
        </w:rPr>
        <w:t>关联担保情况说明</w:t>
      </w:r>
    </w:p>
    <w:p>
      <w:pPr>
        <w:spacing w:after="0"/>
        <w:jc w:val="left"/>
        <w:rPr>
          <w:rFonts w:ascii="宋体" w:hAnsi="宋体" w:cs="宋体" w:eastAsia="宋体" w:hint="default"/>
          <w:sz w:val="18"/>
          <w:szCs w:val="18"/>
        </w:rPr>
        <w:sectPr>
          <w:pgSz w:w="11910" w:h="16840"/>
          <w:pgMar w:header="877" w:footer="979" w:top="1060" w:bottom="1160" w:left="980" w:right="0"/>
        </w:sectPr>
      </w:pPr>
    </w:p>
    <w:p>
      <w:pPr>
        <w:spacing w:line="240" w:lineRule="auto" w:before="9"/>
        <w:rPr>
          <w:rFonts w:ascii="宋体" w:hAnsi="宋体" w:cs="宋体" w:eastAsia="宋体" w:hint="default"/>
          <w:sz w:val="24"/>
          <w:szCs w:val="24"/>
        </w:rPr>
      </w:pPr>
    </w:p>
    <w:p>
      <w:pPr>
        <w:pStyle w:val="Heading4"/>
        <w:spacing w:line="240" w:lineRule="auto" w:before="35"/>
        <w:ind w:right="1117"/>
        <w:jc w:val="left"/>
        <w:rPr>
          <w:b w:val="0"/>
          <w:bCs w:val="0"/>
        </w:rPr>
      </w:pPr>
      <w:bookmarkStart w:name="（5）关联方资金拆借" w:id="404"/>
      <w:bookmarkEnd w:id="404"/>
      <w:r>
        <w:rPr>
          <w:b w:val="0"/>
          <w:bCs w:val="0"/>
        </w:rPr>
      </w:r>
      <w:r>
        <w:rPr/>
        <w:t>（</w:t>
      </w:r>
      <w:r>
        <w:rPr>
          <w:rFonts w:ascii="Times New Roman" w:hAnsi="Times New Roman" w:cs="Times New Roman" w:eastAsia="Times New Roman" w:hint="default"/>
        </w:rPr>
        <w:t>5</w:t>
      </w:r>
      <w:r>
        <w:rPr/>
        <w:t>）关联方资金拆借</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1117"/>
        <w:jc w:val="left"/>
        <w:rPr>
          <w:b w:val="0"/>
          <w:bCs w:val="0"/>
        </w:rPr>
      </w:pPr>
      <w:bookmarkStart w:name="（6）关联方资产转让、债务重组情况" w:id="405"/>
      <w:bookmarkEnd w:id="405"/>
      <w:r>
        <w:rPr>
          <w:b w:val="0"/>
          <w:bCs w:val="0"/>
        </w:rPr>
      </w:r>
      <w:r>
        <w:rPr/>
        <w:t>（</w:t>
      </w:r>
      <w:r>
        <w:rPr>
          <w:rFonts w:ascii="Times New Roman" w:hAnsi="Times New Roman" w:cs="Times New Roman" w:eastAsia="Times New Roman" w:hint="default"/>
        </w:rPr>
        <w:t>6</w:t>
      </w:r>
      <w:r>
        <w:rPr/>
        <w:t>）关联方资产转让、债务重组情况</w:t>
      </w:r>
      <w:r>
        <w:rPr>
          <w:b w:val="0"/>
          <w:bCs w:val="0"/>
        </w:rPr>
      </w:r>
    </w:p>
    <w:p>
      <w:pPr>
        <w:spacing w:line="240" w:lineRule="auto" w:before="9"/>
        <w:rPr>
          <w:rFonts w:ascii="宋体" w:hAnsi="宋体" w:cs="宋体" w:eastAsia="宋体" w:hint="default"/>
          <w:b/>
          <w:bCs/>
          <w:sz w:val="24"/>
          <w:szCs w:val="24"/>
        </w:rPr>
      </w:pPr>
    </w:p>
    <w:p>
      <w:pPr>
        <w:pStyle w:val="Heading4"/>
        <w:spacing w:line="240" w:lineRule="auto"/>
        <w:ind w:right="1117"/>
        <w:jc w:val="left"/>
        <w:rPr>
          <w:b w:val="0"/>
          <w:bCs w:val="0"/>
        </w:rPr>
      </w:pPr>
      <w:bookmarkStart w:name="（7）关键管理人员报酬" w:id="406"/>
      <w:bookmarkEnd w:id="406"/>
      <w:r>
        <w:rPr>
          <w:b w:val="0"/>
          <w:bCs w:val="0"/>
        </w:rPr>
      </w:r>
      <w:r>
        <w:rPr/>
        <w:t>（</w:t>
      </w:r>
      <w:r>
        <w:rPr>
          <w:rFonts w:ascii="Times New Roman" w:hAnsi="Times New Roman" w:cs="Times New Roman" w:eastAsia="Times New Roman" w:hint="default"/>
        </w:rPr>
        <w:t>7</w:t>
      </w:r>
      <w:r>
        <w:rPr/>
        <w:t>）关键管理人员报酬</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9"/>
        <w:gridCol w:w="3190"/>
        <w:gridCol w:w="3191"/>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关键管理人员薪酬</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4,316,637.96</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3,146,724.56</w:t>
            </w:r>
          </w:p>
        </w:tc>
      </w:tr>
    </w:tbl>
    <w:p>
      <w:pPr>
        <w:spacing w:line="240" w:lineRule="auto" w:before="2"/>
        <w:rPr>
          <w:rFonts w:ascii="宋体" w:hAnsi="宋体" w:cs="宋体" w:eastAsia="宋体" w:hint="default"/>
          <w:sz w:val="19"/>
          <w:szCs w:val="19"/>
        </w:rPr>
      </w:pPr>
    </w:p>
    <w:p>
      <w:pPr>
        <w:pStyle w:val="Heading4"/>
        <w:spacing w:line="240" w:lineRule="auto" w:before="35"/>
        <w:ind w:right="1117"/>
        <w:jc w:val="left"/>
        <w:rPr>
          <w:b w:val="0"/>
          <w:bCs w:val="0"/>
        </w:rPr>
      </w:pPr>
      <w:bookmarkStart w:name="（8）其他关联交易" w:id="407"/>
      <w:bookmarkEnd w:id="407"/>
      <w:r>
        <w:rPr>
          <w:b w:val="0"/>
          <w:bCs w:val="0"/>
        </w:rPr>
      </w:r>
      <w:r>
        <w:rPr/>
        <w:t>（</w:t>
      </w:r>
      <w:r>
        <w:rPr>
          <w:rFonts w:ascii="Times New Roman" w:hAnsi="Times New Roman" w:cs="Times New Roman" w:eastAsia="Times New Roman" w:hint="default"/>
        </w:rPr>
        <w:t>8</w:t>
      </w:r>
      <w:r>
        <w:rPr/>
        <w:t>）其他关联交易</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1117"/>
        <w:jc w:val="left"/>
        <w:rPr>
          <w:b w:val="0"/>
          <w:bCs w:val="0"/>
        </w:rPr>
      </w:pPr>
      <w:bookmarkStart w:name="6、关联方应收应付款项" w:id="408"/>
      <w:bookmarkEnd w:id="408"/>
      <w:r>
        <w:rPr>
          <w:b w:val="0"/>
          <w:bCs w:val="0"/>
        </w:rPr>
      </w:r>
      <w:r>
        <w:rPr>
          <w:rFonts w:ascii="Times New Roman" w:hAnsi="Times New Roman" w:cs="Times New Roman" w:eastAsia="Times New Roman" w:hint="default"/>
        </w:rPr>
        <w:t>6</w:t>
      </w:r>
      <w:r>
        <w:rPr/>
        <w:t>、关联方应收应付款项</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1117"/>
        <w:jc w:val="left"/>
        <w:rPr>
          <w:b w:val="0"/>
          <w:bCs w:val="0"/>
        </w:rPr>
      </w:pPr>
      <w:bookmarkStart w:name="（1）应收项目" w:id="409"/>
      <w:bookmarkEnd w:id="409"/>
      <w:r>
        <w:rPr>
          <w:b w:val="0"/>
          <w:bCs w:val="0"/>
        </w:rPr>
      </w:r>
      <w:r>
        <w:rPr/>
        <w:t>（</w:t>
      </w:r>
      <w:r>
        <w:rPr>
          <w:rFonts w:ascii="Times New Roman" w:hAnsi="Times New Roman" w:cs="Times New Roman" w:eastAsia="Times New Roman" w:hint="default"/>
        </w:rPr>
        <w:t>1</w:t>
      </w:r>
      <w:r>
        <w:rPr/>
        <w:t>）应收项目</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595"/>
        <w:gridCol w:w="1595"/>
        <w:gridCol w:w="1595"/>
        <w:gridCol w:w="1594"/>
        <w:gridCol w:w="1594"/>
        <w:gridCol w:w="1595"/>
      </w:tblGrid>
      <w:tr>
        <w:trPr>
          <w:trHeight w:val="402" w:hRule="exact"/>
        </w:trPr>
        <w:tc>
          <w:tcPr>
            <w:tcW w:w="159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432" w:right="0"/>
              <w:jc w:val="left"/>
              <w:rPr>
                <w:rFonts w:ascii="宋体" w:hAnsi="宋体" w:cs="宋体" w:eastAsia="宋体" w:hint="default"/>
                <w:sz w:val="18"/>
                <w:szCs w:val="18"/>
              </w:rPr>
            </w:pPr>
            <w:r>
              <w:rPr>
                <w:rFonts w:ascii="宋体" w:hAnsi="宋体" w:cs="宋体" w:eastAsia="宋体" w:hint="default"/>
                <w:sz w:val="18"/>
                <w:szCs w:val="18"/>
              </w:rPr>
              <w:t>项目名称</w:t>
            </w:r>
          </w:p>
        </w:tc>
        <w:tc>
          <w:tcPr>
            <w:tcW w:w="159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522" w:right="0"/>
              <w:jc w:val="left"/>
              <w:rPr>
                <w:rFonts w:ascii="宋体" w:hAnsi="宋体" w:cs="宋体" w:eastAsia="宋体" w:hint="default"/>
                <w:sz w:val="18"/>
                <w:szCs w:val="18"/>
              </w:rPr>
            </w:pPr>
            <w:r>
              <w:rPr>
                <w:rFonts w:ascii="宋体" w:hAnsi="宋体" w:cs="宋体" w:eastAsia="宋体" w:hint="default"/>
                <w:sz w:val="18"/>
                <w:szCs w:val="18"/>
              </w:rPr>
              <w:t>关联方</w:t>
            </w:r>
          </w:p>
        </w:tc>
        <w:tc>
          <w:tcPr>
            <w:tcW w:w="318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1595" w:type="dxa"/>
            <w:vMerge/>
            <w:tcBorders>
              <w:left w:val="single" w:sz="4" w:space="0" w:color="000000"/>
              <w:bottom w:val="single" w:sz="4" w:space="0" w:color="000000"/>
              <w:right w:val="single" w:sz="4" w:space="0" w:color="000000"/>
            </w:tcBorders>
            <w:shd w:val="clear" w:color="auto" w:fill="D2D2D2"/>
          </w:tcPr>
          <w:p>
            <w:pPr/>
          </w:p>
        </w:tc>
        <w:tc>
          <w:tcPr>
            <w:tcW w:w="1595" w:type="dxa"/>
            <w:vMerge/>
            <w:tcBorders>
              <w:left w:val="single" w:sz="4" w:space="0" w:color="000000"/>
              <w:bottom w:val="single" w:sz="4" w:space="0" w:color="000000"/>
              <w:right w:val="single" w:sz="4" w:space="0" w:color="000000"/>
            </w:tcBorders>
            <w:shd w:val="clear" w:color="auto" w:fill="D2D2D2"/>
          </w:tcPr>
          <w:p>
            <w:pP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33"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32"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31"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33" w:right="0"/>
              <w:jc w:val="left"/>
              <w:rPr>
                <w:rFonts w:ascii="宋体" w:hAnsi="宋体" w:cs="宋体" w:eastAsia="宋体" w:hint="default"/>
                <w:sz w:val="18"/>
                <w:szCs w:val="18"/>
              </w:rPr>
            </w:pPr>
            <w:r>
              <w:rPr>
                <w:rFonts w:ascii="宋体" w:hAnsi="宋体" w:cs="宋体" w:eastAsia="宋体" w:hint="default"/>
                <w:sz w:val="18"/>
                <w:szCs w:val="18"/>
              </w:rPr>
              <w:t>坏账准备</w:t>
            </w:r>
          </w:p>
        </w:tc>
      </w:tr>
      <w:tr>
        <w:trPr>
          <w:trHeight w:val="714" w:hRule="exact"/>
        </w:trPr>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120"/>
              <w:jc w:val="left"/>
              <w:rPr>
                <w:rFonts w:ascii="宋体" w:hAnsi="宋体" w:cs="宋体" w:eastAsia="宋体" w:hint="default"/>
                <w:sz w:val="18"/>
                <w:szCs w:val="18"/>
              </w:rPr>
            </w:pPr>
            <w:r>
              <w:rPr>
                <w:rFonts w:ascii="宋体" w:hAnsi="宋体" w:cs="宋体" w:eastAsia="宋体" w:hint="default"/>
                <w:sz w:val="18"/>
                <w:szCs w:val="18"/>
              </w:rPr>
              <w:t>北京希嘉创智教育 科技有限公司</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2,820,804.00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282,080.40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2,918,304.00</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145,915.20</w:t>
            </w:r>
          </w:p>
        </w:tc>
      </w:tr>
      <w:tr>
        <w:trPr>
          <w:trHeight w:val="714" w:hRule="exact"/>
        </w:trPr>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120"/>
              <w:jc w:val="left"/>
              <w:rPr>
                <w:rFonts w:ascii="宋体" w:hAnsi="宋体" w:cs="宋体" w:eastAsia="宋体" w:hint="default"/>
                <w:sz w:val="18"/>
                <w:szCs w:val="18"/>
              </w:rPr>
            </w:pPr>
            <w:r>
              <w:rPr>
                <w:rFonts w:ascii="宋体" w:hAnsi="宋体" w:cs="宋体" w:eastAsia="宋体" w:hint="default"/>
                <w:sz w:val="18"/>
                <w:szCs w:val="18"/>
              </w:rPr>
              <w:t>成都兰途网络科技 有限公司</w:t>
            </w: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4,850.00</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242.50</w:t>
            </w:r>
          </w:p>
        </w:tc>
      </w:tr>
      <w:tr>
        <w:trPr>
          <w:trHeight w:val="714" w:hRule="exact"/>
        </w:trPr>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120"/>
              <w:jc w:val="left"/>
              <w:rPr>
                <w:rFonts w:ascii="宋体" w:hAnsi="宋体" w:cs="宋体" w:eastAsia="宋体" w:hint="default"/>
                <w:sz w:val="18"/>
                <w:szCs w:val="18"/>
              </w:rPr>
            </w:pPr>
            <w:r>
              <w:rPr>
                <w:rFonts w:ascii="宋体" w:hAnsi="宋体" w:cs="宋体" w:eastAsia="宋体" w:hint="default"/>
                <w:sz w:val="18"/>
                <w:szCs w:val="18"/>
              </w:rPr>
              <w:t>北京乐智科技有限 公司</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50,551.46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15,165.44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50,551.46</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5,055.15</w:t>
            </w:r>
          </w:p>
        </w:tc>
      </w:tr>
      <w:tr>
        <w:trPr>
          <w:trHeight w:val="715" w:hRule="exact"/>
        </w:trPr>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120"/>
              <w:jc w:val="left"/>
              <w:rPr>
                <w:rFonts w:ascii="宋体" w:hAnsi="宋体" w:cs="宋体" w:eastAsia="宋体" w:hint="default"/>
                <w:sz w:val="18"/>
                <w:szCs w:val="18"/>
              </w:rPr>
            </w:pPr>
            <w:r>
              <w:rPr>
                <w:rFonts w:ascii="宋体" w:hAnsi="宋体" w:cs="宋体" w:eastAsia="宋体" w:hint="default"/>
                <w:sz w:val="18"/>
                <w:szCs w:val="18"/>
              </w:rPr>
              <w:t>成都兰途网络科技 有限公司</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45,120.70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13,536.21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45,120.70</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4,512.07</w:t>
            </w:r>
          </w:p>
        </w:tc>
      </w:tr>
    </w:tbl>
    <w:p>
      <w:pPr>
        <w:spacing w:line="240" w:lineRule="auto" w:before="2"/>
        <w:rPr>
          <w:rFonts w:ascii="宋体" w:hAnsi="宋体" w:cs="宋体" w:eastAsia="宋体" w:hint="default"/>
          <w:sz w:val="19"/>
          <w:szCs w:val="19"/>
        </w:rPr>
      </w:pPr>
    </w:p>
    <w:p>
      <w:pPr>
        <w:pStyle w:val="Heading4"/>
        <w:spacing w:line="240" w:lineRule="auto" w:before="35"/>
        <w:ind w:right="1117"/>
        <w:jc w:val="left"/>
        <w:rPr>
          <w:b w:val="0"/>
          <w:bCs w:val="0"/>
        </w:rPr>
      </w:pPr>
      <w:bookmarkStart w:name="（2）应付项目" w:id="410"/>
      <w:bookmarkEnd w:id="410"/>
      <w:r>
        <w:rPr>
          <w:b w:val="0"/>
          <w:bCs w:val="0"/>
        </w:rPr>
      </w:r>
      <w:r>
        <w:rPr/>
        <w:t>（</w:t>
      </w:r>
      <w:r>
        <w:rPr>
          <w:rFonts w:ascii="Times New Roman" w:hAnsi="Times New Roman" w:cs="Times New Roman" w:eastAsia="Times New Roman" w:hint="default"/>
        </w:rPr>
        <w:t>2</w:t>
      </w:r>
      <w:r>
        <w:rPr/>
        <w:t>）应付项目</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392"/>
        <w:gridCol w:w="2393"/>
        <w:gridCol w:w="2392"/>
        <w:gridCol w:w="2392"/>
      </w:tblGrid>
      <w:tr>
        <w:trPr>
          <w:trHeight w:val="401"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项目名称</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关联方</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650" w:right="0"/>
              <w:jc w:val="left"/>
              <w:rPr>
                <w:rFonts w:ascii="宋体" w:hAnsi="宋体" w:cs="宋体" w:eastAsia="宋体" w:hint="default"/>
                <w:sz w:val="18"/>
                <w:szCs w:val="18"/>
              </w:rPr>
            </w:pPr>
            <w:r>
              <w:rPr>
                <w:rFonts w:ascii="宋体" w:hAnsi="宋体" w:cs="宋体" w:eastAsia="宋体" w:hint="default"/>
                <w:sz w:val="18"/>
                <w:szCs w:val="18"/>
              </w:rPr>
              <w:t>期末账面余额</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650" w:right="0"/>
              <w:jc w:val="left"/>
              <w:rPr>
                <w:rFonts w:ascii="宋体" w:hAnsi="宋体" w:cs="宋体" w:eastAsia="宋体" w:hint="default"/>
                <w:sz w:val="18"/>
                <w:szCs w:val="18"/>
              </w:rPr>
            </w:pPr>
            <w:r>
              <w:rPr>
                <w:rFonts w:ascii="宋体" w:hAnsi="宋体" w:cs="宋体" w:eastAsia="宋体" w:hint="default"/>
                <w:sz w:val="18"/>
                <w:szCs w:val="18"/>
              </w:rPr>
              <w:t>期初账面余额</w:t>
            </w:r>
          </w:p>
        </w:tc>
      </w:tr>
      <w:tr>
        <w:trPr>
          <w:trHeight w:val="403"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成都兰途网络科技有限公司</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549" w:right="0"/>
              <w:jc w:val="left"/>
              <w:rPr>
                <w:rFonts w:ascii="Times New Roman" w:hAnsi="Times New Roman" w:cs="Times New Roman" w:eastAsia="Times New Roman" w:hint="default"/>
                <w:sz w:val="18"/>
                <w:szCs w:val="18"/>
              </w:rPr>
            </w:pPr>
            <w:r>
              <w:rPr>
                <w:rFonts w:ascii="Times New Roman"/>
                <w:sz w:val="18"/>
              </w:rPr>
              <w:t>920,841.16</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549" w:right="0"/>
              <w:jc w:val="left"/>
              <w:rPr>
                <w:rFonts w:ascii="Times New Roman" w:hAnsi="Times New Roman" w:cs="Times New Roman" w:eastAsia="Times New Roman" w:hint="default"/>
                <w:sz w:val="18"/>
                <w:szCs w:val="18"/>
              </w:rPr>
            </w:pPr>
            <w:r>
              <w:rPr>
                <w:rFonts w:ascii="Times New Roman"/>
                <w:sz w:val="18"/>
              </w:rPr>
              <w:t>740,567.61</w:t>
            </w:r>
          </w:p>
        </w:tc>
      </w:tr>
    </w:tbl>
    <w:p>
      <w:pPr>
        <w:spacing w:line="240" w:lineRule="auto" w:before="2"/>
        <w:rPr>
          <w:rFonts w:ascii="宋体" w:hAnsi="宋体" w:cs="宋体" w:eastAsia="宋体" w:hint="default"/>
          <w:sz w:val="19"/>
          <w:szCs w:val="19"/>
        </w:rPr>
      </w:pPr>
    </w:p>
    <w:p>
      <w:pPr>
        <w:pStyle w:val="Heading4"/>
        <w:spacing w:line="240" w:lineRule="auto" w:before="35"/>
        <w:ind w:right="1117"/>
        <w:jc w:val="left"/>
        <w:rPr>
          <w:b w:val="0"/>
          <w:bCs w:val="0"/>
        </w:rPr>
      </w:pPr>
      <w:bookmarkStart w:name="7、关联方承诺" w:id="411"/>
      <w:bookmarkEnd w:id="411"/>
      <w:r>
        <w:rPr>
          <w:b w:val="0"/>
          <w:bCs w:val="0"/>
        </w:rPr>
      </w:r>
      <w:r>
        <w:rPr>
          <w:rFonts w:ascii="Times New Roman" w:hAnsi="Times New Roman" w:cs="Times New Roman" w:eastAsia="Times New Roman" w:hint="default"/>
        </w:rPr>
        <w:t>7</w:t>
      </w:r>
      <w:r>
        <w:rPr/>
        <w:t>、关联方承诺</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2410"/>
        <w:gridCol w:w="2411"/>
        <w:gridCol w:w="2410"/>
        <w:gridCol w:w="2410"/>
      </w:tblGrid>
      <w:tr>
        <w:trPr>
          <w:trHeight w:val="326" w:hRule="exact"/>
        </w:trPr>
        <w:tc>
          <w:tcPr>
            <w:tcW w:w="24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0" w:lineRule="exact"/>
              <w:ind w:left="780" w:right="0"/>
              <w:jc w:val="left"/>
              <w:rPr>
                <w:rFonts w:ascii="宋体" w:hAnsi="宋体" w:cs="宋体" w:eastAsia="宋体" w:hint="default"/>
                <w:sz w:val="21"/>
                <w:szCs w:val="21"/>
              </w:rPr>
            </w:pPr>
            <w:r>
              <w:rPr>
                <w:rFonts w:ascii="宋体" w:hAnsi="宋体" w:cs="宋体" w:eastAsia="宋体" w:hint="default"/>
                <w:sz w:val="21"/>
                <w:szCs w:val="21"/>
              </w:rPr>
              <w:t>项目名称</w:t>
            </w:r>
          </w:p>
        </w:tc>
        <w:tc>
          <w:tcPr>
            <w:tcW w:w="241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0" w:lineRule="exact"/>
              <w:ind w:right="0"/>
              <w:jc w:val="center"/>
              <w:rPr>
                <w:rFonts w:ascii="宋体" w:hAnsi="宋体" w:cs="宋体" w:eastAsia="宋体" w:hint="default"/>
                <w:sz w:val="21"/>
                <w:szCs w:val="21"/>
              </w:rPr>
            </w:pPr>
            <w:r>
              <w:rPr>
                <w:rFonts w:ascii="宋体" w:hAnsi="宋体" w:cs="宋体" w:eastAsia="宋体" w:hint="default"/>
                <w:sz w:val="21"/>
                <w:szCs w:val="21"/>
              </w:rPr>
              <w:t>关联方</w:t>
            </w:r>
          </w:p>
        </w:tc>
        <w:tc>
          <w:tcPr>
            <w:tcW w:w="24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0" w:lineRule="exact"/>
              <w:ind w:left="149" w:right="0"/>
              <w:jc w:val="left"/>
              <w:rPr>
                <w:rFonts w:ascii="宋体" w:hAnsi="宋体" w:cs="宋体" w:eastAsia="宋体" w:hint="default"/>
                <w:sz w:val="21"/>
                <w:szCs w:val="21"/>
              </w:rPr>
            </w:pPr>
            <w:r>
              <w:rPr>
                <w:rFonts w:ascii="宋体" w:hAnsi="宋体" w:cs="宋体" w:eastAsia="宋体" w:hint="default"/>
                <w:sz w:val="21"/>
                <w:szCs w:val="21"/>
              </w:rPr>
              <w:t>期末账面余额（万元）</w:t>
            </w:r>
          </w:p>
        </w:tc>
        <w:tc>
          <w:tcPr>
            <w:tcW w:w="24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0" w:lineRule="exact"/>
              <w:ind w:left="148" w:right="0"/>
              <w:jc w:val="left"/>
              <w:rPr>
                <w:rFonts w:ascii="宋体" w:hAnsi="宋体" w:cs="宋体" w:eastAsia="宋体" w:hint="default"/>
                <w:sz w:val="21"/>
                <w:szCs w:val="21"/>
              </w:rPr>
            </w:pPr>
            <w:r>
              <w:rPr>
                <w:rFonts w:ascii="宋体" w:hAnsi="宋体" w:cs="宋体" w:eastAsia="宋体" w:hint="default"/>
                <w:sz w:val="21"/>
                <w:szCs w:val="21"/>
              </w:rPr>
              <w:t>年初账面余额（万元）</w:t>
            </w:r>
          </w:p>
        </w:tc>
      </w:tr>
      <w:tr>
        <w:trPr>
          <w:trHeight w:val="437" w:hRule="exact"/>
        </w:trPr>
        <w:tc>
          <w:tcPr>
            <w:tcW w:w="2410"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71"/>
              <w:ind w:left="4" w:right="0"/>
              <w:jc w:val="left"/>
              <w:rPr>
                <w:rFonts w:ascii="宋体" w:hAnsi="宋体" w:cs="宋体" w:eastAsia="宋体" w:hint="default"/>
                <w:sz w:val="18"/>
                <w:szCs w:val="18"/>
              </w:rPr>
            </w:pPr>
            <w:r>
              <w:rPr>
                <w:rFonts w:ascii="宋体" w:hAnsi="宋体" w:cs="宋体" w:eastAsia="宋体" w:hint="default"/>
                <w:sz w:val="18"/>
                <w:szCs w:val="18"/>
              </w:rPr>
              <w:t>担保</w:t>
            </w:r>
          </w:p>
        </w:tc>
        <w:tc>
          <w:tcPr>
            <w:tcW w:w="2411" w:type="dxa"/>
            <w:tcBorders>
              <w:top w:val="single" w:sz="8" w:space="0" w:color="000000"/>
              <w:left w:val="single" w:sz="4" w:space="0" w:color="000000"/>
              <w:bottom w:val="single" w:sz="4" w:space="0" w:color="000000"/>
              <w:right w:val="single" w:sz="4" w:space="0" w:color="000000"/>
            </w:tcBorders>
          </w:tcPr>
          <w:p>
            <w:pPr/>
          </w:p>
        </w:tc>
        <w:tc>
          <w:tcPr>
            <w:tcW w:w="2410" w:type="dxa"/>
            <w:tcBorders>
              <w:top w:val="single" w:sz="8" w:space="0" w:color="000000"/>
              <w:left w:val="single" w:sz="4" w:space="0" w:color="000000"/>
              <w:bottom w:val="single" w:sz="4" w:space="0" w:color="000000"/>
              <w:right w:val="single" w:sz="4" w:space="0" w:color="000000"/>
            </w:tcBorders>
          </w:tcPr>
          <w:p>
            <w:pPr/>
          </w:p>
        </w:tc>
        <w:tc>
          <w:tcPr>
            <w:tcW w:w="2410" w:type="dxa"/>
            <w:tcBorders>
              <w:top w:val="single" w:sz="8" w:space="0" w:color="000000"/>
              <w:left w:val="single" w:sz="4" w:space="0" w:color="000000"/>
              <w:bottom w:val="single" w:sz="4" w:space="0" w:color="000000"/>
              <w:right w:val="single" w:sz="4" w:space="0" w:color="000000"/>
            </w:tcBorders>
          </w:tcPr>
          <w:p>
            <w:pPr/>
          </w:p>
        </w:tc>
      </w:tr>
      <w:tr>
        <w:trPr>
          <w:trHeight w:val="422" w:hRule="exact"/>
        </w:trPr>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提供担保</w:t>
            </w:r>
          </w:p>
        </w:tc>
        <w:tc>
          <w:tcPr>
            <w:tcW w:w="2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0"/>
              <w:jc w:val="center"/>
              <w:rPr>
                <w:rFonts w:ascii="宋体" w:hAnsi="宋体" w:cs="宋体" w:eastAsia="宋体" w:hint="default"/>
                <w:sz w:val="18"/>
                <w:szCs w:val="18"/>
              </w:rPr>
            </w:pPr>
            <w:r>
              <w:rPr>
                <w:rFonts w:ascii="宋体" w:hAnsi="宋体" w:cs="宋体" w:eastAsia="宋体" w:hint="default"/>
                <w:sz w:val="18"/>
                <w:szCs w:val="18"/>
              </w:rPr>
              <w:t>杨维国</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2"/>
              <w:jc w:val="right"/>
              <w:rPr>
                <w:rFonts w:ascii="Times New Roman" w:hAnsi="Times New Roman" w:cs="Times New Roman" w:eastAsia="Times New Roman" w:hint="default"/>
                <w:sz w:val="18"/>
                <w:szCs w:val="18"/>
              </w:rPr>
            </w:pPr>
            <w:r>
              <w:rPr>
                <w:rFonts w:ascii="Times New Roman"/>
                <w:sz w:val="18"/>
              </w:rPr>
              <w:t>28,000.00</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3"/>
              <w:jc w:val="right"/>
              <w:rPr>
                <w:rFonts w:ascii="Times New Roman" w:hAnsi="Times New Roman" w:cs="Times New Roman" w:eastAsia="Times New Roman" w:hint="default"/>
                <w:sz w:val="18"/>
                <w:szCs w:val="18"/>
              </w:rPr>
            </w:pPr>
            <w:r>
              <w:rPr>
                <w:rFonts w:ascii="Times New Roman"/>
                <w:sz w:val="18"/>
              </w:rPr>
              <w:t>23,000.00</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79" w:top="1060" w:bottom="1160" w:left="980" w:right="0"/>
        </w:sectPr>
      </w:pPr>
    </w:p>
    <w:p>
      <w:pPr>
        <w:spacing w:line="240" w:lineRule="auto" w:before="10"/>
        <w:rPr>
          <w:rFonts w:ascii="宋体" w:hAnsi="宋体" w:cs="宋体" w:eastAsia="宋体" w:hint="default"/>
          <w:b/>
          <w:bCs/>
          <w:sz w:val="24"/>
          <w:szCs w:val="24"/>
        </w:rPr>
      </w:pPr>
    </w:p>
    <w:p>
      <w:pPr>
        <w:pStyle w:val="Heading4"/>
        <w:spacing w:line="240" w:lineRule="auto" w:before="35"/>
        <w:ind w:right="0"/>
        <w:jc w:val="both"/>
        <w:rPr>
          <w:b w:val="0"/>
          <w:bCs w:val="0"/>
        </w:rPr>
      </w:pPr>
      <w:bookmarkStart w:name="8、其他" w:id="412"/>
      <w:bookmarkEnd w:id="412"/>
      <w:r>
        <w:rPr>
          <w:b w:val="0"/>
          <w:bCs w:val="0"/>
        </w:rPr>
      </w:r>
      <w:r>
        <w:rPr>
          <w:rFonts w:ascii="Times New Roman" w:hAnsi="Times New Roman" w:cs="Times New Roman" w:eastAsia="Times New Roman" w:hint="default"/>
        </w:rPr>
        <w:t>8</w:t>
      </w:r>
      <w:r>
        <w:rPr/>
        <w:t>、其他</w:t>
      </w:r>
      <w:r>
        <w:rPr>
          <w:b w:val="0"/>
          <w:bCs w:val="0"/>
        </w:rPr>
      </w:r>
    </w:p>
    <w:p>
      <w:pPr>
        <w:spacing w:line="240" w:lineRule="auto" w:before="7"/>
        <w:rPr>
          <w:rFonts w:ascii="宋体" w:hAnsi="宋体" w:cs="宋体" w:eastAsia="宋体" w:hint="default"/>
          <w:b/>
          <w:bCs/>
          <w:sz w:val="30"/>
          <w:szCs w:val="30"/>
        </w:rPr>
      </w:pPr>
    </w:p>
    <w:p>
      <w:pPr>
        <w:spacing w:line="408" w:lineRule="auto" w:before="0"/>
        <w:ind w:left="580" w:right="1130"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宋体" w:hAnsi="宋体" w:cs="宋体" w:eastAsia="宋体" w:hint="default"/>
          <w:b/>
          <w:bCs/>
          <w:sz w:val="21"/>
          <w:szCs w:val="21"/>
        </w:rPr>
        <w:t>1</w:t>
      </w:r>
      <w:r>
        <w:rPr>
          <w:rFonts w:ascii="宋体" w:hAnsi="宋体" w:cs="宋体" w:eastAsia="宋体" w:hint="default"/>
          <w:b/>
          <w:bCs/>
          <w:sz w:val="21"/>
          <w:szCs w:val="21"/>
        </w:rPr>
        <w:t>）向纳入合并财务报表范围的子公司提供的财务支持或其他支持</w:t>
      </w:r>
      <w:r>
        <w:rPr>
          <w:rFonts w:ascii="宋体" w:hAnsi="宋体" w:cs="宋体" w:eastAsia="宋体" w:hint="default"/>
          <w:b/>
          <w:bCs/>
          <w:w w:val="99"/>
          <w:sz w:val="21"/>
          <w:szCs w:val="21"/>
        </w:rPr>
        <w:t> </w:t>
      </w:r>
      <w:r>
        <w:rPr>
          <w:rFonts w:ascii="宋体" w:hAnsi="宋体" w:cs="宋体" w:eastAsia="宋体" w:hint="default"/>
          <w:spacing w:val="-1"/>
          <w:sz w:val="21"/>
          <w:szCs w:val="21"/>
        </w:rPr>
        <w:t>经过第四届董事会第十次会议、第四届监事会第九次会议分别审议通过，公司以自有资金向控股子公</w:t>
      </w:r>
    </w:p>
    <w:p>
      <w:pPr>
        <w:pStyle w:val="BodyText"/>
        <w:spacing w:line="386" w:lineRule="auto"/>
        <w:ind w:right="1144"/>
        <w:jc w:val="both"/>
      </w:pPr>
      <w:r>
        <w:rPr/>
        <w:t>司福建新开普提供不超过金额</w:t>
      </w:r>
      <w:r>
        <w:rPr>
          <w:rFonts w:ascii="Times New Roman" w:hAnsi="Times New Roman" w:cs="Times New Roman" w:eastAsia="Times New Roman" w:hint="default"/>
        </w:rPr>
        <w:t>500</w:t>
      </w:r>
      <w:r>
        <w:rPr/>
        <w:t>万元的财务资助，用于补充福建新开普的运营资金，福建新开普可以在 </w:t>
      </w:r>
      <w:r>
        <w:rPr>
          <w:rFonts w:ascii="Times New Roman" w:hAnsi="Times New Roman" w:cs="Times New Roman" w:eastAsia="Times New Roman" w:hint="default"/>
        </w:rPr>
        <w:t>500</w:t>
      </w:r>
      <w:r>
        <w:rPr/>
        <w:t>万元的额度内循环使用。财务资助期限为双方首次协议签署之日起一年内，资金使用费按中国人民银 行同期贷款利率上浮</w:t>
      </w:r>
      <w:r>
        <w:rPr>
          <w:rFonts w:ascii="Times New Roman" w:hAnsi="Times New Roman" w:cs="Times New Roman" w:eastAsia="Times New Roman" w:hint="default"/>
        </w:rPr>
        <w:t>10%</w:t>
      </w:r>
      <w:r>
        <w:rPr/>
        <w:t>结算。报告期内，公司向福建新开普提供财务资助及福建新开普还款明细如下：</w:t>
      </w:r>
    </w:p>
    <w:p>
      <w:pPr>
        <w:spacing w:line="228" w:lineRule="exact" w:before="0"/>
        <w:ind w:left="0" w:right="2119" w:firstLine="0"/>
        <w:jc w:val="right"/>
        <w:rPr>
          <w:rFonts w:ascii="宋体" w:hAnsi="宋体" w:cs="宋体" w:eastAsia="宋体" w:hint="default"/>
          <w:sz w:val="20"/>
          <w:szCs w:val="20"/>
        </w:rPr>
      </w:pPr>
      <w:r>
        <w:rPr>
          <w:rFonts w:ascii="宋体" w:hAnsi="宋体" w:cs="宋体" w:eastAsia="宋体" w:hint="default"/>
          <w:spacing w:val="-1"/>
          <w:sz w:val="20"/>
          <w:szCs w:val="20"/>
        </w:rPr>
        <w:t>单位：万元</w:t>
      </w:r>
    </w:p>
    <w:p>
      <w:pPr>
        <w:spacing w:line="240" w:lineRule="auto" w:before="1"/>
        <w:rPr>
          <w:rFonts w:ascii="宋体" w:hAnsi="宋体" w:cs="宋体" w:eastAsia="宋体" w:hint="default"/>
          <w:sz w:val="5"/>
          <w:szCs w:val="5"/>
        </w:rPr>
      </w:pPr>
    </w:p>
    <w:tbl>
      <w:tblPr>
        <w:tblW w:w="0" w:type="auto"/>
        <w:jc w:val="left"/>
        <w:tblInd w:w="1062" w:type="dxa"/>
        <w:tblLayout w:type="fixed"/>
        <w:tblCellMar>
          <w:top w:w="0" w:type="dxa"/>
          <w:left w:w="0" w:type="dxa"/>
          <w:bottom w:w="0" w:type="dxa"/>
          <w:right w:w="0" w:type="dxa"/>
        </w:tblCellMar>
        <w:tblLook w:val="01E0"/>
      </w:tblPr>
      <w:tblGrid>
        <w:gridCol w:w="1662"/>
        <w:gridCol w:w="1222"/>
        <w:gridCol w:w="2177"/>
        <w:gridCol w:w="2751"/>
      </w:tblGrid>
      <w:tr>
        <w:trPr>
          <w:trHeight w:val="332" w:hRule="exact"/>
        </w:trPr>
        <w:tc>
          <w:tcPr>
            <w:tcW w:w="166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left="465" w:right="0"/>
              <w:jc w:val="left"/>
              <w:rPr>
                <w:rFonts w:ascii="宋体" w:hAnsi="宋体" w:cs="宋体" w:eastAsia="宋体" w:hint="default"/>
                <w:sz w:val="18"/>
                <w:szCs w:val="18"/>
              </w:rPr>
            </w:pPr>
            <w:r>
              <w:rPr>
                <w:rFonts w:ascii="宋体" w:hAnsi="宋体" w:cs="宋体" w:eastAsia="宋体" w:hint="default"/>
                <w:sz w:val="18"/>
                <w:szCs w:val="18"/>
              </w:rPr>
              <w:t>借款日期</w:t>
            </w:r>
          </w:p>
        </w:tc>
        <w:tc>
          <w:tcPr>
            <w:tcW w:w="122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left="245" w:right="0"/>
              <w:jc w:val="left"/>
              <w:rPr>
                <w:rFonts w:ascii="宋体" w:hAnsi="宋体" w:cs="宋体" w:eastAsia="宋体" w:hint="default"/>
                <w:sz w:val="18"/>
                <w:szCs w:val="18"/>
              </w:rPr>
            </w:pPr>
            <w:r>
              <w:rPr>
                <w:rFonts w:ascii="宋体" w:hAnsi="宋体" w:cs="宋体" w:eastAsia="宋体" w:hint="default"/>
                <w:sz w:val="18"/>
                <w:szCs w:val="18"/>
              </w:rPr>
              <w:t>借款金额</w:t>
            </w:r>
          </w:p>
        </w:tc>
        <w:tc>
          <w:tcPr>
            <w:tcW w:w="217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还款日期</w:t>
            </w:r>
          </w:p>
        </w:tc>
        <w:tc>
          <w:tcPr>
            <w:tcW w:w="275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还款金额</w:t>
            </w:r>
          </w:p>
        </w:tc>
      </w:tr>
      <w:tr>
        <w:trPr>
          <w:trHeight w:val="342" w:hRule="exact"/>
        </w:trPr>
        <w:tc>
          <w:tcPr>
            <w:tcW w:w="1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4" w:right="0"/>
              <w:jc w:val="left"/>
              <w:rPr>
                <w:rFonts w:ascii="Times New Roman" w:hAnsi="Times New Roman" w:cs="Times New Roman" w:eastAsia="Times New Roman" w:hint="default"/>
                <w:sz w:val="18"/>
                <w:szCs w:val="18"/>
              </w:rPr>
            </w:pPr>
            <w:r>
              <w:rPr>
                <w:rFonts w:ascii="Times New Roman"/>
                <w:sz w:val="18"/>
              </w:rPr>
              <w:t>2018-2-18</w:t>
            </w:r>
          </w:p>
        </w:tc>
        <w:tc>
          <w:tcPr>
            <w:tcW w:w="12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2"/>
              <w:jc w:val="right"/>
              <w:rPr>
                <w:rFonts w:ascii="Times New Roman" w:hAnsi="Times New Roman" w:cs="Times New Roman" w:eastAsia="Times New Roman" w:hint="default"/>
                <w:sz w:val="18"/>
                <w:szCs w:val="18"/>
              </w:rPr>
            </w:pPr>
            <w:r>
              <w:rPr>
                <w:rFonts w:ascii="Times New Roman"/>
                <w:sz w:val="18"/>
              </w:rPr>
              <w:t>100.00</w:t>
            </w:r>
          </w:p>
        </w:tc>
        <w:tc>
          <w:tcPr>
            <w:tcW w:w="2177" w:type="dxa"/>
            <w:tcBorders>
              <w:top w:val="single" w:sz="4" w:space="0" w:color="000000"/>
              <w:left w:val="single" w:sz="4" w:space="0" w:color="000000"/>
              <w:bottom w:val="single" w:sz="4" w:space="0" w:color="000000"/>
              <w:right w:val="single" w:sz="4" w:space="0" w:color="000000"/>
            </w:tcBorders>
          </w:tcPr>
          <w:p>
            <w:pPr/>
          </w:p>
        </w:tc>
        <w:tc>
          <w:tcPr>
            <w:tcW w:w="2751" w:type="dxa"/>
            <w:tcBorders>
              <w:top w:val="single" w:sz="4" w:space="0" w:color="000000"/>
              <w:left w:val="single" w:sz="4" w:space="0" w:color="000000"/>
              <w:bottom w:val="single" w:sz="4" w:space="0" w:color="000000"/>
              <w:right w:val="single" w:sz="4" w:space="0" w:color="000000"/>
            </w:tcBorders>
          </w:tcPr>
          <w:p>
            <w:pPr/>
          </w:p>
        </w:tc>
      </w:tr>
      <w:tr>
        <w:trPr>
          <w:trHeight w:val="342" w:hRule="exact"/>
        </w:trPr>
        <w:tc>
          <w:tcPr>
            <w:tcW w:w="1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4" w:right="0"/>
              <w:jc w:val="left"/>
              <w:rPr>
                <w:rFonts w:ascii="Times New Roman" w:hAnsi="Times New Roman" w:cs="Times New Roman" w:eastAsia="Times New Roman" w:hint="default"/>
                <w:sz w:val="18"/>
                <w:szCs w:val="18"/>
              </w:rPr>
            </w:pPr>
            <w:r>
              <w:rPr>
                <w:rFonts w:ascii="Times New Roman"/>
                <w:sz w:val="18"/>
              </w:rPr>
              <w:t>2018-6-30</w:t>
            </w:r>
          </w:p>
        </w:tc>
        <w:tc>
          <w:tcPr>
            <w:tcW w:w="12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2"/>
              <w:jc w:val="right"/>
              <w:rPr>
                <w:rFonts w:ascii="Times New Roman" w:hAnsi="Times New Roman" w:cs="Times New Roman" w:eastAsia="Times New Roman" w:hint="default"/>
                <w:sz w:val="18"/>
                <w:szCs w:val="18"/>
              </w:rPr>
            </w:pPr>
            <w:r>
              <w:rPr>
                <w:rFonts w:ascii="Times New Roman"/>
                <w:sz w:val="18"/>
              </w:rPr>
              <w:t>100.00</w:t>
            </w:r>
          </w:p>
        </w:tc>
        <w:tc>
          <w:tcPr>
            <w:tcW w:w="2177" w:type="dxa"/>
            <w:tcBorders>
              <w:top w:val="single" w:sz="4" w:space="0" w:color="000000"/>
              <w:left w:val="single" w:sz="4" w:space="0" w:color="000000"/>
              <w:bottom w:val="single" w:sz="4" w:space="0" w:color="000000"/>
              <w:right w:val="single" w:sz="4" w:space="0" w:color="000000"/>
            </w:tcBorders>
          </w:tcPr>
          <w:p>
            <w:pPr/>
          </w:p>
        </w:tc>
        <w:tc>
          <w:tcPr>
            <w:tcW w:w="2751" w:type="dxa"/>
            <w:tcBorders>
              <w:top w:val="single" w:sz="4" w:space="0" w:color="000000"/>
              <w:left w:val="single" w:sz="4" w:space="0" w:color="000000"/>
              <w:bottom w:val="single" w:sz="4" w:space="0" w:color="000000"/>
              <w:right w:val="single" w:sz="4" w:space="0" w:color="000000"/>
            </w:tcBorders>
          </w:tcPr>
          <w:p>
            <w:pPr/>
          </w:p>
        </w:tc>
      </w:tr>
      <w:tr>
        <w:trPr>
          <w:trHeight w:val="342" w:hRule="exact"/>
        </w:trPr>
        <w:tc>
          <w:tcPr>
            <w:tcW w:w="1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4" w:right="0"/>
              <w:jc w:val="left"/>
              <w:rPr>
                <w:rFonts w:ascii="Times New Roman" w:hAnsi="Times New Roman" w:cs="Times New Roman" w:eastAsia="Times New Roman" w:hint="default"/>
                <w:sz w:val="18"/>
                <w:szCs w:val="18"/>
              </w:rPr>
            </w:pPr>
            <w:r>
              <w:rPr>
                <w:rFonts w:ascii="Times New Roman"/>
                <w:sz w:val="18"/>
              </w:rPr>
              <w:t>2018-8-31</w:t>
            </w:r>
          </w:p>
        </w:tc>
        <w:tc>
          <w:tcPr>
            <w:tcW w:w="12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2"/>
              <w:jc w:val="right"/>
              <w:rPr>
                <w:rFonts w:ascii="Times New Roman" w:hAnsi="Times New Roman" w:cs="Times New Roman" w:eastAsia="Times New Roman" w:hint="default"/>
                <w:sz w:val="18"/>
                <w:szCs w:val="18"/>
              </w:rPr>
            </w:pPr>
            <w:r>
              <w:rPr>
                <w:rFonts w:ascii="Times New Roman"/>
                <w:sz w:val="18"/>
              </w:rPr>
              <w:t>100.00</w:t>
            </w:r>
          </w:p>
        </w:tc>
        <w:tc>
          <w:tcPr>
            <w:tcW w:w="2177" w:type="dxa"/>
            <w:tcBorders>
              <w:top w:val="single" w:sz="4" w:space="0" w:color="000000"/>
              <w:left w:val="single" w:sz="4" w:space="0" w:color="000000"/>
              <w:bottom w:val="single" w:sz="4" w:space="0" w:color="000000"/>
              <w:right w:val="single" w:sz="4" w:space="0" w:color="000000"/>
            </w:tcBorders>
          </w:tcPr>
          <w:p>
            <w:pPr/>
          </w:p>
        </w:tc>
        <w:tc>
          <w:tcPr>
            <w:tcW w:w="2751" w:type="dxa"/>
            <w:tcBorders>
              <w:top w:val="single" w:sz="4" w:space="0" w:color="000000"/>
              <w:left w:val="single" w:sz="4" w:space="0" w:color="000000"/>
              <w:bottom w:val="single" w:sz="4" w:space="0" w:color="000000"/>
              <w:right w:val="single" w:sz="4" w:space="0" w:color="000000"/>
            </w:tcBorders>
          </w:tcPr>
          <w:p>
            <w:pPr/>
          </w:p>
        </w:tc>
      </w:tr>
      <w:tr>
        <w:trPr>
          <w:trHeight w:val="342" w:hRule="exact"/>
        </w:trPr>
        <w:tc>
          <w:tcPr>
            <w:tcW w:w="1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4" w:right="0"/>
              <w:jc w:val="left"/>
              <w:rPr>
                <w:rFonts w:ascii="Times New Roman" w:hAnsi="Times New Roman" w:cs="Times New Roman" w:eastAsia="Times New Roman" w:hint="default"/>
                <w:sz w:val="18"/>
                <w:szCs w:val="18"/>
              </w:rPr>
            </w:pPr>
            <w:r>
              <w:rPr>
                <w:rFonts w:ascii="Times New Roman"/>
                <w:sz w:val="18"/>
              </w:rPr>
              <w:t>2018-10-31</w:t>
            </w:r>
          </w:p>
        </w:tc>
        <w:tc>
          <w:tcPr>
            <w:tcW w:w="12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2"/>
              <w:jc w:val="right"/>
              <w:rPr>
                <w:rFonts w:ascii="Times New Roman" w:hAnsi="Times New Roman" w:cs="Times New Roman" w:eastAsia="Times New Roman" w:hint="default"/>
                <w:sz w:val="18"/>
                <w:szCs w:val="18"/>
              </w:rPr>
            </w:pPr>
            <w:r>
              <w:rPr>
                <w:rFonts w:ascii="Times New Roman"/>
                <w:sz w:val="18"/>
              </w:rPr>
              <w:t>100.00</w:t>
            </w:r>
          </w:p>
        </w:tc>
        <w:tc>
          <w:tcPr>
            <w:tcW w:w="2177" w:type="dxa"/>
            <w:tcBorders>
              <w:top w:val="single" w:sz="4" w:space="0" w:color="000000"/>
              <w:left w:val="single" w:sz="4" w:space="0" w:color="000000"/>
              <w:bottom w:val="single" w:sz="4" w:space="0" w:color="000000"/>
              <w:right w:val="single" w:sz="4" w:space="0" w:color="000000"/>
            </w:tcBorders>
          </w:tcPr>
          <w:p>
            <w:pPr/>
          </w:p>
        </w:tc>
        <w:tc>
          <w:tcPr>
            <w:tcW w:w="2751" w:type="dxa"/>
            <w:tcBorders>
              <w:top w:val="single" w:sz="4" w:space="0" w:color="000000"/>
              <w:left w:val="single" w:sz="4" w:space="0" w:color="000000"/>
              <w:bottom w:val="single" w:sz="4" w:space="0" w:color="000000"/>
              <w:right w:val="single" w:sz="4" w:space="0" w:color="000000"/>
            </w:tcBorders>
          </w:tcPr>
          <w:p>
            <w:pPr/>
          </w:p>
        </w:tc>
      </w:tr>
      <w:tr>
        <w:trPr>
          <w:trHeight w:val="342" w:hRule="exact"/>
        </w:trPr>
        <w:tc>
          <w:tcPr>
            <w:tcW w:w="1662" w:type="dxa"/>
            <w:tcBorders>
              <w:top w:val="single" w:sz="4" w:space="0" w:color="000000"/>
              <w:left w:val="single" w:sz="4" w:space="0" w:color="000000"/>
              <w:bottom w:val="single" w:sz="4" w:space="0" w:color="000000"/>
              <w:right w:val="single" w:sz="4" w:space="0" w:color="000000"/>
            </w:tcBorders>
          </w:tcPr>
          <w:p>
            <w:pPr/>
          </w:p>
        </w:tc>
        <w:tc>
          <w:tcPr>
            <w:tcW w:w="1222" w:type="dxa"/>
            <w:tcBorders>
              <w:top w:val="single" w:sz="4" w:space="0" w:color="000000"/>
              <w:left w:val="single" w:sz="4" w:space="0" w:color="000000"/>
              <w:bottom w:val="single" w:sz="4" w:space="0" w:color="000000"/>
              <w:right w:val="single" w:sz="4" w:space="0" w:color="000000"/>
            </w:tcBorders>
          </w:tcPr>
          <w:p>
            <w:pP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2"/>
              <w:jc w:val="right"/>
              <w:rPr>
                <w:rFonts w:ascii="Times New Roman" w:hAnsi="Times New Roman" w:cs="Times New Roman" w:eastAsia="Times New Roman" w:hint="default"/>
                <w:sz w:val="18"/>
                <w:szCs w:val="18"/>
              </w:rPr>
            </w:pPr>
            <w:r>
              <w:rPr>
                <w:rFonts w:ascii="Times New Roman"/>
                <w:sz w:val="18"/>
              </w:rPr>
              <w:t>2018-12-27</w:t>
            </w:r>
          </w:p>
        </w:tc>
        <w:tc>
          <w:tcPr>
            <w:tcW w:w="27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z w:val="18"/>
              </w:rPr>
              <w:t>400.00</w:t>
            </w:r>
          </w:p>
        </w:tc>
      </w:tr>
      <w:tr>
        <w:trPr>
          <w:trHeight w:val="342" w:hRule="exact"/>
        </w:trPr>
        <w:tc>
          <w:tcPr>
            <w:tcW w:w="1662" w:type="dxa"/>
            <w:tcBorders>
              <w:top w:val="single" w:sz="4" w:space="0" w:color="000000"/>
              <w:left w:val="single" w:sz="4" w:space="0" w:color="000000"/>
              <w:bottom w:val="single" w:sz="4" w:space="0" w:color="000000"/>
              <w:right w:val="single" w:sz="4" w:space="0" w:color="000000"/>
            </w:tcBorders>
          </w:tcPr>
          <w:p>
            <w:pPr/>
          </w:p>
        </w:tc>
        <w:tc>
          <w:tcPr>
            <w:tcW w:w="1222" w:type="dxa"/>
            <w:tcBorders>
              <w:top w:val="single" w:sz="4" w:space="0" w:color="000000"/>
              <w:left w:val="single" w:sz="4" w:space="0" w:color="000000"/>
              <w:bottom w:val="single" w:sz="4" w:space="0" w:color="000000"/>
              <w:right w:val="single" w:sz="4" w:space="0" w:color="000000"/>
            </w:tcBorders>
          </w:tcPr>
          <w:p>
            <w:pP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2"/>
              <w:jc w:val="right"/>
              <w:rPr>
                <w:rFonts w:ascii="Times New Roman" w:hAnsi="Times New Roman" w:cs="Times New Roman" w:eastAsia="Times New Roman" w:hint="default"/>
                <w:sz w:val="18"/>
                <w:szCs w:val="18"/>
              </w:rPr>
            </w:pPr>
            <w:r>
              <w:rPr>
                <w:rFonts w:ascii="Times New Roman"/>
                <w:sz w:val="18"/>
              </w:rPr>
              <w:t>2018-12-31</w:t>
            </w:r>
          </w:p>
        </w:tc>
        <w:tc>
          <w:tcPr>
            <w:tcW w:w="27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z w:val="18"/>
              </w:rPr>
              <w:t>100.00</w:t>
            </w:r>
          </w:p>
        </w:tc>
      </w:tr>
    </w:tbl>
    <w:p>
      <w:pPr>
        <w:spacing w:line="240" w:lineRule="auto" w:before="13"/>
        <w:rPr>
          <w:rFonts w:ascii="宋体" w:hAnsi="宋体" w:cs="宋体" w:eastAsia="宋体" w:hint="default"/>
          <w:sz w:val="25"/>
          <w:szCs w:val="25"/>
        </w:rPr>
      </w:pPr>
    </w:p>
    <w:p>
      <w:pPr>
        <w:spacing w:line="408" w:lineRule="auto" w:before="35"/>
        <w:ind w:left="580" w:right="1130"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宋体" w:hAnsi="宋体" w:cs="宋体" w:eastAsia="宋体" w:hint="default"/>
          <w:b/>
          <w:bCs/>
          <w:sz w:val="21"/>
          <w:szCs w:val="21"/>
        </w:rPr>
        <w:t>2</w:t>
      </w:r>
      <w:r>
        <w:rPr>
          <w:rFonts w:ascii="宋体" w:hAnsi="宋体" w:cs="宋体" w:eastAsia="宋体" w:hint="default"/>
          <w:b/>
          <w:bCs/>
          <w:sz w:val="21"/>
          <w:szCs w:val="21"/>
        </w:rPr>
        <w:t>）向其他关联方提供的财务支持或其他支持</w:t>
      </w:r>
      <w:r>
        <w:rPr>
          <w:rFonts w:ascii="宋体" w:hAnsi="宋体" w:cs="宋体" w:eastAsia="宋体" w:hint="default"/>
          <w:b/>
          <w:bCs/>
          <w:w w:val="99"/>
          <w:sz w:val="21"/>
          <w:szCs w:val="21"/>
        </w:rPr>
        <w:t> </w:t>
      </w:r>
      <w:r>
        <w:rPr>
          <w:rFonts w:ascii="宋体" w:hAnsi="宋体" w:cs="宋体" w:eastAsia="宋体" w:hint="default"/>
          <w:spacing w:val="-1"/>
          <w:sz w:val="21"/>
          <w:szCs w:val="21"/>
        </w:rPr>
        <w:t>经第四届董事会第十三次会议及第四届监事会第十二次会议审议通过，公司以自有资金向湖南科瑞特</w:t>
      </w:r>
    </w:p>
    <w:p>
      <w:pPr>
        <w:pStyle w:val="BodyText"/>
        <w:spacing w:line="386" w:lineRule="auto"/>
        <w:ind w:right="1132"/>
        <w:jc w:val="both"/>
      </w:pPr>
      <w:r>
        <w:rPr>
          <w:spacing w:val="-3"/>
        </w:rPr>
        <w:t>科技有限公司（以下简称</w:t>
      </w:r>
      <w:r>
        <w:rPr>
          <w:rFonts w:ascii="Times New Roman" w:hAnsi="Times New Roman" w:cs="Times New Roman" w:eastAsia="Times New Roman" w:hint="default"/>
          <w:spacing w:val="-3"/>
        </w:rPr>
        <w:t>“</w:t>
      </w:r>
      <w:r>
        <w:rPr>
          <w:spacing w:val="-3"/>
        </w:rPr>
        <w:t>科瑞特</w:t>
      </w:r>
      <w:r>
        <w:rPr>
          <w:rFonts w:ascii="Times New Roman" w:hAnsi="Times New Roman" w:cs="Times New Roman" w:eastAsia="Times New Roman" w:hint="default"/>
          <w:spacing w:val="-3"/>
        </w:rPr>
        <w:t>”</w:t>
      </w:r>
      <w:r>
        <w:rPr>
          <w:spacing w:val="-3"/>
        </w:rPr>
        <w:t>）提供</w:t>
      </w:r>
      <w:r>
        <w:rPr>
          <w:rFonts w:ascii="Times New Roman" w:hAnsi="Times New Roman" w:cs="Times New Roman" w:eastAsia="Times New Roman" w:hint="default"/>
          <w:spacing w:val="-3"/>
        </w:rPr>
        <w:t>450</w:t>
      </w:r>
      <w:r>
        <w:rPr>
          <w:spacing w:val="-3"/>
        </w:rPr>
        <w:t>万元的财务资助，用于协助科瑞特补充生产经营所需的流动资</w:t>
      </w:r>
      <w:r>
        <w:rPr>
          <w:spacing w:val="-64"/>
        </w:rPr>
        <w:t> </w:t>
      </w:r>
      <w:r>
        <w:rPr>
          <w:spacing w:val="-64"/>
        </w:rPr>
      </w:r>
      <w:r>
        <w:rPr/>
        <w:t>金，借款日期自</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07</w:t>
      </w:r>
      <w:r>
        <w:rPr/>
        <w:t>月</w:t>
      </w:r>
      <w:r>
        <w:rPr>
          <w:rFonts w:ascii="Times New Roman" w:hAnsi="Times New Roman" w:cs="Times New Roman" w:eastAsia="Times New Roman" w:hint="default"/>
        </w:rPr>
        <w:t>30</w:t>
      </w:r>
      <w:r>
        <w:rPr/>
        <w:t>日起至</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09</w:t>
      </w:r>
      <w:r>
        <w:rPr/>
        <w:t>月</w:t>
      </w:r>
      <w:r>
        <w:rPr>
          <w:rFonts w:ascii="Times New Roman" w:hAnsi="Times New Roman" w:cs="Times New Roman" w:eastAsia="Times New Roman" w:hint="default"/>
        </w:rPr>
        <w:t>30</w:t>
      </w:r>
      <w:r>
        <w:rPr/>
        <w:t>日，借款月利率为</w:t>
      </w:r>
      <w:r>
        <w:rPr>
          <w:rFonts w:ascii="Times New Roman" w:hAnsi="Times New Roman" w:cs="Times New Roman" w:eastAsia="Times New Roman" w:hint="default"/>
        </w:rPr>
        <w:t>1.00%</w:t>
      </w:r>
      <w:r>
        <w:rPr/>
        <w:t>，同时科瑞特股东张玉希、张 </w:t>
      </w:r>
      <w:r>
        <w:rPr>
          <w:spacing w:val="-5"/>
        </w:rPr>
        <w:t>宏立、阙正湘提供股权质押担保，分别与公司签署了《股权质押协议》，将其合法持有的</w:t>
      </w:r>
      <w:r>
        <w:rPr>
          <w:rFonts w:ascii="Times New Roman" w:hAnsi="Times New Roman" w:cs="Times New Roman" w:eastAsia="Times New Roman" w:hint="default"/>
          <w:spacing w:val="-5"/>
        </w:rPr>
        <w:t>3.333%</w:t>
      </w:r>
      <w:r>
        <w:rPr>
          <w:spacing w:val="-5"/>
        </w:rPr>
        <w:t>的股权（对</w:t>
      </w:r>
      <w:r>
        <w:rPr/>
        <w:t> 应标的公司注册资本额为</w:t>
      </w:r>
      <w:r>
        <w:rPr>
          <w:rFonts w:ascii="Times New Roman" w:hAnsi="Times New Roman" w:cs="Times New Roman" w:eastAsia="Times New Roman" w:hint="default"/>
        </w:rPr>
        <w:t>37.875</w:t>
      </w:r>
      <w:r>
        <w:rPr/>
        <w:t>万元），合计持有的</w:t>
      </w:r>
      <w:r>
        <w:rPr>
          <w:rFonts w:ascii="Times New Roman" w:hAnsi="Times New Roman" w:cs="Times New Roman" w:eastAsia="Times New Roman" w:hint="default"/>
        </w:rPr>
        <w:t>10%</w:t>
      </w:r>
      <w:r>
        <w:rPr/>
        <w:t>的科瑞特股权（对应科瑞特注册资本额为</w:t>
      </w:r>
      <w:r>
        <w:rPr>
          <w:rFonts w:ascii="Times New Roman" w:hAnsi="Times New Roman" w:cs="Times New Roman" w:eastAsia="Times New Roman" w:hint="default"/>
        </w:rPr>
        <w:t>113.625 </w:t>
      </w:r>
      <w:r>
        <w:rPr/>
        <w:t>万元）质押给公司，为科瑞特归还借款提供股权质押担保。</w:t>
      </w:r>
    </w:p>
    <w:p>
      <w:pPr>
        <w:pStyle w:val="BodyText"/>
        <w:spacing w:line="240" w:lineRule="auto" w:before="65"/>
        <w:ind w:left="580" w:right="1117"/>
        <w:jc w:val="left"/>
      </w:pPr>
      <w:r>
        <w:rPr>
          <w:rFonts w:ascii="Times New Roman" w:hAnsi="Times New Roman" w:cs="Times New Roman" w:eastAsia="Times New Roman" w:hint="default"/>
        </w:rPr>
        <w:t>2018</w:t>
      </w:r>
      <w:r>
        <w:rPr/>
        <w:t>年</w:t>
      </w:r>
      <w:r>
        <w:rPr>
          <w:rFonts w:ascii="Times New Roman" w:hAnsi="Times New Roman" w:cs="Times New Roman" w:eastAsia="Times New Roman" w:hint="default"/>
        </w:rPr>
        <w:t>09</w:t>
      </w:r>
      <w:r>
        <w:rPr/>
        <w:t>月</w:t>
      </w:r>
      <w:r>
        <w:rPr>
          <w:rFonts w:ascii="Times New Roman" w:hAnsi="Times New Roman" w:cs="Times New Roman" w:eastAsia="Times New Roman" w:hint="default"/>
        </w:rPr>
        <w:t>30</w:t>
      </w:r>
      <w:r>
        <w:rPr/>
        <w:t>日，合同履行完毕，科瑞特按合同约定还款未逾期。</w:t>
      </w:r>
    </w:p>
    <w:p>
      <w:pPr>
        <w:spacing w:line="408" w:lineRule="auto" w:before="177"/>
        <w:ind w:left="580" w:right="1130"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宋体" w:hAnsi="宋体" w:cs="宋体" w:eastAsia="宋体" w:hint="default"/>
          <w:b/>
          <w:bCs/>
          <w:sz w:val="21"/>
          <w:szCs w:val="21"/>
        </w:rPr>
        <w:t>3</w:t>
      </w:r>
      <w:r>
        <w:rPr>
          <w:rFonts w:ascii="宋体" w:hAnsi="宋体" w:cs="宋体" w:eastAsia="宋体" w:hint="default"/>
          <w:b/>
          <w:bCs/>
          <w:sz w:val="21"/>
          <w:szCs w:val="21"/>
        </w:rPr>
        <w:t>）向其他关联方转让子公司股权</w:t>
      </w:r>
      <w:r>
        <w:rPr>
          <w:rFonts w:ascii="宋体" w:hAnsi="宋体" w:cs="宋体" w:eastAsia="宋体" w:hint="default"/>
          <w:b/>
          <w:bCs/>
          <w:w w:val="99"/>
          <w:sz w:val="21"/>
          <w:szCs w:val="21"/>
        </w:rPr>
        <w:t> </w:t>
      </w:r>
      <w:r>
        <w:rPr>
          <w:rFonts w:ascii="宋体" w:hAnsi="宋体" w:cs="宋体" w:eastAsia="宋体" w:hint="default"/>
          <w:spacing w:val="-1"/>
          <w:sz w:val="21"/>
          <w:szCs w:val="21"/>
        </w:rPr>
        <w:t>经第四届董事会第十七次会议通过，公司向关联法人上海天维恒瑞企业管理合伙企业（有限合伙）转</w:t>
      </w:r>
    </w:p>
    <w:p>
      <w:pPr>
        <w:pStyle w:val="BodyText"/>
        <w:spacing w:line="386" w:lineRule="auto"/>
        <w:ind w:right="1132"/>
        <w:jc w:val="both"/>
      </w:pPr>
      <w:r>
        <w:rPr>
          <w:spacing w:val="-1"/>
        </w:rPr>
        <w:t>让全资子公司完美数联（北京）科技有限公司（以下简称</w:t>
      </w:r>
      <w:r>
        <w:rPr>
          <w:rFonts w:ascii="Times New Roman" w:hAnsi="Times New Roman" w:cs="Times New Roman" w:eastAsia="Times New Roman" w:hint="default"/>
          <w:spacing w:val="-1"/>
        </w:rPr>
        <w:t>“</w:t>
      </w:r>
      <w:r>
        <w:rPr>
          <w:spacing w:val="-1"/>
        </w:rPr>
        <w:t>完美数联</w:t>
      </w:r>
      <w:r>
        <w:rPr>
          <w:rFonts w:ascii="Times New Roman" w:hAnsi="Times New Roman" w:cs="Times New Roman" w:eastAsia="Times New Roman" w:hint="default"/>
          <w:spacing w:val="-1"/>
        </w:rPr>
        <w:t>”</w:t>
      </w:r>
      <w:r>
        <w:rPr>
          <w:spacing w:val="-1"/>
        </w:rPr>
        <w:t>）</w:t>
      </w:r>
      <w:r>
        <w:rPr>
          <w:rFonts w:ascii="Times New Roman" w:hAnsi="Times New Roman" w:cs="Times New Roman" w:eastAsia="Times New Roman" w:hint="default"/>
          <w:spacing w:val="-1"/>
        </w:rPr>
        <w:t>14.2857%</w:t>
      </w:r>
      <w:r>
        <w:rPr>
          <w:spacing w:val="-1"/>
        </w:rPr>
        <w:t>的股权（对应认缴注册资</w:t>
      </w:r>
      <w:r>
        <w:rPr>
          <w:spacing w:val="-75"/>
        </w:rPr>
        <w:t> </w:t>
      </w:r>
      <w:r>
        <w:rPr>
          <w:spacing w:val="-75"/>
        </w:rPr>
      </w:r>
      <w:r>
        <w:rPr/>
        <w:t>本</w:t>
      </w:r>
      <w:r>
        <w:rPr>
          <w:rFonts w:ascii="Times New Roman" w:hAnsi="Times New Roman" w:cs="Times New Roman" w:eastAsia="Times New Roman" w:hint="default"/>
        </w:rPr>
        <w:t>285.7143</w:t>
      </w:r>
      <w:r>
        <w:rPr/>
        <w:t>万元，实缴金额</w:t>
      </w:r>
      <w:r>
        <w:rPr>
          <w:rFonts w:ascii="Times New Roman" w:hAnsi="Times New Roman" w:cs="Times New Roman" w:eastAsia="Times New Roman" w:hint="default"/>
        </w:rPr>
        <w:t>0</w:t>
      </w:r>
      <w:r>
        <w:rPr/>
        <w:t>元）。本次股权转让完成后，公司将持有完美数联</w:t>
      </w:r>
      <w:r>
        <w:rPr>
          <w:rFonts w:ascii="Times New Roman" w:hAnsi="Times New Roman" w:cs="Times New Roman" w:eastAsia="Times New Roman" w:hint="default"/>
        </w:rPr>
        <w:t>85.7143%</w:t>
      </w:r>
      <w:r>
        <w:rPr/>
        <w:t>的股权。</w:t>
      </w:r>
    </w:p>
    <w:p>
      <w:pPr>
        <w:spacing w:line="408" w:lineRule="auto" w:before="35"/>
        <w:ind w:left="580" w:right="1130"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宋体" w:hAnsi="宋体" w:cs="宋体" w:eastAsia="宋体" w:hint="default"/>
          <w:b/>
          <w:bCs/>
          <w:sz w:val="21"/>
          <w:szCs w:val="21"/>
        </w:rPr>
        <w:t>4</w:t>
      </w:r>
      <w:r>
        <w:rPr>
          <w:rFonts w:ascii="宋体" w:hAnsi="宋体" w:cs="宋体" w:eastAsia="宋体" w:hint="default"/>
          <w:b/>
          <w:bCs/>
          <w:sz w:val="21"/>
          <w:szCs w:val="21"/>
        </w:rPr>
        <w:t>）与其他关联方合作成立子公司</w:t>
      </w:r>
      <w:r>
        <w:rPr>
          <w:rFonts w:ascii="宋体" w:hAnsi="宋体" w:cs="宋体" w:eastAsia="宋体" w:hint="default"/>
          <w:b/>
          <w:bCs/>
          <w:w w:val="99"/>
          <w:sz w:val="21"/>
          <w:szCs w:val="21"/>
        </w:rPr>
        <w:t> </w:t>
      </w:r>
      <w:r>
        <w:rPr>
          <w:rFonts w:ascii="宋体" w:hAnsi="宋体" w:cs="宋体" w:eastAsia="宋体" w:hint="default"/>
          <w:spacing w:val="-1"/>
          <w:sz w:val="21"/>
          <w:szCs w:val="21"/>
        </w:rPr>
        <w:t>经公司第四届董事会第十次会议及第四届监事会第九次会议分别审议通过，公司与北京鼎创力维科技</w:t>
      </w:r>
    </w:p>
    <w:p>
      <w:pPr>
        <w:pStyle w:val="BodyText"/>
        <w:spacing w:line="398" w:lineRule="auto"/>
        <w:ind w:right="1131"/>
        <w:jc w:val="both"/>
        <w:rPr>
          <w:rFonts w:ascii="Times New Roman" w:hAnsi="Times New Roman" w:cs="Times New Roman" w:eastAsia="Times New Roman" w:hint="default"/>
        </w:rPr>
      </w:pPr>
      <w:r>
        <w:rPr>
          <w:spacing w:val="-1"/>
        </w:rPr>
        <w:t>有限公司、河南佳弘信诚企业管理咨询中心（有限合伙）签署了《投资合作协议》，共同投资并发起设立</w:t>
      </w:r>
      <w:r>
        <w:rPr>
          <w:spacing w:val="-83"/>
        </w:rPr>
        <w:t> </w:t>
      </w:r>
      <w:r>
        <w:rPr>
          <w:spacing w:val="-83"/>
        </w:rPr>
      </w:r>
      <w:r>
        <w:rPr>
          <w:spacing w:val="-2"/>
        </w:rPr>
        <w:t>北京开普力维科技有限公司（以下简称</w:t>
      </w:r>
      <w:r>
        <w:rPr>
          <w:rFonts w:ascii="Times New Roman" w:hAnsi="Times New Roman" w:cs="Times New Roman" w:eastAsia="Times New Roman" w:hint="default"/>
          <w:spacing w:val="-2"/>
        </w:rPr>
        <w:t>“</w:t>
      </w:r>
      <w:r>
        <w:rPr>
          <w:spacing w:val="-2"/>
        </w:rPr>
        <w:t>开普力维</w:t>
      </w:r>
      <w:r>
        <w:rPr>
          <w:rFonts w:ascii="Times New Roman" w:hAnsi="Times New Roman" w:cs="Times New Roman" w:eastAsia="Times New Roman" w:hint="default"/>
          <w:spacing w:val="-2"/>
        </w:rPr>
        <w:t>”</w:t>
      </w:r>
      <w:r>
        <w:rPr>
          <w:spacing w:val="-2"/>
        </w:rPr>
        <w:t>）。开普力维注册资本为</w:t>
      </w:r>
      <w:r>
        <w:rPr>
          <w:rFonts w:ascii="Times New Roman" w:hAnsi="Times New Roman" w:cs="Times New Roman" w:eastAsia="Times New Roman" w:hint="default"/>
          <w:spacing w:val="-2"/>
        </w:rPr>
        <w:t>1,000</w:t>
      </w:r>
      <w:r>
        <w:rPr>
          <w:spacing w:val="-2"/>
        </w:rPr>
        <w:t>万元人民币，其中公司以</w:t>
      </w:r>
      <w:r>
        <w:rPr>
          <w:spacing w:val="-62"/>
        </w:rPr>
        <w:t> </w:t>
      </w:r>
      <w:r>
        <w:rPr>
          <w:spacing w:val="-62"/>
        </w:rPr>
      </w:r>
      <w:r>
        <w:rPr/>
        <w:t>自有货币资金出资</w:t>
      </w:r>
      <w:r>
        <w:rPr>
          <w:rFonts w:ascii="Times New Roman" w:hAnsi="Times New Roman" w:cs="Times New Roman" w:eastAsia="Times New Roman" w:hint="default"/>
        </w:rPr>
        <w:t>510</w:t>
      </w:r>
      <w:r>
        <w:rPr/>
        <w:t>万元，持有目标公司</w:t>
      </w:r>
      <w:r>
        <w:rPr>
          <w:rFonts w:ascii="Times New Roman" w:hAnsi="Times New Roman" w:cs="Times New Roman" w:eastAsia="Times New Roman" w:hint="default"/>
        </w:rPr>
        <w:t>51%</w:t>
      </w:r>
      <w:r>
        <w:rPr/>
        <w:t>的股权，鼎创力维以货币出资</w:t>
      </w:r>
      <w:r>
        <w:rPr>
          <w:rFonts w:ascii="Times New Roman" w:hAnsi="Times New Roman" w:cs="Times New Roman" w:eastAsia="Times New Roman" w:hint="default"/>
        </w:rPr>
        <w:t>400</w:t>
      </w:r>
      <w:r>
        <w:rPr/>
        <w:t>万元，持有目标公司</w:t>
      </w:r>
      <w:r>
        <w:rPr>
          <w:rFonts w:ascii="Times New Roman" w:hAnsi="Times New Roman" w:cs="Times New Roman" w:eastAsia="Times New Roman" w:hint="default"/>
        </w:rPr>
        <w:t>40%</w:t>
      </w:r>
    </w:p>
    <w:p>
      <w:pPr>
        <w:spacing w:after="0" w:line="398" w:lineRule="auto"/>
        <w:jc w:val="both"/>
        <w:rPr>
          <w:rFonts w:ascii="Times New Roman" w:hAnsi="Times New Roman" w:cs="Times New Roman" w:eastAsia="Times New Roman" w:hint="default"/>
        </w:rPr>
        <w:sectPr>
          <w:pgSz w:w="11910" w:h="16840"/>
          <w:pgMar w:header="87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17"/>
          <w:szCs w:val="17"/>
        </w:rPr>
      </w:pPr>
    </w:p>
    <w:p>
      <w:pPr>
        <w:pStyle w:val="BodyText"/>
        <w:spacing w:line="240" w:lineRule="auto" w:before="0"/>
        <w:ind w:right="1117"/>
        <w:jc w:val="left"/>
      </w:pPr>
      <w:r>
        <w:rPr/>
        <w:t>的股权，佳弘信诚以货币出资</w:t>
      </w:r>
      <w:r>
        <w:rPr>
          <w:rFonts w:ascii="Times New Roman" w:hAnsi="Times New Roman" w:cs="Times New Roman" w:eastAsia="Times New Roman" w:hint="default"/>
        </w:rPr>
        <w:t>90</w:t>
      </w:r>
      <w:r>
        <w:rPr/>
        <w:t>万元，持有目标公司</w:t>
      </w:r>
      <w:r>
        <w:rPr>
          <w:rFonts w:ascii="Times New Roman" w:hAnsi="Times New Roman" w:cs="Times New Roman" w:eastAsia="Times New Roman" w:hint="default"/>
        </w:rPr>
        <w:t>9%</w:t>
      </w:r>
      <w:r>
        <w:rPr/>
        <w:t>的股权。开普力维为公司控股子公司。</w:t>
      </w:r>
    </w:p>
    <w:p>
      <w:pPr>
        <w:spacing w:line="240" w:lineRule="auto" w:before="11"/>
        <w:rPr>
          <w:rFonts w:ascii="宋体" w:hAnsi="宋体" w:cs="宋体" w:eastAsia="宋体" w:hint="default"/>
          <w:sz w:val="28"/>
          <w:szCs w:val="28"/>
        </w:rPr>
      </w:pPr>
    </w:p>
    <w:p>
      <w:pPr>
        <w:pStyle w:val="Heading2"/>
        <w:spacing w:line="240" w:lineRule="auto"/>
        <w:ind w:right="1117"/>
        <w:jc w:val="left"/>
        <w:rPr>
          <w:b w:val="0"/>
          <w:bCs w:val="0"/>
        </w:rPr>
      </w:pPr>
      <w:bookmarkStart w:name="十三、股份支付" w:id="413"/>
      <w:bookmarkEnd w:id="413"/>
      <w:r>
        <w:rPr>
          <w:b w:val="0"/>
          <w:bCs w:val="0"/>
        </w:rPr>
      </w:r>
      <w:r>
        <w:rPr/>
        <w:t>十三、股份支付</w:t>
      </w:r>
      <w:r>
        <w:rPr>
          <w:b w:val="0"/>
          <w:bCs w:val="0"/>
        </w:rPr>
      </w:r>
    </w:p>
    <w:p>
      <w:pPr>
        <w:spacing w:line="240" w:lineRule="auto" w:before="9"/>
        <w:rPr>
          <w:rFonts w:ascii="宋体" w:hAnsi="宋体" w:cs="宋体" w:eastAsia="宋体" w:hint="default"/>
          <w:b/>
          <w:bCs/>
          <w:sz w:val="24"/>
          <w:szCs w:val="24"/>
        </w:rPr>
      </w:pPr>
    </w:p>
    <w:p>
      <w:pPr>
        <w:pStyle w:val="Heading4"/>
        <w:spacing w:line="240" w:lineRule="auto"/>
        <w:ind w:right="1117"/>
        <w:jc w:val="left"/>
        <w:rPr>
          <w:b w:val="0"/>
          <w:bCs w:val="0"/>
        </w:rPr>
      </w:pPr>
      <w:bookmarkStart w:name="1、股份支付总体情况" w:id="414"/>
      <w:bookmarkEnd w:id="414"/>
      <w:r>
        <w:rPr>
          <w:b w:val="0"/>
          <w:bCs w:val="0"/>
        </w:rPr>
      </w:r>
      <w:r>
        <w:rPr>
          <w:rFonts w:ascii="Times New Roman" w:hAnsi="Times New Roman" w:cs="Times New Roman" w:eastAsia="Times New Roman" w:hint="default"/>
        </w:rPr>
        <w:t>1</w:t>
      </w:r>
      <w:r>
        <w:rPr/>
        <w:t>、股份支付总体情况</w:t>
      </w:r>
      <w:r>
        <w:rPr>
          <w:b w:val="0"/>
          <w:bCs w:val="0"/>
        </w:rPr>
      </w:r>
    </w:p>
    <w:p>
      <w:pPr>
        <w:spacing w:line="240" w:lineRule="auto" w:before="3"/>
        <w:rPr>
          <w:rFonts w:ascii="宋体" w:hAnsi="宋体" w:cs="宋体" w:eastAsia="宋体" w:hint="default"/>
          <w:b/>
          <w:bCs/>
          <w:sz w:val="23"/>
          <w:szCs w:val="23"/>
        </w:rPr>
      </w:pPr>
    </w:p>
    <w:p>
      <w:pPr>
        <w:spacing w:before="44"/>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适用</w:t>
      </w:r>
      <w:r>
        <w:rPr>
          <w:rFonts w:ascii="Times New Roman" w:hAnsi="Times New Roman" w:cs="Times New Roman" w:eastAsia="Times New Roman" w:hint="default"/>
          <w:sz w:val="18"/>
          <w:szCs w:val="18"/>
        </w:rPr>
        <w:t>□</w:t>
      </w:r>
      <w:r>
        <w:rPr>
          <w:rFonts w:ascii="宋体" w:hAnsi="宋体" w:cs="宋体" w:eastAsia="宋体" w:hint="default"/>
          <w:sz w:val="18"/>
          <w:szCs w:val="18"/>
        </w:rPr>
        <w:t>不适用</w:t>
      </w:r>
    </w:p>
    <w:p>
      <w:pPr>
        <w:spacing w:before="102"/>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5455"/>
        <w:gridCol w:w="4114"/>
      </w:tblGrid>
      <w:tr>
        <w:trPr>
          <w:trHeight w:val="402" w:hRule="exact"/>
        </w:trPr>
        <w:tc>
          <w:tcPr>
            <w:tcW w:w="54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公司本期授予的各项权益工具总额</w:t>
            </w:r>
          </w:p>
        </w:tc>
        <w:tc>
          <w:tcPr>
            <w:tcW w:w="4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r>
      <w:tr>
        <w:trPr>
          <w:trHeight w:val="402" w:hRule="exact"/>
        </w:trPr>
        <w:tc>
          <w:tcPr>
            <w:tcW w:w="54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公司本期行权的各项权益工具总额</w:t>
            </w:r>
          </w:p>
        </w:tc>
        <w:tc>
          <w:tcPr>
            <w:tcW w:w="4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r>
      <w:tr>
        <w:trPr>
          <w:trHeight w:val="402" w:hRule="exact"/>
        </w:trPr>
        <w:tc>
          <w:tcPr>
            <w:tcW w:w="54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公司本期失效的各项权益工具总额</w:t>
            </w:r>
          </w:p>
        </w:tc>
        <w:tc>
          <w:tcPr>
            <w:tcW w:w="4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564,072.00</w:t>
            </w:r>
          </w:p>
        </w:tc>
      </w:tr>
    </w:tbl>
    <w:p>
      <w:pPr>
        <w:spacing w:before="51"/>
        <w:ind w:left="154" w:right="1117"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2"/>
        <w:rPr>
          <w:rFonts w:ascii="宋体" w:hAnsi="宋体" w:cs="宋体" w:eastAsia="宋体" w:hint="default"/>
          <w:sz w:val="12"/>
          <w:szCs w:val="12"/>
        </w:rPr>
      </w:pPr>
    </w:p>
    <w:p>
      <w:pPr>
        <w:pStyle w:val="BodyText"/>
        <w:spacing w:line="240" w:lineRule="auto" w:before="0"/>
        <w:ind w:left="868" w:right="1117"/>
        <w:jc w:val="left"/>
      </w:pPr>
      <w:r>
        <w:rPr/>
        <w:t>公司本期加速行权的各项权益工具总额：</w:t>
      </w:r>
      <w:r>
        <w:rPr>
          <w:rFonts w:ascii="Times New Roman" w:hAnsi="Times New Roman" w:cs="Times New Roman" w:eastAsia="Times New Roman" w:hint="default"/>
        </w:rPr>
        <w:t>5,575,140</w:t>
      </w:r>
      <w:r>
        <w:rPr/>
        <w:t>股，总额为</w:t>
      </w:r>
      <w:r>
        <w:rPr>
          <w:rFonts w:ascii="Times New Roman" w:hAnsi="Times New Roman" w:cs="Times New Roman" w:eastAsia="Times New Roman" w:hint="default"/>
        </w:rPr>
        <w:t>68,964,481.80</w:t>
      </w:r>
      <w:r>
        <w:rPr/>
        <w:t>元。</w:t>
      </w:r>
    </w:p>
    <w:p>
      <w:pPr>
        <w:spacing w:line="240" w:lineRule="auto" w:before="8"/>
        <w:rPr>
          <w:rFonts w:ascii="宋体" w:hAnsi="宋体" w:cs="宋体" w:eastAsia="宋体" w:hint="default"/>
          <w:sz w:val="30"/>
          <w:szCs w:val="30"/>
        </w:rPr>
      </w:pPr>
    </w:p>
    <w:p>
      <w:pPr>
        <w:pStyle w:val="Heading4"/>
        <w:spacing w:line="240" w:lineRule="auto"/>
        <w:ind w:right="1117"/>
        <w:jc w:val="left"/>
        <w:rPr>
          <w:b w:val="0"/>
          <w:bCs w:val="0"/>
        </w:rPr>
      </w:pPr>
      <w:bookmarkStart w:name="2、以权益结算的股份支付情况" w:id="415"/>
      <w:bookmarkEnd w:id="415"/>
      <w:r>
        <w:rPr>
          <w:b w:val="0"/>
          <w:bCs w:val="0"/>
        </w:rPr>
      </w:r>
      <w:r>
        <w:rPr>
          <w:rFonts w:ascii="Times New Roman" w:hAnsi="Times New Roman" w:cs="Times New Roman" w:eastAsia="Times New Roman" w:hint="default"/>
        </w:rPr>
        <w:t>2</w:t>
      </w:r>
      <w:r>
        <w:rPr/>
        <w:t>、以权益结算的股份支付情况</w:t>
      </w:r>
      <w:r>
        <w:rPr>
          <w:b w:val="0"/>
          <w:bCs w:val="0"/>
        </w:rPr>
      </w:r>
    </w:p>
    <w:p>
      <w:pPr>
        <w:spacing w:line="240" w:lineRule="auto" w:before="3"/>
        <w:rPr>
          <w:rFonts w:ascii="宋体" w:hAnsi="宋体" w:cs="宋体" w:eastAsia="宋体" w:hint="default"/>
          <w:b/>
          <w:bCs/>
          <w:sz w:val="23"/>
          <w:szCs w:val="23"/>
        </w:rPr>
      </w:pPr>
    </w:p>
    <w:p>
      <w:pPr>
        <w:spacing w:before="44"/>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适用</w:t>
      </w:r>
      <w:r>
        <w:rPr>
          <w:rFonts w:ascii="Times New Roman" w:hAnsi="Times New Roman" w:cs="Times New Roman" w:eastAsia="Times New Roman" w:hint="default"/>
          <w:sz w:val="18"/>
          <w:szCs w:val="18"/>
        </w:rPr>
        <w:t>□</w:t>
      </w:r>
      <w:r>
        <w:rPr>
          <w:rFonts w:ascii="宋体" w:hAnsi="宋体" w:cs="宋体" w:eastAsia="宋体" w:hint="default"/>
          <w:sz w:val="18"/>
          <w:szCs w:val="18"/>
        </w:rPr>
        <w:t>不适用</w:t>
      </w:r>
    </w:p>
    <w:p>
      <w:pPr>
        <w:spacing w:before="102"/>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4984"/>
        <w:gridCol w:w="4585"/>
      </w:tblGrid>
      <w:tr>
        <w:trPr>
          <w:trHeight w:val="402" w:hRule="exact"/>
        </w:trPr>
        <w:tc>
          <w:tcPr>
            <w:tcW w:w="49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授予日权益工具公允价值的确定方法</w:t>
            </w:r>
          </w:p>
        </w:tc>
        <w:tc>
          <w:tcPr>
            <w:tcW w:w="45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Black-Scholes</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模型</w:t>
            </w:r>
          </w:p>
        </w:tc>
      </w:tr>
      <w:tr>
        <w:trPr>
          <w:trHeight w:val="1026" w:hRule="exact"/>
        </w:trPr>
        <w:tc>
          <w:tcPr>
            <w:tcW w:w="49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可行权权益工具数量的确定依据</w:t>
            </w:r>
          </w:p>
        </w:tc>
        <w:tc>
          <w:tcPr>
            <w:tcW w:w="458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3" w:right="51"/>
              <w:jc w:val="both"/>
              <w:rPr>
                <w:rFonts w:ascii="宋体" w:hAnsi="宋体" w:cs="宋体" w:eastAsia="宋体" w:hint="default"/>
                <w:sz w:val="18"/>
                <w:szCs w:val="18"/>
              </w:rPr>
            </w:pPr>
            <w:r>
              <w:rPr>
                <w:rFonts w:ascii="宋体" w:hAnsi="宋体" w:cs="宋体" w:eastAsia="宋体" w:hint="default"/>
                <w:sz w:val="18"/>
                <w:szCs w:val="18"/>
              </w:rPr>
              <w:t>在等待期内的每个资产负债表日，根据最新取得的可行权 职工人数变动等后续信息做出最佳估计，修正预计可行权 的权益工具数量；</w:t>
            </w:r>
          </w:p>
        </w:tc>
      </w:tr>
      <w:tr>
        <w:trPr>
          <w:trHeight w:val="402" w:hRule="exact"/>
        </w:trPr>
        <w:tc>
          <w:tcPr>
            <w:tcW w:w="49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本期估计与上期估计有重大差异的原因</w:t>
            </w:r>
          </w:p>
        </w:tc>
        <w:tc>
          <w:tcPr>
            <w:tcW w:w="45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402" w:hRule="exact"/>
        </w:trPr>
        <w:tc>
          <w:tcPr>
            <w:tcW w:w="49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以权益结算的股份支付计入资本公积的累计金额</w:t>
            </w:r>
          </w:p>
        </w:tc>
        <w:tc>
          <w:tcPr>
            <w:tcW w:w="45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24,027,204.06</w:t>
            </w:r>
          </w:p>
        </w:tc>
      </w:tr>
      <w:tr>
        <w:trPr>
          <w:trHeight w:val="402" w:hRule="exact"/>
        </w:trPr>
        <w:tc>
          <w:tcPr>
            <w:tcW w:w="49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本期以权益结算的股份支付确认的费用总额</w:t>
            </w:r>
          </w:p>
        </w:tc>
        <w:tc>
          <w:tcPr>
            <w:tcW w:w="45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4,013,456.80</w:t>
            </w:r>
          </w:p>
        </w:tc>
      </w:tr>
    </w:tbl>
    <w:p>
      <w:pPr>
        <w:spacing w:before="51"/>
        <w:ind w:left="154" w:right="0" w:firstLine="0"/>
        <w:jc w:val="both"/>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pStyle w:val="Heading4"/>
        <w:spacing w:line="240" w:lineRule="auto"/>
        <w:ind w:right="0"/>
        <w:jc w:val="both"/>
        <w:rPr>
          <w:b w:val="0"/>
          <w:bCs w:val="0"/>
        </w:rPr>
      </w:pPr>
      <w:bookmarkStart w:name="3、以现金结算的股份支付情况" w:id="416"/>
      <w:bookmarkEnd w:id="416"/>
      <w:r>
        <w:rPr>
          <w:b w:val="0"/>
          <w:bCs w:val="0"/>
        </w:rPr>
      </w:r>
      <w:r>
        <w:rPr>
          <w:rFonts w:ascii="Times New Roman" w:hAnsi="Times New Roman" w:cs="Times New Roman" w:eastAsia="Times New Roman" w:hint="default"/>
        </w:rPr>
        <w:t>3</w:t>
      </w:r>
      <w:r>
        <w:rPr/>
        <w:t>、以现金结算的股份支付情况</w:t>
      </w:r>
      <w:r>
        <w:rPr>
          <w:b w:val="0"/>
          <w:bCs w:val="0"/>
        </w:rPr>
      </w:r>
    </w:p>
    <w:p>
      <w:pPr>
        <w:spacing w:line="240" w:lineRule="auto" w:before="8"/>
        <w:rPr>
          <w:rFonts w:ascii="宋体" w:hAnsi="宋体" w:cs="宋体" w:eastAsia="宋体" w:hint="default"/>
          <w:b/>
          <w:bCs/>
          <w:sz w:val="26"/>
          <w:szCs w:val="26"/>
        </w:rPr>
      </w:pPr>
    </w:p>
    <w:p>
      <w:pPr>
        <w:spacing w:before="0"/>
        <w:ind w:left="154" w:right="0" w:firstLine="0"/>
        <w:jc w:val="both"/>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适用</w:t>
      </w:r>
      <w:r>
        <w:rPr>
          <w:rFonts w:ascii="Times New Roman" w:hAnsi="Times New Roman" w:cs="Times New Roman" w:eastAsia="Times New Roman" w:hint="default"/>
          <w:sz w:val="18"/>
          <w:szCs w:val="18"/>
        </w:rPr>
        <w:t>√</w:t>
      </w:r>
      <w:r>
        <w:rPr>
          <w:rFonts w:ascii="宋体" w:hAnsi="宋体" w:cs="宋体" w:eastAsia="宋体" w:hint="default"/>
          <w:sz w:val="18"/>
          <w:szCs w:val="18"/>
        </w:rPr>
        <w:t>不适用</w:t>
      </w:r>
    </w:p>
    <w:p>
      <w:pPr>
        <w:spacing w:line="690" w:lineRule="exact" w:before="30"/>
        <w:ind w:left="577" w:right="1194" w:hanging="424"/>
        <w:jc w:val="left"/>
        <w:rPr>
          <w:rFonts w:ascii="宋体" w:hAnsi="宋体" w:cs="宋体" w:eastAsia="宋体" w:hint="default"/>
          <w:sz w:val="21"/>
          <w:szCs w:val="21"/>
        </w:rPr>
      </w:pPr>
      <w:bookmarkStart w:name="4、股份支付的修改、终止情况" w:id="417"/>
      <w:bookmarkEnd w:id="417"/>
      <w:r>
        <w:rPr/>
      </w: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、股份支付的修改、终止情况</w:t>
      </w:r>
      <w:r>
        <w:rPr>
          <w:rFonts w:ascii="宋体" w:hAnsi="宋体" w:cs="宋体" w:eastAsia="宋体" w:hint="default"/>
          <w:b/>
          <w:bCs/>
          <w:w w:val="99"/>
          <w:sz w:val="21"/>
          <w:szCs w:val="21"/>
        </w:rPr>
        <w:t> </w:t>
      </w:r>
      <w:r>
        <w:rPr>
          <w:rFonts w:ascii="宋体" w:hAnsi="宋体" w:cs="宋体" w:eastAsia="宋体" w:hint="default"/>
          <w:sz w:val="21"/>
          <w:szCs w:val="21"/>
        </w:rPr>
        <w:t>公司于</w:t>
      </w:r>
      <w:r>
        <w:rPr>
          <w:rFonts w:ascii="Times New Roman" w:hAnsi="Times New Roman" w:cs="Times New Roman" w:eastAsia="Times New Roman" w:hint="default"/>
          <w:sz w:val="21"/>
          <w:szCs w:val="21"/>
        </w:rPr>
        <w:t>2018</w:t>
      </w:r>
      <w:r>
        <w:rPr>
          <w:rFonts w:ascii="宋体" w:hAnsi="宋体" w:cs="宋体" w:eastAsia="宋体" w:hint="default"/>
          <w:sz w:val="21"/>
          <w:szCs w:val="21"/>
        </w:rPr>
        <w:t>年</w:t>
      </w:r>
      <w:r>
        <w:rPr>
          <w:rFonts w:ascii="Times New Roman" w:hAnsi="Times New Roman" w:cs="Times New Roman" w:eastAsia="Times New Roman" w:hint="default"/>
          <w:sz w:val="21"/>
          <w:szCs w:val="21"/>
        </w:rPr>
        <w:t>2</w:t>
      </w:r>
      <w:r>
        <w:rPr>
          <w:rFonts w:ascii="宋体" w:hAnsi="宋体" w:cs="宋体" w:eastAsia="宋体" w:hint="default"/>
          <w:sz w:val="21"/>
          <w:szCs w:val="21"/>
        </w:rPr>
        <w:t>月</w:t>
      </w:r>
      <w:r>
        <w:rPr>
          <w:rFonts w:ascii="Times New Roman" w:hAnsi="Times New Roman" w:cs="Times New Roman" w:eastAsia="Times New Roman" w:hint="default"/>
          <w:sz w:val="21"/>
          <w:szCs w:val="21"/>
        </w:rPr>
        <w:t>13</w:t>
      </w:r>
      <w:r>
        <w:rPr>
          <w:rFonts w:ascii="宋体" w:hAnsi="宋体" w:cs="宋体" w:eastAsia="宋体" w:hint="default"/>
          <w:sz w:val="21"/>
          <w:szCs w:val="21"/>
        </w:rPr>
        <w:t>日召开第四届董事会第九次会议，审议通过了《关于回购注销不符合激励条件的</w:t>
      </w:r>
    </w:p>
    <w:p>
      <w:pPr>
        <w:pStyle w:val="BodyText"/>
        <w:spacing w:line="386" w:lineRule="auto" w:before="84"/>
        <w:ind w:right="1130"/>
        <w:jc w:val="both"/>
      </w:pPr>
      <w:r>
        <w:rPr>
          <w:spacing w:val="-1"/>
        </w:rPr>
        <w:t>激励对象所持已获授但尚未解锁的限制性股票的议案》、《关于终止实施</w:t>
      </w:r>
      <w:r>
        <w:rPr>
          <w:rFonts w:ascii="Times New Roman" w:hAnsi="Times New Roman" w:cs="Times New Roman" w:eastAsia="Times New Roman" w:hint="default"/>
          <w:spacing w:val="-1"/>
        </w:rPr>
        <w:t>2016</w:t>
      </w:r>
      <w:r>
        <w:rPr>
          <w:spacing w:val="-1"/>
        </w:rPr>
        <w:t>年限制性股票激励计划暨回</w:t>
      </w:r>
      <w:r>
        <w:rPr>
          <w:spacing w:val="-81"/>
        </w:rPr>
        <w:t> </w:t>
      </w:r>
      <w:r>
        <w:rPr>
          <w:spacing w:val="-81"/>
        </w:rPr>
      </w:r>
      <w:r>
        <w:rPr/>
        <w:t>购注销已获授但尚未解锁的限制性股票的议案》、《关于终止执行</w:t>
      </w:r>
      <w:r>
        <w:rPr>
          <w:rFonts w:ascii="Times New Roman" w:hAnsi="Times New Roman" w:cs="Times New Roman" w:eastAsia="Times New Roman" w:hint="default"/>
        </w:rPr>
        <w:t>&lt;</w:t>
      </w:r>
      <w:r>
        <w:rPr/>
        <w:t>新开普电子股份有限公司限制性股票 激励计划实施考核管理办法</w:t>
      </w:r>
      <w:r>
        <w:rPr>
          <w:rFonts w:ascii="Times New Roman" w:hAnsi="Times New Roman" w:cs="Times New Roman" w:eastAsia="Times New Roman" w:hint="default"/>
        </w:rPr>
        <w:t>&gt;</w:t>
      </w:r>
      <w:r>
        <w:rPr/>
        <w:t>的议案》等议案，同意回购注销原激励对象李莘、王鹏飞等</w:t>
      </w:r>
      <w:r>
        <w:rPr>
          <w:rFonts w:ascii="Times New Roman" w:hAnsi="Times New Roman" w:cs="Times New Roman" w:eastAsia="Times New Roman" w:hint="default"/>
        </w:rPr>
        <w:t>10</w:t>
      </w:r>
      <w:r>
        <w:rPr/>
        <w:t>名离职人员已 </w:t>
      </w:r>
      <w:r>
        <w:rPr>
          <w:spacing w:val="-2"/>
        </w:rPr>
        <w:t>获授但尚未解锁的</w:t>
      </w:r>
      <w:r>
        <w:rPr>
          <w:rFonts w:ascii="Times New Roman" w:hAnsi="Times New Roman" w:cs="Times New Roman" w:eastAsia="Times New Roman" w:hint="default"/>
          <w:spacing w:val="-2"/>
        </w:rPr>
        <w:t>45,600</w:t>
      </w:r>
      <w:r>
        <w:rPr>
          <w:spacing w:val="-2"/>
        </w:rPr>
        <w:t>股限制性股票，同意公司终止实施激励计划并回购注销剩余</w:t>
      </w:r>
      <w:r>
        <w:rPr>
          <w:rFonts w:ascii="Times New Roman" w:hAnsi="Times New Roman" w:cs="Times New Roman" w:eastAsia="Times New Roman" w:hint="default"/>
          <w:spacing w:val="-2"/>
        </w:rPr>
        <w:t>435</w:t>
      </w:r>
      <w:r>
        <w:rPr>
          <w:spacing w:val="-2"/>
        </w:rPr>
        <w:t>名激励对象已获授</w:t>
      </w:r>
    </w:p>
    <w:p>
      <w:pPr>
        <w:spacing w:after="0" w:line="386" w:lineRule="auto"/>
        <w:jc w:val="both"/>
        <w:sectPr>
          <w:pgSz w:w="11910" w:h="16840"/>
          <w:pgMar w:header="877" w:footer="979" w:top="1060" w:bottom="1160" w:left="980" w:right="0"/>
        </w:sectPr>
      </w:pPr>
    </w:p>
    <w:p>
      <w:pPr>
        <w:spacing w:line="240" w:lineRule="auto" w:before="0"/>
        <w:rPr>
          <w:rFonts w:ascii="宋体" w:hAnsi="宋体" w:cs="宋体" w:eastAsia="宋体" w:hint="default"/>
          <w:sz w:val="20"/>
          <w:szCs w:val="20"/>
        </w:rPr>
      </w:pPr>
    </w:p>
    <w:p>
      <w:pPr>
        <w:pStyle w:val="BodyText"/>
        <w:spacing w:line="240" w:lineRule="auto" w:before="174"/>
        <w:ind w:right="1117"/>
        <w:jc w:val="left"/>
      </w:pPr>
      <w:r>
        <w:rPr/>
        <w:t>但尚未解锁的</w:t>
      </w:r>
      <w:r>
        <w:rPr>
          <w:rFonts w:ascii="Times New Roman" w:hAnsi="Times New Roman" w:cs="Times New Roman" w:eastAsia="Times New Roman" w:hint="default"/>
        </w:rPr>
        <w:t>5,575,140</w:t>
      </w:r>
      <w:r>
        <w:rPr/>
        <w:t>股限制性股票。</w:t>
      </w:r>
    </w:p>
    <w:p>
      <w:pPr>
        <w:spacing w:line="240" w:lineRule="auto" w:before="8"/>
        <w:rPr>
          <w:rFonts w:ascii="宋体" w:hAnsi="宋体" w:cs="宋体" w:eastAsia="宋体" w:hint="default"/>
          <w:sz w:val="30"/>
          <w:szCs w:val="30"/>
        </w:rPr>
      </w:pPr>
    </w:p>
    <w:p>
      <w:pPr>
        <w:spacing w:line="487" w:lineRule="auto" w:before="0"/>
        <w:ind w:left="154" w:right="8412" w:firstLine="0"/>
        <w:jc w:val="left"/>
        <w:rPr>
          <w:rFonts w:ascii="宋体" w:hAnsi="宋体" w:cs="宋体" w:eastAsia="宋体" w:hint="default"/>
          <w:sz w:val="21"/>
          <w:szCs w:val="21"/>
        </w:rPr>
      </w:pPr>
      <w:bookmarkStart w:name="5、其他" w:id="418"/>
      <w:bookmarkEnd w:id="418"/>
      <w:r>
        <w:rPr/>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、其他</w:t>
      </w:r>
      <w:r>
        <w:rPr>
          <w:rFonts w:ascii="宋体" w:hAnsi="宋体" w:cs="宋体" w:eastAsia="宋体" w:hint="default"/>
          <w:b/>
          <w:bCs/>
          <w:spacing w:val="1"/>
          <w:w w:val="99"/>
          <w:sz w:val="21"/>
          <w:szCs w:val="21"/>
        </w:rPr>
        <w:t> </w:t>
      </w:r>
      <w:bookmarkStart w:name="十四、承诺及或有事项" w:id="419"/>
      <w:bookmarkEnd w:id="419"/>
      <w:r>
        <w:rPr>
          <w:rFonts w:ascii="宋体" w:hAnsi="宋体" w:cs="宋体" w:eastAsia="宋体" w:hint="default"/>
          <w:b/>
          <w:bCs/>
          <w:spacing w:val="1"/>
          <w:w w:val="99"/>
          <w:sz w:val="21"/>
          <w:szCs w:val="21"/>
        </w:rPr>
      </w:r>
      <w:r>
        <w:rPr>
          <w:rFonts w:ascii="宋体" w:hAnsi="宋体" w:cs="宋体" w:eastAsia="宋体" w:hint="default"/>
          <w:b/>
          <w:bCs/>
          <w:w w:val="95"/>
          <w:sz w:val="24"/>
          <w:szCs w:val="24"/>
        </w:rPr>
        <w:t>十四、承诺及或有事项</w:t>
      </w:r>
      <w:r>
        <w:rPr>
          <w:rFonts w:ascii="宋体" w:hAnsi="宋体" w:cs="宋体" w:eastAsia="宋体" w:hint="default"/>
          <w:b/>
          <w:bCs/>
          <w:spacing w:val="-4"/>
          <w:w w:val="95"/>
          <w:sz w:val="24"/>
          <w:szCs w:val="24"/>
        </w:rPr>
        <w:t> </w:t>
      </w:r>
      <w:r>
        <w:rPr>
          <w:rFonts w:ascii="宋体" w:hAnsi="宋体" w:cs="宋体" w:eastAsia="宋体" w:hint="default"/>
          <w:b/>
          <w:bCs/>
          <w:spacing w:val="-4"/>
          <w:w w:val="95"/>
          <w:sz w:val="24"/>
          <w:szCs w:val="24"/>
        </w:rPr>
      </w:r>
      <w:bookmarkStart w:name="1、重要承诺事项" w:id="420"/>
      <w:bookmarkEnd w:id="420"/>
      <w:r>
        <w:rPr>
          <w:rFonts w:ascii="宋体" w:hAnsi="宋体" w:cs="宋体" w:eastAsia="宋体" w:hint="default"/>
          <w:b/>
          <w:bCs/>
          <w:spacing w:val="-4"/>
          <w:w w:val="95"/>
          <w:sz w:val="24"/>
          <w:szCs w:val="24"/>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、重要承诺事项</w:t>
      </w:r>
      <w:r>
        <w:rPr>
          <w:rFonts w:ascii="宋体" w:hAnsi="宋体" w:cs="宋体" w:eastAsia="宋体" w:hint="default"/>
          <w:sz w:val="21"/>
          <w:szCs w:val="21"/>
        </w:rPr>
      </w:r>
    </w:p>
    <w:p>
      <w:pPr>
        <w:spacing w:before="108"/>
        <w:ind w:left="154" w:right="1117" w:firstLine="0"/>
        <w:jc w:val="left"/>
        <w:rPr>
          <w:rFonts w:ascii="宋体" w:hAnsi="宋体" w:cs="宋体" w:eastAsia="宋体" w:hint="default"/>
          <w:sz w:val="18"/>
          <w:szCs w:val="18"/>
        </w:rPr>
      </w:pPr>
      <w:r>
        <w:rPr>
          <w:rFonts w:ascii="宋体" w:hAnsi="宋体" w:cs="宋体" w:eastAsia="宋体" w:hint="default"/>
          <w:sz w:val="18"/>
          <w:szCs w:val="18"/>
        </w:rPr>
        <w:t>资产负债表日存在的重要承诺</w:t>
      </w:r>
    </w:p>
    <w:p>
      <w:pPr>
        <w:spacing w:line="240" w:lineRule="auto" w:before="12"/>
        <w:rPr>
          <w:rFonts w:ascii="宋体" w:hAnsi="宋体" w:cs="宋体" w:eastAsia="宋体" w:hint="default"/>
          <w:sz w:val="12"/>
          <w:szCs w:val="12"/>
        </w:rPr>
      </w:pPr>
    </w:p>
    <w:p>
      <w:pPr>
        <w:pStyle w:val="BodyText"/>
        <w:spacing w:line="240" w:lineRule="auto" w:before="0"/>
        <w:ind w:right="1117"/>
        <w:jc w:val="left"/>
      </w:pPr>
      <w:r>
        <w:rPr/>
        <w:t>截止</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日，本公司无需要披露的重大承诺事项。</w:t>
      </w:r>
    </w:p>
    <w:p>
      <w:pPr>
        <w:spacing w:line="240" w:lineRule="auto" w:before="8"/>
        <w:rPr>
          <w:rFonts w:ascii="宋体" w:hAnsi="宋体" w:cs="宋体" w:eastAsia="宋体" w:hint="default"/>
          <w:sz w:val="30"/>
          <w:szCs w:val="30"/>
        </w:rPr>
      </w:pPr>
    </w:p>
    <w:p>
      <w:pPr>
        <w:pStyle w:val="Heading4"/>
        <w:spacing w:line="240" w:lineRule="auto"/>
        <w:ind w:right="1117"/>
        <w:jc w:val="left"/>
        <w:rPr>
          <w:b w:val="0"/>
          <w:bCs w:val="0"/>
        </w:rPr>
      </w:pPr>
      <w:bookmarkStart w:name="2、或有事项" w:id="421"/>
      <w:bookmarkEnd w:id="421"/>
      <w:r>
        <w:rPr>
          <w:b w:val="0"/>
          <w:bCs w:val="0"/>
        </w:rPr>
      </w:r>
      <w:r>
        <w:rPr>
          <w:rFonts w:ascii="Times New Roman" w:hAnsi="Times New Roman" w:cs="Times New Roman" w:eastAsia="Times New Roman" w:hint="default"/>
        </w:rPr>
        <w:t>2</w:t>
      </w:r>
      <w:r>
        <w:rPr/>
        <w:t>、或有事项</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1117"/>
        <w:jc w:val="left"/>
        <w:rPr>
          <w:b w:val="0"/>
          <w:bCs w:val="0"/>
        </w:rPr>
      </w:pPr>
      <w:bookmarkStart w:name="（1）资产负债表日存在的重要或有事项" w:id="422"/>
      <w:bookmarkEnd w:id="422"/>
      <w:r>
        <w:rPr>
          <w:b w:val="0"/>
          <w:bCs w:val="0"/>
        </w:rPr>
      </w:r>
      <w:r>
        <w:rPr/>
        <w:t>（</w:t>
      </w:r>
      <w:r>
        <w:rPr>
          <w:rFonts w:ascii="Times New Roman" w:hAnsi="Times New Roman" w:cs="Times New Roman" w:eastAsia="Times New Roman" w:hint="default"/>
        </w:rPr>
        <w:t>1</w:t>
      </w:r>
      <w:r>
        <w:rPr/>
        <w:t>）资产负债表日存在的重要或有事项</w:t>
      </w:r>
      <w:r>
        <w:rPr>
          <w:b w:val="0"/>
          <w:bCs w:val="0"/>
        </w:rPr>
      </w:r>
    </w:p>
    <w:p>
      <w:pPr>
        <w:spacing w:line="240" w:lineRule="auto" w:before="7"/>
        <w:rPr>
          <w:rFonts w:ascii="宋体" w:hAnsi="宋体" w:cs="宋体" w:eastAsia="宋体" w:hint="default"/>
          <w:b/>
          <w:bCs/>
          <w:sz w:val="30"/>
          <w:szCs w:val="30"/>
        </w:rPr>
      </w:pPr>
    </w:p>
    <w:p>
      <w:pPr>
        <w:pStyle w:val="BodyText"/>
        <w:spacing w:line="386" w:lineRule="auto" w:before="0"/>
        <w:ind w:right="1194" w:firstLine="423"/>
        <w:jc w:val="left"/>
      </w:pPr>
      <w:r>
        <w:rPr>
          <w:rFonts w:ascii="Times New Roman" w:hAnsi="Times New Roman" w:cs="Times New Roman" w:eastAsia="Times New Roman" w:hint="default"/>
        </w:rPr>
        <w:t>1</w:t>
      </w:r>
      <w:r>
        <w:rPr/>
        <w:t>、截止</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日，本公司出具的票据保证金</w:t>
      </w:r>
      <w:r>
        <w:rPr>
          <w:rFonts w:ascii="Times New Roman" w:hAnsi="Times New Roman" w:cs="Times New Roman" w:eastAsia="Times New Roman" w:hint="default"/>
        </w:rPr>
        <w:t>24,342,886.07</w:t>
      </w:r>
      <w:r>
        <w:rPr/>
        <w:t>元、履约保证金</w:t>
      </w:r>
      <w:r>
        <w:rPr>
          <w:rFonts w:ascii="Times New Roman" w:hAnsi="Times New Roman" w:cs="Times New Roman" w:eastAsia="Times New Roman" w:hint="default"/>
        </w:rPr>
        <w:t>9,425,608.99</w:t>
      </w:r>
      <w:r>
        <w:rPr/>
        <w:t>元、投 标保证金</w:t>
      </w:r>
      <w:r>
        <w:rPr>
          <w:rFonts w:ascii="Times New Roman" w:hAnsi="Times New Roman" w:cs="Times New Roman" w:eastAsia="Times New Roman" w:hint="default"/>
        </w:rPr>
        <w:t>690,540.46</w:t>
      </w:r>
      <w:r>
        <w:rPr/>
        <w:t>元。</w:t>
      </w:r>
    </w:p>
    <w:p>
      <w:pPr>
        <w:pStyle w:val="BodyText"/>
        <w:spacing w:line="240" w:lineRule="auto" w:before="35"/>
        <w:ind w:left="577" w:right="1117"/>
        <w:jc w:val="left"/>
      </w:pPr>
      <w:r>
        <w:rPr>
          <w:rFonts w:ascii="Times New Roman" w:hAnsi="Times New Roman" w:cs="Times New Roman" w:eastAsia="Times New Roman" w:hint="default"/>
        </w:rPr>
        <w:t>2</w:t>
      </w:r>
      <w:r>
        <w:rPr/>
        <w:t>、对外担保事项如下：</w:t>
      </w:r>
    </w:p>
    <w:p>
      <w:pPr>
        <w:spacing w:line="240" w:lineRule="auto" w:before="9"/>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410"/>
        <w:gridCol w:w="1560"/>
        <w:gridCol w:w="1700"/>
        <w:gridCol w:w="1900"/>
        <w:gridCol w:w="1901"/>
      </w:tblGrid>
      <w:tr>
        <w:trPr>
          <w:trHeight w:val="341" w:hRule="exact"/>
        </w:trPr>
        <w:tc>
          <w:tcPr>
            <w:tcW w:w="24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被担保方</w:t>
            </w:r>
          </w:p>
        </w:tc>
        <w:tc>
          <w:tcPr>
            <w:tcW w:w="15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0"/>
              <w:ind w:right="53"/>
              <w:jc w:val="right"/>
              <w:rPr>
                <w:rFonts w:ascii="宋体" w:hAnsi="宋体" w:cs="宋体" w:eastAsia="宋体" w:hint="default"/>
                <w:sz w:val="18"/>
                <w:szCs w:val="18"/>
              </w:rPr>
            </w:pPr>
            <w:r>
              <w:rPr>
                <w:rFonts w:ascii="宋体" w:hAnsi="宋体" w:cs="宋体" w:eastAsia="宋体" w:hint="default"/>
                <w:sz w:val="18"/>
                <w:szCs w:val="18"/>
              </w:rPr>
              <w:t>担保金额（万元）</w:t>
            </w:r>
          </w:p>
        </w:tc>
        <w:tc>
          <w:tcPr>
            <w:tcW w:w="17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0"/>
              <w:ind w:right="1"/>
              <w:jc w:val="center"/>
              <w:rPr>
                <w:rFonts w:ascii="宋体" w:hAnsi="宋体" w:cs="宋体" w:eastAsia="宋体" w:hint="default"/>
                <w:sz w:val="18"/>
                <w:szCs w:val="18"/>
              </w:rPr>
            </w:pPr>
            <w:r>
              <w:rPr>
                <w:rFonts w:ascii="宋体" w:hAnsi="宋体" w:cs="宋体" w:eastAsia="宋体" w:hint="default"/>
                <w:sz w:val="18"/>
                <w:szCs w:val="18"/>
              </w:rPr>
              <w:t>担保起始日</w:t>
            </w:r>
          </w:p>
        </w:tc>
        <w:tc>
          <w:tcPr>
            <w:tcW w:w="19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0"/>
              <w:ind w:right="1"/>
              <w:jc w:val="center"/>
              <w:rPr>
                <w:rFonts w:ascii="宋体" w:hAnsi="宋体" w:cs="宋体" w:eastAsia="宋体" w:hint="default"/>
                <w:sz w:val="18"/>
                <w:szCs w:val="18"/>
              </w:rPr>
            </w:pPr>
            <w:r>
              <w:rPr>
                <w:rFonts w:ascii="宋体" w:hAnsi="宋体" w:cs="宋体" w:eastAsia="宋体" w:hint="default"/>
                <w:sz w:val="18"/>
                <w:szCs w:val="18"/>
              </w:rPr>
              <w:t>担保到期日</w:t>
            </w:r>
          </w:p>
        </w:tc>
        <w:tc>
          <w:tcPr>
            <w:tcW w:w="190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担保是否已经履行完毕</w:t>
            </w:r>
          </w:p>
        </w:tc>
      </w:tr>
      <w:tr>
        <w:trPr>
          <w:trHeight w:val="655" w:hRule="exact"/>
        </w:trPr>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20"/>
              <w:ind w:left="4" w:right="53"/>
              <w:jc w:val="left"/>
              <w:rPr>
                <w:rFonts w:ascii="宋体" w:hAnsi="宋体" w:cs="宋体" w:eastAsia="宋体" w:hint="default"/>
                <w:sz w:val="18"/>
                <w:szCs w:val="18"/>
              </w:rPr>
            </w:pPr>
            <w:r>
              <w:rPr>
                <w:rFonts w:ascii="宋体" w:hAnsi="宋体" w:cs="宋体" w:eastAsia="宋体" w:hint="default"/>
                <w:sz w:val="18"/>
                <w:szCs w:val="18"/>
              </w:rPr>
              <w:t>北京希嘉创智教育科技有限公 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3"/>
              <w:jc w:val="right"/>
              <w:rPr>
                <w:rFonts w:ascii="Times New Roman" w:hAnsi="Times New Roman" w:cs="Times New Roman" w:eastAsia="Times New Roman" w:hint="default"/>
                <w:sz w:val="18"/>
                <w:szCs w:val="18"/>
              </w:rPr>
            </w:pPr>
            <w:r>
              <w:rPr>
                <w:rFonts w:ascii="Times New Roman"/>
                <w:sz w:val="18"/>
              </w:rPr>
              <w:t>800.00</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2018-5-17</w:t>
            </w:r>
          </w:p>
        </w:tc>
        <w:tc>
          <w:tcPr>
            <w:tcW w:w="1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2019-5-17</w:t>
            </w:r>
          </w:p>
        </w:tc>
        <w:tc>
          <w:tcPr>
            <w:tcW w:w="1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42" w:hRule="exact"/>
        </w:trPr>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上海树维信息科技有限公司</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3"/>
              <w:jc w:val="right"/>
              <w:rPr>
                <w:rFonts w:ascii="Times New Roman" w:hAnsi="Times New Roman" w:cs="Times New Roman" w:eastAsia="Times New Roman" w:hint="default"/>
                <w:sz w:val="18"/>
                <w:szCs w:val="18"/>
              </w:rPr>
            </w:pPr>
            <w:r>
              <w:rPr>
                <w:rFonts w:ascii="Times New Roman"/>
                <w:sz w:val="18"/>
              </w:rPr>
              <w:t>800.00</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0"/>
              <w:jc w:val="center"/>
              <w:rPr>
                <w:rFonts w:ascii="Times New Roman" w:hAnsi="Times New Roman" w:cs="Times New Roman" w:eastAsia="Times New Roman" w:hint="default"/>
                <w:sz w:val="18"/>
                <w:szCs w:val="18"/>
              </w:rPr>
            </w:pPr>
            <w:r>
              <w:rPr>
                <w:rFonts w:ascii="Times New Roman"/>
                <w:sz w:val="18"/>
              </w:rPr>
              <w:t>2018-8-14</w:t>
            </w:r>
          </w:p>
        </w:tc>
        <w:tc>
          <w:tcPr>
            <w:tcW w:w="1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0"/>
              <w:jc w:val="center"/>
              <w:rPr>
                <w:rFonts w:ascii="Times New Roman" w:hAnsi="Times New Roman" w:cs="Times New Roman" w:eastAsia="Times New Roman" w:hint="default"/>
                <w:sz w:val="18"/>
                <w:szCs w:val="18"/>
              </w:rPr>
            </w:pPr>
            <w:r>
              <w:rPr>
                <w:rFonts w:ascii="Times New Roman"/>
                <w:sz w:val="18"/>
              </w:rPr>
              <w:t>2019-8-13</w:t>
            </w:r>
          </w:p>
        </w:tc>
        <w:tc>
          <w:tcPr>
            <w:tcW w:w="1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否</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3"/>
          <w:szCs w:val="23"/>
        </w:rPr>
      </w:pPr>
    </w:p>
    <w:p>
      <w:pPr>
        <w:pStyle w:val="Heading4"/>
        <w:spacing w:line="240" w:lineRule="auto" w:before="35"/>
        <w:ind w:right="1117"/>
        <w:jc w:val="left"/>
        <w:rPr>
          <w:b w:val="0"/>
          <w:bCs w:val="0"/>
        </w:rPr>
      </w:pPr>
      <w:bookmarkStart w:name="（2）公司没有需要披露的重要或有事项，也应予以说明" w:id="423"/>
      <w:bookmarkEnd w:id="423"/>
      <w:r>
        <w:rPr>
          <w:b w:val="0"/>
          <w:bCs w:val="0"/>
        </w:rPr>
      </w:r>
      <w:r>
        <w:rPr/>
        <w:t>（</w:t>
      </w:r>
      <w:r>
        <w:rPr>
          <w:rFonts w:ascii="Times New Roman" w:hAnsi="Times New Roman" w:cs="Times New Roman" w:eastAsia="Times New Roman" w:hint="default"/>
        </w:rPr>
        <w:t>2</w:t>
      </w:r>
      <w:r>
        <w:rPr/>
        <w:t>）公司没有需要披露的重要或有事项，也应予以说明</w:t>
      </w:r>
      <w:r>
        <w:rPr>
          <w:b w:val="0"/>
          <w:bCs w:val="0"/>
        </w:rPr>
      </w:r>
    </w:p>
    <w:p>
      <w:pPr>
        <w:spacing w:line="240" w:lineRule="auto" w:before="8"/>
        <w:rPr>
          <w:rFonts w:ascii="宋体" w:hAnsi="宋体" w:cs="宋体" w:eastAsia="宋体" w:hint="default"/>
          <w:b/>
          <w:bCs/>
          <w:sz w:val="26"/>
          <w:szCs w:val="26"/>
        </w:rPr>
      </w:pPr>
    </w:p>
    <w:p>
      <w:pPr>
        <w:spacing w:before="0"/>
        <w:ind w:left="154" w:right="1117" w:firstLine="0"/>
        <w:jc w:val="left"/>
        <w:rPr>
          <w:rFonts w:ascii="宋体" w:hAnsi="宋体" w:cs="宋体" w:eastAsia="宋体" w:hint="default"/>
          <w:sz w:val="18"/>
          <w:szCs w:val="18"/>
        </w:rPr>
      </w:pPr>
      <w:r>
        <w:rPr>
          <w:rFonts w:ascii="宋体" w:hAnsi="宋体" w:cs="宋体" w:eastAsia="宋体" w:hint="default"/>
          <w:sz w:val="18"/>
          <w:szCs w:val="18"/>
        </w:rPr>
        <w:t>公司不存在需要披露的重要或有事项。</w:t>
      </w:r>
    </w:p>
    <w:p>
      <w:pPr>
        <w:spacing w:after="0"/>
        <w:jc w:val="left"/>
        <w:rPr>
          <w:rFonts w:ascii="宋体" w:hAnsi="宋体" w:cs="宋体" w:eastAsia="宋体" w:hint="default"/>
          <w:sz w:val="18"/>
          <w:szCs w:val="18"/>
        </w:rPr>
        <w:sectPr>
          <w:pgSz w:w="11910" w:h="16840"/>
          <w:pgMar w:header="877" w:footer="979" w:top="1060" w:bottom="1160" w:left="980" w:right="0"/>
        </w:sectPr>
      </w:pPr>
    </w:p>
    <w:p>
      <w:pPr>
        <w:spacing w:line="240" w:lineRule="auto" w:before="9"/>
        <w:rPr>
          <w:rFonts w:ascii="宋体" w:hAnsi="宋体" w:cs="宋体" w:eastAsia="宋体" w:hint="default"/>
          <w:sz w:val="24"/>
          <w:szCs w:val="24"/>
        </w:rPr>
      </w:pPr>
    </w:p>
    <w:p>
      <w:pPr>
        <w:spacing w:line="487" w:lineRule="auto" w:before="35"/>
        <w:ind w:left="154" w:right="7692" w:firstLine="0"/>
        <w:jc w:val="left"/>
        <w:rPr>
          <w:rFonts w:ascii="宋体" w:hAnsi="宋体" w:cs="宋体" w:eastAsia="宋体" w:hint="default"/>
          <w:sz w:val="21"/>
          <w:szCs w:val="21"/>
        </w:rPr>
      </w:pPr>
      <w:bookmarkStart w:name="3、其他" w:id="424"/>
      <w:bookmarkEnd w:id="424"/>
      <w:r>
        <w:rPr/>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、其他</w:t>
      </w:r>
      <w:r>
        <w:rPr>
          <w:rFonts w:ascii="宋体" w:hAnsi="宋体" w:cs="宋体" w:eastAsia="宋体" w:hint="default"/>
          <w:b/>
          <w:bCs/>
          <w:spacing w:val="1"/>
          <w:w w:val="99"/>
          <w:sz w:val="21"/>
          <w:szCs w:val="21"/>
        </w:rPr>
        <w:t> </w:t>
      </w:r>
      <w:bookmarkStart w:name="十五、资产负债表日后事项" w:id="425"/>
      <w:bookmarkEnd w:id="425"/>
      <w:r>
        <w:rPr>
          <w:rFonts w:ascii="宋体" w:hAnsi="宋体" w:cs="宋体" w:eastAsia="宋体" w:hint="default"/>
          <w:b/>
          <w:bCs/>
          <w:spacing w:val="1"/>
          <w:w w:val="99"/>
          <w:sz w:val="21"/>
          <w:szCs w:val="21"/>
        </w:rPr>
      </w:r>
      <w:r>
        <w:rPr>
          <w:rFonts w:ascii="宋体" w:hAnsi="宋体" w:cs="宋体" w:eastAsia="宋体" w:hint="default"/>
          <w:b/>
          <w:bCs/>
          <w:w w:val="95"/>
          <w:sz w:val="24"/>
          <w:szCs w:val="24"/>
        </w:rPr>
        <w:t>十五、资产负债表日后事项</w:t>
      </w:r>
      <w:r>
        <w:rPr>
          <w:rFonts w:ascii="宋体" w:hAnsi="宋体" w:cs="宋体" w:eastAsia="宋体" w:hint="default"/>
          <w:b/>
          <w:bCs/>
          <w:spacing w:val="18"/>
          <w:w w:val="95"/>
          <w:sz w:val="24"/>
          <w:szCs w:val="24"/>
        </w:rPr>
        <w:t> </w:t>
      </w:r>
      <w:r>
        <w:rPr>
          <w:rFonts w:ascii="宋体" w:hAnsi="宋体" w:cs="宋体" w:eastAsia="宋体" w:hint="default"/>
          <w:b/>
          <w:bCs/>
          <w:spacing w:val="18"/>
          <w:w w:val="95"/>
          <w:sz w:val="24"/>
          <w:szCs w:val="24"/>
        </w:rPr>
      </w:r>
      <w:bookmarkStart w:name="1、重要的非调整事项" w:id="426"/>
      <w:bookmarkEnd w:id="426"/>
      <w:r>
        <w:rPr>
          <w:rFonts w:ascii="宋体" w:hAnsi="宋体" w:cs="宋体" w:eastAsia="宋体" w:hint="default"/>
          <w:b/>
          <w:bCs/>
          <w:spacing w:val="18"/>
          <w:w w:val="95"/>
          <w:sz w:val="24"/>
          <w:szCs w:val="24"/>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、重要的非调整事项</w:t>
      </w:r>
      <w:r>
        <w:rPr>
          <w:rFonts w:ascii="宋体" w:hAnsi="宋体" w:cs="宋体" w:eastAsia="宋体" w:hint="default"/>
          <w:sz w:val="21"/>
          <w:szCs w:val="21"/>
        </w:rPr>
      </w:r>
    </w:p>
    <w:p>
      <w:pPr>
        <w:pStyle w:val="Heading4"/>
        <w:spacing w:line="240" w:lineRule="auto" w:before="83"/>
        <w:ind w:right="1117"/>
        <w:jc w:val="left"/>
        <w:rPr>
          <w:b w:val="0"/>
          <w:bCs w:val="0"/>
        </w:rPr>
      </w:pPr>
      <w:bookmarkStart w:name="2、利润分配情况" w:id="427"/>
      <w:bookmarkEnd w:id="427"/>
      <w:r>
        <w:rPr>
          <w:b w:val="0"/>
          <w:bCs w:val="0"/>
        </w:rPr>
      </w:r>
      <w:r>
        <w:rPr>
          <w:rFonts w:ascii="Times New Roman" w:hAnsi="Times New Roman" w:cs="Times New Roman" w:eastAsia="Times New Roman" w:hint="default"/>
        </w:rPr>
        <w:t>2</w:t>
      </w:r>
      <w:r>
        <w:rPr/>
        <w:t>、利润分配情况</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1117"/>
        <w:jc w:val="left"/>
        <w:rPr>
          <w:b w:val="0"/>
          <w:bCs w:val="0"/>
        </w:rPr>
      </w:pPr>
      <w:bookmarkStart w:name="3、销售退回" w:id="428"/>
      <w:bookmarkEnd w:id="428"/>
      <w:r>
        <w:rPr>
          <w:b w:val="0"/>
          <w:bCs w:val="0"/>
        </w:rPr>
      </w:r>
      <w:r>
        <w:rPr>
          <w:rFonts w:ascii="Times New Roman" w:hAnsi="Times New Roman" w:cs="Times New Roman" w:eastAsia="Times New Roman" w:hint="default"/>
        </w:rPr>
        <w:t>3</w:t>
      </w:r>
      <w:r>
        <w:rPr/>
        <w:t>、销售退回</w:t>
      </w:r>
      <w:r>
        <w:rPr>
          <w:b w:val="0"/>
          <w:bCs w:val="0"/>
        </w:rPr>
      </w:r>
    </w:p>
    <w:p>
      <w:pPr>
        <w:spacing w:line="240" w:lineRule="auto" w:before="8"/>
        <w:rPr>
          <w:rFonts w:ascii="宋体" w:hAnsi="宋体" w:cs="宋体" w:eastAsia="宋体" w:hint="default"/>
          <w:b/>
          <w:bCs/>
          <w:sz w:val="24"/>
          <w:szCs w:val="24"/>
        </w:rPr>
      </w:pPr>
    </w:p>
    <w:p>
      <w:pPr>
        <w:spacing w:line="487" w:lineRule="auto" w:before="0"/>
        <w:ind w:left="154" w:right="7695" w:firstLine="0"/>
        <w:jc w:val="left"/>
        <w:rPr>
          <w:rFonts w:ascii="宋体" w:hAnsi="宋体" w:cs="宋体" w:eastAsia="宋体" w:hint="default"/>
          <w:sz w:val="21"/>
          <w:szCs w:val="21"/>
        </w:rPr>
      </w:pPr>
      <w:bookmarkStart w:name="4、其他资产负债表日后事项说明" w:id="429"/>
      <w:bookmarkEnd w:id="429"/>
      <w:r>
        <w:rPr/>
      </w: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、其他资产负债表日后事项说明</w:t>
      </w:r>
      <w:r>
        <w:rPr>
          <w:rFonts w:ascii="宋体" w:hAnsi="宋体" w:cs="宋体" w:eastAsia="宋体" w:hint="default"/>
          <w:b/>
          <w:bCs/>
          <w:w w:val="99"/>
          <w:sz w:val="21"/>
          <w:szCs w:val="21"/>
        </w:rPr>
        <w:t> </w:t>
      </w:r>
      <w:bookmarkStart w:name="十六、其他重要事项" w:id="430"/>
      <w:bookmarkEnd w:id="430"/>
      <w:r>
        <w:rPr>
          <w:rFonts w:ascii="宋体" w:hAnsi="宋体" w:cs="宋体" w:eastAsia="宋体" w:hint="default"/>
          <w:b/>
          <w:bCs/>
          <w:w w:val="99"/>
          <w:sz w:val="21"/>
          <w:szCs w:val="21"/>
        </w:rPr>
      </w:r>
      <w:r>
        <w:rPr>
          <w:rFonts w:ascii="宋体" w:hAnsi="宋体" w:cs="宋体" w:eastAsia="宋体" w:hint="default"/>
          <w:b/>
          <w:bCs/>
          <w:sz w:val="24"/>
          <w:szCs w:val="24"/>
        </w:rPr>
        <w:t>十六、其他重要事项</w:t>
      </w:r>
      <w:r>
        <w:rPr>
          <w:rFonts w:ascii="宋体" w:hAnsi="宋体" w:cs="宋体" w:eastAsia="宋体" w:hint="default"/>
          <w:b/>
          <w:bCs/>
          <w:w w:val="99"/>
          <w:sz w:val="24"/>
          <w:szCs w:val="24"/>
        </w:rPr>
        <w:t> </w:t>
      </w:r>
      <w:bookmarkStart w:name="1、前期会计差错更正" w:id="431"/>
      <w:bookmarkEnd w:id="431"/>
      <w:r>
        <w:rPr>
          <w:rFonts w:ascii="宋体" w:hAnsi="宋体" w:cs="宋体" w:eastAsia="宋体" w:hint="default"/>
          <w:b/>
          <w:bCs/>
          <w:w w:val="99"/>
          <w:sz w:val="24"/>
          <w:szCs w:val="24"/>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、前期会计差错更正</w:t>
      </w:r>
      <w:r>
        <w:rPr>
          <w:rFonts w:ascii="宋体" w:hAnsi="宋体" w:cs="宋体" w:eastAsia="宋体" w:hint="default"/>
          <w:sz w:val="21"/>
          <w:szCs w:val="21"/>
        </w:rPr>
      </w:r>
    </w:p>
    <w:p>
      <w:pPr>
        <w:pStyle w:val="Heading4"/>
        <w:spacing w:line="240" w:lineRule="auto" w:before="83"/>
        <w:ind w:right="1117"/>
        <w:jc w:val="left"/>
        <w:rPr>
          <w:b w:val="0"/>
          <w:bCs w:val="0"/>
        </w:rPr>
      </w:pPr>
      <w:bookmarkStart w:name="（1）追溯重述法" w:id="432"/>
      <w:bookmarkEnd w:id="432"/>
      <w:r>
        <w:rPr>
          <w:b w:val="0"/>
          <w:bCs w:val="0"/>
        </w:rPr>
      </w:r>
      <w:r>
        <w:rPr/>
        <w:t>（</w:t>
      </w:r>
      <w:r>
        <w:rPr>
          <w:rFonts w:ascii="Times New Roman" w:hAnsi="Times New Roman" w:cs="Times New Roman" w:eastAsia="Times New Roman" w:hint="default"/>
        </w:rPr>
        <w:t>1</w:t>
      </w:r>
      <w:r>
        <w:rPr/>
        <w:t>）追溯重述法</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1117"/>
        <w:jc w:val="left"/>
        <w:rPr>
          <w:b w:val="0"/>
          <w:bCs w:val="0"/>
        </w:rPr>
      </w:pPr>
      <w:bookmarkStart w:name="（2）未来适用法" w:id="433"/>
      <w:bookmarkEnd w:id="433"/>
      <w:r>
        <w:rPr>
          <w:b w:val="0"/>
          <w:bCs w:val="0"/>
        </w:rPr>
      </w:r>
      <w:r>
        <w:rPr/>
        <w:t>（</w:t>
      </w:r>
      <w:r>
        <w:rPr>
          <w:rFonts w:ascii="Times New Roman" w:hAnsi="Times New Roman" w:cs="Times New Roman" w:eastAsia="Times New Roman" w:hint="default"/>
        </w:rPr>
        <w:t>2</w:t>
      </w:r>
      <w:r>
        <w:rPr/>
        <w:t>）未来适用法</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1117"/>
        <w:jc w:val="left"/>
        <w:rPr>
          <w:b w:val="0"/>
          <w:bCs w:val="0"/>
        </w:rPr>
      </w:pPr>
      <w:bookmarkStart w:name="2、债务重组" w:id="434"/>
      <w:bookmarkEnd w:id="434"/>
      <w:r>
        <w:rPr>
          <w:b w:val="0"/>
          <w:bCs w:val="0"/>
        </w:rPr>
      </w:r>
      <w:r>
        <w:rPr>
          <w:rFonts w:ascii="Times New Roman" w:hAnsi="Times New Roman" w:cs="Times New Roman" w:eastAsia="Times New Roman" w:hint="default"/>
        </w:rPr>
        <w:t>2</w:t>
      </w:r>
      <w:r>
        <w:rPr/>
        <w:t>、债务重组</w:t>
      </w:r>
      <w:r>
        <w:rPr>
          <w:b w:val="0"/>
          <w:bCs w:val="0"/>
        </w:rPr>
      </w:r>
    </w:p>
    <w:p>
      <w:pPr>
        <w:spacing w:line="240" w:lineRule="auto" w:before="9"/>
        <w:rPr>
          <w:rFonts w:ascii="宋体" w:hAnsi="宋体" w:cs="宋体" w:eastAsia="宋体" w:hint="default"/>
          <w:b/>
          <w:bCs/>
          <w:sz w:val="24"/>
          <w:szCs w:val="24"/>
        </w:rPr>
      </w:pPr>
    </w:p>
    <w:p>
      <w:pPr>
        <w:pStyle w:val="Heading4"/>
        <w:spacing w:line="240" w:lineRule="auto"/>
        <w:ind w:right="1117"/>
        <w:jc w:val="left"/>
        <w:rPr>
          <w:b w:val="0"/>
          <w:bCs w:val="0"/>
        </w:rPr>
      </w:pPr>
      <w:bookmarkStart w:name="3、资产置换" w:id="435"/>
      <w:bookmarkEnd w:id="435"/>
      <w:r>
        <w:rPr>
          <w:b w:val="0"/>
          <w:bCs w:val="0"/>
        </w:rPr>
      </w:r>
      <w:r>
        <w:rPr>
          <w:rFonts w:ascii="Times New Roman" w:hAnsi="Times New Roman" w:cs="Times New Roman" w:eastAsia="Times New Roman" w:hint="default"/>
        </w:rPr>
        <w:t>3</w:t>
      </w:r>
      <w:r>
        <w:rPr/>
        <w:t>、资产置换</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1117"/>
        <w:jc w:val="left"/>
        <w:rPr>
          <w:b w:val="0"/>
          <w:bCs w:val="0"/>
        </w:rPr>
      </w:pPr>
      <w:bookmarkStart w:name="（1）非货币性资产交换" w:id="436"/>
      <w:bookmarkEnd w:id="436"/>
      <w:r>
        <w:rPr>
          <w:b w:val="0"/>
          <w:bCs w:val="0"/>
        </w:rPr>
      </w:r>
      <w:r>
        <w:rPr/>
        <w:t>（</w:t>
      </w:r>
      <w:r>
        <w:rPr>
          <w:rFonts w:ascii="Times New Roman" w:hAnsi="Times New Roman" w:cs="Times New Roman" w:eastAsia="Times New Roman" w:hint="default"/>
        </w:rPr>
        <w:t>1</w:t>
      </w:r>
      <w:r>
        <w:rPr/>
        <w:t>）非货币性资产交换</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1117"/>
        <w:jc w:val="left"/>
        <w:rPr>
          <w:b w:val="0"/>
          <w:bCs w:val="0"/>
        </w:rPr>
      </w:pPr>
      <w:bookmarkStart w:name="（2）其他资产置换" w:id="437"/>
      <w:bookmarkEnd w:id="437"/>
      <w:r>
        <w:rPr>
          <w:b w:val="0"/>
          <w:bCs w:val="0"/>
        </w:rPr>
      </w:r>
      <w:r>
        <w:rPr/>
        <w:t>（</w:t>
      </w:r>
      <w:r>
        <w:rPr>
          <w:rFonts w:ascii="Times New Roman" w:hAnsi="Times New Roman" w:cs="Times New Roman" w:eastAsia="Times New Roman" w:hint="default"/>
        </w:rPr>
        <w:t>2</w:t>
      </w:r>
      <w:r>
        <w:rPr/>
        <w:t>）其他资产置换</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1117"/>
        <w:jc w:val="left"/>
        <w:rPr>
          <w:b w:val="0"/>
          <w:bCs w:val="0"/>
        </w:rPr>
      </w:pPr>
      <w:bookmarkStart w:name="4、年金计划" w:id="438"/>
      <w:bookmarkEnd w:id="438"/>
      <w:r>
        <w:rPr>
          <w:b w:val="0"/>
          <w:bCs w:val="0"/>
        </w:rPr>
      </w:r>
      <w:r>
        <w:rPr>
          <w:rFonts w:ascii="Times New Roman" w:hAnsi="Times New Roman" w:cs="Times New Roman" w:eastAsia="Times New Roman" w:hint="default"/>
        </w:rPr>
        <w:t>4</w:t>
      </w:r>
      <w:r>
        <w:rPr/>
        <w:t>、年金计划</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1117"/>
        <w:jc w:val="left"/>
        <w:rPr>
          <w:b w:val="0"/>
          <w:bCs w:val="0"/>
        </w:rPr>
      </w:pPr>
      <w:bookmarkStart w:name="5、终止经营" w:id="439"/>
      <w:bookmarkEnd w:id="439"/>
      <w:r>
        <w:rPr>
          <w:b w:val="0"/>
          <w:bCs w:val="0"/>
        </w:rPr>
      </w:r>
      <w:r>
        <w:rPr>
          <w:rFonts w:ascii="Times New Roman" w:hAnsi="Times New Roman" w:cs="Times New Roman" w:eastAsia="Times New Roman" w:hint="default"/>
        </w:rPr>
        <w:t>5</w:t>
      </w:r>
      <w:r>
        <w:rPr/>
        <w:t>、终止经营</w:t>
      </w:r>
      <w:r>
        <w:rPr>
          <w:b w:val="0"/>
          <w:bCs w:val="0"/>
        </w:rPr>
      </w:r>
    </w:p>
    <w:p>
      <w:pPr>
        <w:spacing w:line="240" w:lineRule="auto" w:before="8"/>
        <w:rPr>
          <w:rFonts w:ascii="宋体" w:hAnsi="宋体" w:cs="宋体" w:eastAsia="宋体" w:hint="default"/>
          <w:b/>
          <w:bCs/>
          <w:sz w:val="26"/>
          <w:szCs w:val="26"/>
        </w:rPr>
      </w:pPr>
    </w:p>
    <w:p>
      <w:pPr>
        <w:spacing w:before="0"/>
        <w:ind w:left="154" w:right="1117"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after="0"/>
        <w:jc w:val="left"/>
        <w:rPr>
          <w:rFonts w:ascii="宋体" w:hAnsi="宋体" w:cs="宋体" w:eastAsia="宋体" w:hint="default"/>
          <w:sz w:val="18"/>
          <w:szCs w:val="18"/>
        </w:rPr>
        <w:sectPr>
          <w:pgSz w:w="11910" w:h="16840"/>
          <w:pgMar w:header="877" w:footer="979" w:top="1060" w:bottom="1160" w:left="980" w:right="0"/>
        </w:sectPr>
      </w:pPr>
    </w:p>
    <w:p>
      <w:pPr>
        <w:spacing w:line="240" w:lineRule="auto" w:before="9"/>
        <w:rPr>
          <w:rFonts w:ascii="宋体" w:hAnsi="宋体" w:cs="宋体" w:eastAsia="宋体" w:hint="default"/>
          <w:sz w:val="24"/>
          <w:szCs w:val="24"/>
        </w:rPr>
      </w:pPr>
    </w:p>
    <w:p>
      <w:pPr>
        <w:pStyle w:val="Heading4"/>
        <w:spacing w:line="240" w:lineRule="auto" w:before="35"/>
        <w:ind w:right="1117"/>
        <w:jc w:val="left"/>
        <w:rPr>
          <w:b w:val="0"/>
          <w:bCs w:val="0"/>
        </w:rPr>
      </w:pPr>
      <w:bookmarkStart w:name="6、分部信息" w:id="440"/>
      <w:bookmarkEnd w:id="440"/>
      <w:r>
        <w:rPr>
          <w:b w:val="0"/>
          <w:bCs w:val="0"/>
        </w:rPr>
      </w:r>
      <w:r>
        <w:rPr>
          <w:rFonts w:ascii="Times New Roman" w:hAnsi="Times New Roman" w:cs="Times New Roman" w:eastAsia="Times New Roman" w:hint="default"/>
        </w:rPr>
        <w:t>6</w:t>
      </w:r>
      <w:r>
        <w:rPr/>
        <w:t>、分部信息</w:t>
      </w:r>
      <w:r>
        <w:rPr>
          <w:b w:val="0"/>
          <w:bCs w:val="0"/>
        </w:rPr>
      </w:r>
    </w:p>
    <w:p>
      <w:pPr>
        <w:spacing w:line="240" w:lineRule="auto" w:before="10"/>
        <w:rPr>
          <w:rFonts w:ascii="宋体" w:hAnsi="宋体" w:cs="宋体" w:eastAsia="宋体" w:hint="default"/>
          <w:b/>
          <w:bCs/>
          <w:sz w:val="24"/>
          <w:szCs w:val="24"/>
        </w:rPr>
      </w:pPr>
    </w:p>
    <w:p>
      <w:pPr>
        <w:pStyle w:val="Heading4"/>
        <w:spacing w:line="240" w:lineRule="auto"/>
        <w:ind w:right="1117"/>
        <w:jc w:val="left"/>
        <w:rPr>
          <w:b w:val="0"/>
          <w:bCs w:val="0"/>
        </w:rPr>
      </w:pPr>
      <w:bookmarkStart w:name="（1）报告分部的确定依据与会计政策" w:id="441"/>
      <w:bookmarkEnd w:id="441"/>
      <w:r>
        <w:rPr>
          <w:b w:val="0"/>
          <w:bCs w:val="0"/>
        </w:rPr>
      </w:r>
      <w:r>
        <w:rPr/>
        <w:t>（</w:t>
      </w:r>
      <w:r>
        <w:rPr>
          <w:rFonts w:ascii="Times New Roman" w:hAnsi="Times New Roman" w:cs="Times New Roman" w:eastAsia="Times New Roman" w:hint="default"/>
        </w:rPr>
        <w:t>1</w:t>
      </w:r>
      <w:r>
        <w:rPr/>
        <w:t>）报告分部的确定依据与会计政策</w:t>
      </w:r>
      <w:r>
        <w:rPr>
          <w:b w:val="0"/>
          <w:bCs w:val="0"/>
        </w:rPr>
      </w:r>
    </w:p>
    <w:p>
      <w:pPr>
        <w:spacing w:line="240" w:lineRule="auto" w:before="9"/>
        <w:rPr>
          <w:rFonts w:ascii="宋体" w:hAnsi="宋体" w:cs="宋体" w:eastAsia="宋体" w:hint="default"/>
          <w:b/>
          <w:bCs/>
          <w:sz w:val="24"/>
          <w:szCs w:val="24"/>
        </w:rPr>
      </w:pPr>
    </w:p>
    <w:p>
      <w:pPr>
        <w:pStyle w:val="Heading4"/>
        <w:spacing w:line="240" w:lineRule="auto"/>
        <w:ind w:right="1117"/>
        <w:jc w:val="left"/>
        <w:rPr>
          <w:b w:val="0"/>
          <w:bCs w:val="0"/>
        </w:rPr>
      </w:pPr>
      <w:bookmarkStart w:name="（2）报告分部的财务信息" w:id="442"/>
      <w:bookmarkEnd w:id="442"/>
      <w:r>
        <w:rPr>
          <w:b w:val="0"/>
          <w:bCs w:val="0"/>
        </w:rPr>
      </w:r>
      <w:r>
        <w:rPr/>
        <w:t>（</w:t>
      </w:r>
      <w:r>
        <w:rPr>
          <w:rFonts w:ascii="Times New Roman" w:hAnsi="Times New Roman" w:cs="Times New Roman" w:eastAsia="Times New Roman" w:hint="default"/>
        </w:rPr>
        <w:t>2</w:t>
      </w:r>
      <w:r>
        <w:rPr/>
        <w:t>）报告分部的财务信息</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1117"/>
        <w:jc w:val="left"/>
        <w:rPr>
          <w:b w:val="0"/>
          <w:bCs w:val="0"/>
        </w:rPr>
      </w:pPr>
      <w:bookmarkStart w:name="（3）公司无报告分部的，或者不能披露各报告分部的资产总额和负债总额的，应说明原因" w:id="443"/>
      <w:bookmarkEnd w:id="443"/>
      <w:r>
        <w:rPr>
          <w:b w:val="0"/>
          <w:bCs w:val="0"/>
        </w:rPr>
      </w:r>
      <w:r>
        <w:rPr/>
        <w:t>（</w:t>
      </w:r>
      <w:r>
        <w:rPr>
          <w:rFonts w:ascii="Times New Roman" w:hAnsi="Times New Roman" w:cs="Times New Roman" w:eastAsia="Times New Roman" w:hint="default"/>
        </w:rPr>
        <w:t>3</w:t>
      </w:r>
      <w:r>
        <w:rPr/>
        <w:t>）公司无报告分部的，或者不能披露各报告分部的资产总额和负债总额的，应说明原因</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1117"/>
        <w:jc w:val="left"/>
        <w:rPr>
          <w:b w:val="0"/>
          <w:bCs w:val="0"/>
        </w:rPr>
      </w:pPr>
      <w:bookmarkStart w:name="（4）其他说明" w:id="444"/>
      <w:bookmarkEnd w:id="444"/>
      <w:r>
        <w:rPr>
          <w:b w:val="0"/>
          <w:bCs w:val="0"/>
        </w:rPr>
      </w:r>
      <w:r>
        <w:rPr/>
        <w:t>（</w:t>
      </w:r>
      <w:r>
        <w:rPr>
          <w:rFonts w:ascii="Times New Roman" w:hAnsi="Times New Roman" w:cs="Times New Roman" w:eastAsia="Times New Roman" w:hint="default"/>
        </w:rPr>
        <w:t>4</w:t>
      </w:r>
      <w:r>
        <w:rPr/>
        <w:t>）其他说明</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1117"/>
        <w:jc w:val="left"/>
        <w:rPr>
          <w:b w:val="0"/>
          <w:bCs w:val="0"/>
        </w:rPr>
      </w:pPr>
      <w:bookmarkStart w:name="7、其他对投资者决策有影响的重要交易和事项" w:id="445"/>
      <w:bookmarkEnd w:id="445"/>
      <w:r>
        <w:rPr>
          <w:b w:val="0"/>
          <w:bCs w:val="0"/>
        </w:rPr>
      </w:r>
      <w:r>
        <w:rPr>
          <w:rFonts w:ascii="Times New Roman" w:hAnsi="Times New Roman" w:cs="Times New Roman" w:eastAsia="Times New Roman" w:hint="default"/>
        </w:rPr>
        <w:t>7</w:t>
      </w:r>
      <w:r>
        <w:rPr/>
        <w:t>、其他对投资者决策有影响的重要交易和事项</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1117"/>
        <w:jc w:val="left"/>
        <w:rPr>
          <w:b w:val="0"/>
          <w:bCs w:val="0"/>
        </w:rPr>
      </w:pPr>
      <w:bookmarkStart w:name="8、其他" w:id="446"/>
      <w:bookmarkEnd w:id="446"/>
      <w:r>
        <w:rPr>
          <w:b w:val="0"/>
          <w:bCs w:val="0"/>
        </w:rPr>
      </w:r>
      <w:r>
        <w:rPr>
          <w:rFonts w:ascii="Times New Roman" w:hAnsi="Times New Roman" w:cs="Times New Roman" w:eastAsia="Times New Roman" w:hint="default"/>
        </w:rPr>
        <w:t>8</w:t>
      </w:r>
      <w:r>
        <w:rPr/>
        <w:t>、其他</w:t>
      </w:r>
      <w:r>
        <w:rPr>
          <w:b w:val="0"/>
          <w:bCs w:val="0"/>
        </w:rPr>
      </w:r>
    </w:p>
    <w:p>
      <w:pPr>
        <w:spacing w:line="240" w:lineRule="auto" w:before="8"/>
        <w:rPr>
          <w:rFonts w:ascii="宋体" w:hAnsi="宋体" w:cs="宋体" w:eastAsia="宋体" w:hint="default"/>
          <w:b/>
          <w:bCs/>
          <w:sz w:val="30"/>
          <w:szCs w:val="30"/>
        </w:rPr>
      </w:pPr>
    </w:p>
    <w:p>
      <w:pPr>
        <w:pStyle w:val="BodyText"/>
        <w:spacing w:line="386" w:lineRule="auto" w:before="0"/>
        <w:ind w:right="1176" w:firstLine="423"/>
        <w:jc w:val="left"/>
      </w:pPr>
      <w:r>
        <w:rPr/>
        <w:t>截至</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日，杨维国先生持有公司股份</w:t>
      </w:r>
      <w:r>
        <w:rPr>
          <w:rFonts w:ascii="Times New Roman" w:hAnsi="Times New Roman" w:cs="Times New Roman" w:eastAsia="Times New Roman" w:hint="default"/>
        </w:rPr>
        <w:t>94,159,108</w:t>
      </w:r>
      <w:r>
        <w:rPr/>
        <w:t>股，占公司总股本的</w:t>
      </w:r>
      <w:r>
        <w:rPr>
          <w:rFonts w:ascii="Times New Roman" w:hAnsi="Times New Roman" w:cs="Times New Roman" w:eastAsia="Times New Roman" w:hint="default"/>
        </w:rPr>
        <w:t>19.57%</w:t>
      </w:r>
      <w:r>
        <w:rPr/>
        <w:t>，累计质押股 份数为</w:t>
      </w:r>
      <w:r>
        <w:rPr>
          <w:rFonts w:ascii="Times New Roman" w:hAnsi="Times New Roman" w:cs="Times New Roman" w:eastAsia="Times New Roman" w:hint="default"/>
        </w:rPr>
        <w:t>36,500,365</w:t>
      </w:r>
      <w:r>
        <w:rPr/>
        <w:t>股，占其持有公司股份总数的比例为</w:t>
      </w:r>
      <w:r>
        <w:rPr>
          <w:rFonts w:ascii="Times New Roman" w:hAnsi="Times New Roman" w:cs="Times New Roman" w:eastAsia="Times New Roman" w:hint="default"/>
        </w:rPr>
        <w:t>38.76%</w:t>
      </w:r>
      <w:r>
        <w:rPr/>
        <w:t>，占公司总股本的比例为</w:t>
      </w:r>
      <w:r>
        <w:rPr>
          <w:rFonts w:ascii="Times New Roman" w:hAnsi="Times New Roman" w:cs="Times New Roman" w:eastAsia="Times New Roman" w:hint="default"/>
        </w:rPr>
        <w:t>7.59%</w:t>
      </w:r>
      <w:r>
        <w:rPr/>
        <w:t>。</w:t>
      </w:r>
    </w:p>
    <w:p>
      <w:pPr>
        <w:spacing w:line="240" w:lineRule="auto" w:before="0"/>
        <w:rPr>
          <w:rFonts w:ascii="宋体" w:hAnsi="宋体" w:cs="宋体" w:eastAsia="宋体" w:hint="default"/>
          <w:sz w:val="18"/>
          <w:szCs w:val="18"/>
        </w:rPr>
      </w:pPr>
    </w:p>
    <w:p>
      <w:pPr>
        <w:pStyle w:val="Heading2"/>
        <w:spacing w:line="240" w:lineRule="auto"/>
        <w:ind w:right="1117"/>
        <w:jc w:val="left"/>
        <w:rPr>
          <w:b w:val="0"/>
          <w:bCs w:val="0"/>
        </w:rPr>
      </w:pPr>
      <w:bookmarkStart w:name="十七、母公司财务报表主要项目注释" w:id="447"/>
      <w:bookmarkEnd w:id="447"/>
      <w:r>
        <w:rPr>
          <w:b w:val="0"/>
          <w:bCs w:val="0"/>
        </w:rPr>
      </w:r>
      <w:r>
        <w:rPr/>
        <w:t>十七、母公司财务报表主要项目注释</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1117"/>
        <w:jc w:val="left"/>
        <w:rPr>
          <w:b w:val="0"/>
          <w:bCs w:val="0"/>
        </w:rPr>
      </w:pPr>
      <w:bookmarkStart w:name="1、应收票据及应收账款" w:id="448"/>
      <w:bookmarkEnd w:id="448"/>
      <w:r>
        <w:rPr>
          <w:b w:val="0"/>
          <w:bCs w:val="0"/>
        </w:rPr>
      </w:r>
      <w:r>
        <w:rPr>
          <w:rFonts w:ascii="Times New Roman" w:hAnsi="Times New Roman" w:cs="Times New Roman" w:eastAsia="Times New Roman" w:hint="default"/>
        </w:rPr>
        <w:t>1</w:t>
      </w:r>
      <w:r>
        <w:rPr/>
        <w:t>、应收票据及应收账款</w:t>
      </w:r>
      <w:r>
        <w:rPr>
          <w:b w:val="0"/>
          <w:bCs w:val="0"/>
        </w:rPr>
      </w:r>
    </w:p>
    <w:p>
      <w:pPr>
        <w:spacing w:line="240" w:lineRule="auto" w:before="8"/>
        <w:rPr>
          <w:rFonts w:ascii="宋体" w:hAnsi="宋体" w:cs="宋体" w:eastAsia="宋体" w:hint="default"/>
          <w:b/>
          <w:bCs/>
          <w:sz w:val="26"/>
          <w:szCs w:val="26"/>
        </w:rPr>
      </w:pPr>
    </w:p>
    <w:p>
      <w:pPr>
        <w:spacing w:before="0"/>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167"/>
        <w:gridCol w:w="3202"/>
        <w:gridCol w:w="3190"/>
      </w:tblGrid>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202,000.00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575,610.00</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308,435,199.25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220,191,875.62</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308,637,199.25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220,767,485.62</w:t>
            </w:r>
          </w:p>
        </w:tc>
      </w:tr>
    </w:tbl>
    <w:p>
      <w:pPr>
        <w:spacing w:line="240" w:lineRule="auto" w:before="2"/>
        <w:rPr>
          <w:rFonts w:ascii="宋体" w:hAnsi="宋体" w:cs="宋体" w:eastAsia="宋体" w:hint="default"/>
          <w:sz w:val="19"/>
          <w:szCs w:val="19"/>
        </w:rPr>
      </w:pPr>
    </w:p>
    <w:p>
      <w:pPr>
        <w:pStyle w:val="Heading4"/>
        <w:spacing w:line="240" w:lineRule="auto" w:before="35"/>
        <w:ind w:right="1117"/>
        <w:jc w:val="left"/>
        <w:rPr>
          <w:b w:val="0"/>
          <w:bCs w:val="0"/>
        </w:rPr>
      </w:pPr>
      <w:bookmarkStart w:name="（1）应收票据" w:id="449"/>
      <w:bookmarkEnd w:id="449"/>
      <w:r>
        <w:rPr>
          <w:b w:val="0"/>
          <w:bCs w:val="0"/>
        </w:rPr>
      </w:r>
      <w:r>
        <w:rPr/>
        <w:t>（</w:t>
      </w:r>
      <w:r>
        <w:rPr>
          <w:rFonts w:ascii="Times New Roman" w:hAnsi="Times New Roman" w:cs="Times New Roman" w:eastAsia="Times New Roman" w:hint="default"/>
        </w:rPr>
        <w:t>1</w:t>
      </w:r>
      <w:r>
        <w:rPr/>
        <w:t>）应收票据</w:t>
      </w:r>
      <w:r>
        <w:rPr>
          <w:b w:val="0"/>
          <w:bCs w:val="0"/>
        </w:rPr>
      </w:r>
    </w:p>
    <w:p>
      <w:pPr>
        <w:spacing w:line="240" w:lineRule="auto" w:before="3"/>
        <w:rPr>
          <w:rFonts w:ascii="宋体" w:hAnsi="宋体" w:cs="宋体" w:eastAsia="宋体" w:hint="default"/>
          <w:b/>
          <w:bCs/>
          <w:sz w:val="23"/>
          <w:szCs w:val="23"/>
        </w:rPr>
      </w:pPr>
    </w:p>
    <w:p>
      <w:pPr>
        <w:spacing w:before="44"/>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应收票据分类列示</w:t>
      </w:r>
    </w:p>
    <w:p>
      <w:pPr>
        <w:spacing w:before="103"/>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167"/>
        <w:gridCol w:w="3202"/>
        <w:gridCol w:w="3190"/>
      </w:tblGrid>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银行承兑票据</w:t>
            </w:r>
          </w:p>
        </w:tc>
        <w:tc>
          <w:tcPr>
            <w:tcW w:w="3202" w:type="dxa"/>
            <w:tcBorders>
              <w:top w:val="single" w:sz="4" w:space="0" w:color="000000"/>
              <w:left w:val="single" w:sz="13" w:space="0" w:color="D2D2D2"/>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575,610.00</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商业承兑票据</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202,000.00</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202,000.00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575,610.00</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79" w:top="1060" w:bottom="1160" w:left="980" w:right="0"/>
        </w:sectPr>
      </w:pPr>
    </w:p>
    <w:p>
      <w:pPr>
        <w:spacing w:before="51"/>
        <w:ind w:left="154" w:right="-2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期末公司已质押的应收票据</w:t>
      </w:r>
    </w:p>
    <w:p>
      <w:pPr>
        <w:spacing w:before="103"/>
        <w:ind w:left="154" w:right="-2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期末公司已背书或贴现且在资产负债表日尚未到期的应收票据</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21"/>
          <w:szCs w:val="21"/>
        </w:rPr>
      </w:pPr>
    </w:p>
    <w:p>
      <w:pPr>
        <w:spacing w:before="0"/>
        <w:ind w:left="153" w:right="0" w:firstLine="0"/>
        <w:jc w:val="left"/>
        <w:rPr>
          <w:rFonts w:ascii="宋体" w:hAnsi="宋体" w:cs="宋体" w:eastAsia="宋体" w:hint="default"/>
          <w:sz w:val="18"/>
          <w:szCs w:val="18"/>
        </w:rPr>
      </w:pPr>
      <w:r>
        <w:rPr>
          <w:rFonts w:ascii="宋体" w:hAnsi="宋体" w:cs="宋体" w:eastAsia="宋体" w:hint="default"/>
          <w:sz w:val="18"/>
          <w:szCs w:val="18"/>
        </w:rPr>
        <w:t>单位：元</w:t>
      </w:r>
    </w:p>
    <w:p>
      <w:pPr>
        <w:spacing w:after="0"/>
        <w:jc w:val="left"/>
        <w:rPr>
          <w:rFonts w:ascii="宋体" w:hAnsi="宋体" w:cs="宋体" w:eastAsia="宋体" w:hint="default"/>
          <w:sz w:val="18"/>
          <w:szCs w:val="18"/>
        </w:rPr>
        <w:sectPr>
          <w:type w:val="continuous"/>
          <w:pgSz w:w="11910" w:h="16840"/>
          <w:pgMar w:top="1060" w:bottom="1160" w:left="980" w:right="0"/>
          <w:cols w:num="2" w:equalWidth="0">
            <w:col w:w="5165" w:space="3755"/>
            <w:col w:w="2010"/>
          </w:cols>
        </w:sectPr>
      </w:pP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7"/>
        <w:gridCol w:w="3202"/>
        <w:gridCol w:w="3190"/>
      </w:tblGrid>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82" w:right="0"/>
              <w:jc w:val="left"/>
              <w:rPr>
                <w:rFonts w:ascii="宋体" w:hAnsi="宋体" w:cs="宋体" w:eastAsia="宋体" w:hint="default"/>
                <w:sz w:val="18"/>
                <w:szCs w:val="18"/>
              </w:rPr>
            </w:pPr>
            <w:r>
              <w:rPr>
                <w:rFonts w:ascii="宋体" w:hAnsi="宋体" w:cs="宋体" w:eastAsia="宋体" w:hint="default"/>
                <w:sz w:val="18"/>
                <w:szCs w:val="18"/>
              </w:rPr>
              <w:t>期末终止确认金额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80" w:right="0"/>
              <w:jc w:val="left"/>
              <w:rPr>
                <w:rFonts w:ascii="宋体" w:hAnsi="宋体" w:cs="宋体" w:eastAsia="宋体" w:hint="default"/>
                <w:sz w:val="18"/>
                <w:szCs w:val="18"/>
              </w:rPr>
            </w:pPr>
            <w:r>
              <w:rPr>
                <w:rFonts w:ascii="宋体" w:hAnsi="宋体" w:cs="宋体" w:eastAsia="宋体" w:hint="default"/>
                <w:sz w:val="18"/>
                <w:szCs w:val="18"/>
              </w:rPr>
              <w:t>期末未终止确认金额</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银行承兑票据</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6,474,770.14</w:t>
            </w:r>
          </w:p>
        </w:tc>
        <w:tc>
          <w:tcPr>
            <w:tcW w:w="3190" w:type="dxa"/>
            <w:tcBorders>
              <w:top w:val="single" w:sz="4" w:space="0" w:color="000000"/>
              <w:left w:val="single" w:sz="4" w:space="0" w:color="000000"/>
              <w:bottom w:val="single" w:sz="4" w:space="0" w:color="000000"/>
              <w:right w:val="single" w:sz="4" w:space="0" w:color="000000"/>
            </w:tcBorders>
          </w:tcPr>
          <w:p>
            <w:pPr/>
          </w:p>
        </w:tc>
      </w:tr>
    </w:tbl>
    <w:p>
      <w:pPr>
        <w:spacing w:after="0"/>
        <w:sectPr>
          <w:type w:val="continuous"/>
          <w:pgSz w:w="11910" w:h="16840"/>
          <w:pgMar w:top="1060" w:bottom="1160" w:left="980" w:right="0"/>
        </w:sectPr>
      </w:pPr>
    </w:p>
    <w:p>
      <w:pPr>
        <w:spacing w:line="240" w:lineRule="auto" w:before="6"/>
        <w:rPr>
          <w:rFonts w:ascii="宋体" w:hAnsi="宋体" w:cs="宋体" w:eastAsia="宋体" w:hint="default"/>
          <w:sz w:val="28"/>
          <w:szCs w:val="28"/>
        </w:rPr>
      </w:pPr>
    </w:p>
    <w:tbl>
      <w:tblPr>
        <w:tblW w:w="0" w:type="auto"/>
        <w:jc w:val="left"/>
        <w:tblInd w:w="146" w:type="dxa"/>
        <w:tblLayout w:type="fixed"/>
        <w:tblCellMar>
          <w:top w:w="0" w:type="dxa"/>
          <w:left w:w="0" w:type="dxa"/>
          <w:bottom w:w="0" w:type="dxa"/>
          <w:right w:w="0" w:type="dxa"/>
        </w:tblCellMar>
        <w:tblLook w:val="01E0"/>
      </w:tblPr>
      <w:tblGrid>
        <w:gridCol w:w="3192"/>
        <w:gridCol w:w="3191"/>
        <w:gridCol w:w="3190"/>
      </w:tblGrid>
      <w:tr>
        <w:trPr>
          <w:trHeight w:val="402" w:hRule="exact"/>
        </w:trPr>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6,474,770.14</w:t>
            </w:r>
          </w:p>
        </w:tc>
        <w:tc>
          <w:tcPr>
            <w:tcW w:w="3190"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sz w:val="19"/>
          <w:szCs w:val="19"/>
        </w:rPr>
      </w:pPr>
    </w:p>
    <w:p>
      <w:pPr>
        <w:pStyle w:val="Heading4"/>
        <w:spacing w:line="240" w:lineRule="auto" w:before="35"/>
        <w:ind w:right="1117"/>
        <w:jc w:val="left"/>
        <w:rPr>
          <w:b w:val="0"/>
          <w:bCs w:val="0"/>
        </w:rPr>
      </w:pPr>
      <w:bookmarkStart w:name="4)期末公司因出票人未履约而将其转应收账款的票据" w:id="450"/>
      <w:bookmarkEnd w:id="450"/>
      <w:r>
        <w:rPr>
          <w:b w:val="0"/>
          <w:bCs w:val="0"/>
        </w:rPr>
      </w:r>
      <w:r>
        <w:rPr>
          <w:rFonts w:ascii="Times New Roman" w:hAnsi="Times New Roman" w:cs="Times New Roman" w:eastAsia="Times New Roman" w:hint="default"/>
        </w:rPr>
        <w:t>4)</w:t>
      </w:r>
      <w:r>
        <w:rPr/>
        <w:t>期末公司因出票人未履约而将其转应收账款的票据</w:t>
      </w:r>
      <w:r>
        <w:rPr>
          <w:b w:val="0"/>
          <w:bCs w:val="0"/>
        </w:rPr>
      </w:r>
    </w:p>
    <w:p>
      <w:pPr>
        <w:spacing w:line="240" w:lineRule="auto" w:before="8"/>
        <w:rPr>
          <w:rFonts w:ascii="宋体" w:hAnsi="宋体" w:cs="宋体" w:eastAsia="宋体" w:hint="default"/>
          <w:b/>
          <w:bCs/>
          <w:sz w:val="26"/>
          <w:szCs w:val="26"/>
        </w:rPr>
      </w:pPr>
    </w:p>
    <w:p>
      <w:pPr>
        <w:spacing w:before="0"/>
        <w:ind w:left="154" w:right="1117"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pStyle w:val="Heading4"/>
        <w:spacing w:line="240" w:lineRule="auto"/>
        <w:ind w:right="1117"/>
        <w:jc w:val="left"/>
        <w:rPr>
          <w:b w:val="0"/>
          <w:bCs w:val="0"/>
        </w:rPr>
      </w:pPr>
      <w:bookmarkStart w:name="（2）应收账款" w:id="451"/>
      <w:bookmarkEnd w:id="451"/>
      <w:r>
        <w:rPr>
          <w:b w:val="0"/>
          <w:bCs w:val="0"/>
        </w:rPr>
      </w:r>
      <w:r>
        <w:rPr/>
        <w:t>（</w:t>
      </w:r>
      <w:r>
        <w:rPr>
          <w:rFonts w:ascii="Times New Roman" w:hAnsi="Times New Roman" w:cs="Times New Roman" w:eastAsia="Times New Roman" w:hint="default"/>
        </w:rPr>
        <w:t>2</w:t>
      </w:r>
      <w:r>
        <w:rPr/>
        <w:t>）应收账款</w:t>
      </w:r>
      <w:r>
        <w:rPr>
          <w:b w:val="0"/>
          <w:bCs w:val="0"/>
        </w:rPr>
      </w:r>
    </w:p>
    <w:p>
      <w:pPr>
        <w:spacing w:line="240" w:lineRule="auto" w:before="3"/>
        <w:rPr>
          <w:rFonts w:ascii="宋体" w:hAnsi="宋体" w:cs="宋体" w:eastAsia="宋体" w:hint="default"/>
          <w:b/>
          <w:bCs/>
          <w:sz w:val="23"/>
          <w:szCs w:val="23"/>
        </w:rPr>
      </w:pPr>
    </w:p>
    <w:p>
      <w:pPr>
        <w:spacing w:before="44"/>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应收账款分类披露</w:t>
      </w:r>
    </w:p>
    <w:p>
      <w:pPr>
        <w:spacing w:before="103"/>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635"/>
        <w:gridCol w:w="763"/>
        <w:gridCol w:w="762"/>
        <w:gridCol w:w="762"/>
        <w:gridCol w:w="762"/>
        <w:gridCol w:w="790"/>
        <w:gridCol w:w="654"/>
        <w:gridCol w:w="762"/>
        <w:gridCol w:w="813"/>
        <w:gridCol w:w="932"/>
        <w:gridCol w:w="932"/>
      </w:tblGrid>
      <w:tr>
        <w:trPr>
          <w:trHeight w:val="397" w:hRule="exact"/>
        </w:trPr>
        <w:tc>
          <w:tcPr>
            <w:tcW w:w="1635" w:type="dxa"/>
            <w:vMerge w:val="restart"/>
            <w:tcBorders>
              <w:top w:val="single" w:sz="4" w:space="0" w:color="000000"/>
              <w:left w:val="single" w:sz="4" w:space="0" w:color="000000"/>
              <w:right w:val="single" w:sz="4" w:space="0" w:color="000000"/>
            </w:tcBorders>
            <w:shd w:val="clear" w:color="auto" w:fill="D2D2D2"/>
          </w:tcPr>
          <w:p>
            <w:pPr/>
          </w:p>
        </w:tc>
        <w:tc>
          <w:tcPr>
            <w:tcW w:w="3839"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094"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66" w:hRule="exact"/>
        </w:trPr>
        <w:tc>
          <w:tcPr>
            <w:tcW w:w="1635" w:type="dxa"/>
            <w:vMerge/>
            <w:tcBorders>
              <w:left w:val="single" w:sz="4" w:space="0" w:color="000000"/>
              <w:bottom w:val="nil" w:sz="6" w:space="0" w:color="auto"/>
              <w:right w:val="single" w:sz="4" w:space="0" w:color="000000"/>
            </w:tcBorders>
            <w:shd w:val="clear" w:color="auto" w:fill="D2D2D2"/>
          </w:tcPr>
          <w:p>
            <w:pPr/>
          </w:p>
        </w:tc>
        <w:tc>
          <w:tcPr>
            <w:tcW w:w="1525"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9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24"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97"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790" w:type="dxa"/>
            <w:vMerge w:val="restart"/>
            <w:tcBorders>
              <w:top w:val="single" w:sz="4" w:space="0" w:color="000000"/>
              <w:left w:val="single" w:sz="4" w:space="0" w:color="000000"/>
              <w:right w:val="single" w:sz="4" w:space="0" w:color="000000"/>
            </w:tcBorders>
            <w:shd w:val="clear" w:color="auto" w:fill="D2D2D2"/>
          </w:tcPr>
          <w:p>
            <w:pPr/>
          </w:p>
        </w:tc>
        <w:tc>
          <w:tcPr>
            <w:tcW w:w="1416"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42"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745"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506"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932" w:type="dxa"/>
            <w:vMerge w:val="restart"/>
            <w:tcBorders>
              <w:top w:val="single" w:sz="4" w:space="0" w:color="000000"/>
              <w:left w:val="single" w:sz="4" w:space="0" w:color="000000"/>
              <w:right w:val="single" w:sz="4" w:space="0" w:color="000000"/>
            </w:tcBorders>
            <w:shd w:val="clear" w:color="auto" w:fill="D2D2D2"/>
          </w:tcPr>
          <w:p>
            <w:pPr/>
          </w:p>
        </w:tc>
      </w:tr>
      <w:tr>
        <w:trPr>
          <w:trHeight w:val="241" w:hRule="exact"/>
        </w:trPr>
        <w:tc>
          <w:tcPr>
            <w:tcW w:w="1635"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类别</w:t>
            </w:r>
          </w:p>
        </w:tc>
        <w:tc>
          <w:tcPr>
            <w:tcW w:w="1525" w:type="dxa"/>
            <w:gridSpan w:val="2"/>
            <w:vMerge/>
            <w:tcBorders>
              <w:left w:val="single" w:sz="4" w:space="0" w:color="000000"/>
              <w:bottom w:val="single" w:sz="4" w:space="0" w:color="000000"/>
              <w:right w:val="single" w:sz="4" w:space="0" w:color="000000"/>
            </w:tcBorders>
            <w:shd w:val="clear" w:color="auto" w:fill="D2D2D2"/>
          </w:tcPr>
          <w:p>
            <w:pPr/>
          </w:p>
        </w:tc>
        <w:tc>
          <w:tcPr>
            <w:tcW w:w="1524" w:type="dxa"/>
            <w:gridSpan w:val="2"/>
            <w:vMerge/>
            <w:tcBorders>
              <w:left w:val="single" w:sz="4" w:space="0" w:color="000000"/>
              <w:bottom w:val="single" w:sz="4" w:space="0" w:color="000000"/>
              <w:right w:val="single" w:sz="4" w:space="0" w:color="000000"/>
            </w:tcBorders>
            <w:shd w:val="clear" w:color="auto" w:fill="D2D2D2"/>
          </w:tcPr>
          <w:p>
            <w:pPr/>
          </w:p>
        </w:tc>
        <w:tc>
          <w:tcPr>
            <w:tcW w:w="790" w:type="dxa"/>
            <w:vMerge/>
            <w:tcBorders>
              <w:left w:val="single" w:sz="4" w:space="0" w:color="000000"/>
              <w:bottom w:val="nil" w:sz="6" w:space="0" w:color="auto"/>
              <w:right w:val="single" w:sz="4" w:space="0" w:color="000000"/>
            </w:tcBorders>
            <w:shd w:val="clear" w:color="auto" w:fill="D2D2D2"/>
          </w:tcPr>
          <w:p>
            <w:pPr/>
          </w:p>
        </w:tc>
        <w:tc>
          <w:tcPr>
            <w:tcW w:w="1416" w:type="dxa"/>
            <w:gridSpan w:val="2"/>
            <w:vMerge/>
            <w:tcBorders>
              <w:left w:val="single" w:sz="4" w:space="0" w:color="000000"/>
              <w:bottom w:val="single" w:sz="4" w:space="0" w:color="000000"/>
              <w:right w:val="single" w:sz="4" w:space="0" w:color="000000"/>
            </w:tcBorders>
            <w:shd w:val="clear" w:color="auto" w:fill="D2D2D2"/>
          </w:tcPr>
          <w:p>
            <w:pPr/>
          </w:p>
        </w:tc>
        <w:tc>
          <w:tcPr>
            <w:tcW w:w="1745" w:type="dxa"/>
            <w:gridSpan w:val="2"/>
            <w:vMerge/>
            <w:tcBorders>
              <w:left w:val="single" w:sz="4" w:space="0" w:color="000000"/>
              <w:bottom w:val="single" w:sz="4" w:space="0" w:color="000000"/>
              <w:right w:val="single" w:sz="4" w:space="0" w:color="000000"/>
            </w:tcBorders>
            <w:shd w:val="clear" w:color="auto" w:fill="D2D2D2"/>
          </w:tcPr>
          <w:p>
            <w:pPr/>
          </w:p>
        </w:tc>
        <w:tc>
          <w:tcPr>
            <w:tcW w:w="932" w:type="dxa"/>
            <w:vMerge/>
            <w:tcBorders>
              <w:left w:val="single" w:sz="4" w:space="0" w:color="000000"/>
              <w:bottom w:val="nil" w:sz="6" w:space="0" w:color="auto"/>
              <w:right w:val="single" w:sz="4" w:space="0" w:color="000000"/>
            </w:tcBorders>
            <w:shd w:val="clear" w:color="auto" w:fill="D2D2D2"/>
          </w:tcPr>
          <w:p>
            <w:pPr/>
          </w:p>
        </w:tc>
      </w:tr>
      <w:tr>
        <w:trPr>
          <w:trHeight w:val="158" w:hRule="exact"/>
        </w:trPr>
        <w:tc>
          <w:tcPr>
            <w:tcW w:w="1635" w:type="dxa"/>
            <w:vMerge/>
            <w:tcBorders>
              <w:left w:val="single" w:sz="4" w:space="0" w:color="000000"/>
              <w:bottom w:val="single" w:sz="4" w:space="0" w:color="FFFFFF"/>
              <w:right w:val="single" w:sz="4" w:space="0" w:color="000000"/>
            </w:tcBorders>
            <w:shd w:val="clear" w:color="auto" w:fill="D2D2D2"/>
          </w:tcPr>
          <w:p>
            <w:pPr/>
          </w:p>
        </w:tc>
        <w:tc>
          <w:tcPr>
            <w:tcW w:w="763"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2"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2"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2"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51"/>
              <w:ind w:left="285" w:right="104" w:hanging="180"/>
              <w:jc w:val="left"/>
              <w:rPr>
                <w:rFonts w:ascii="宋体" w:hAnsi="宋体" w:cs="宋体" w:eastAsia="宋体" w:hint="default"/>
                <w:sz w:val="18"/>
                <w:szCs w:val="18"/>
              </w:rPr>
            </w:pPr>
            <w:r>
              <w:rPr>
                <w:rFonts w:ascii="宋体" w:hAnsi="宋体" w:cs="宋体" w:eastAsia="宋体" w:hint="default"/>
                <w:sz w:val="18"/>
                <w:szCs w:val="18"/>
              </w:rPr>
              <w:t>计提比 例</w:t>
            </w:r>
          </w:p>
        </w:tc>
        <w:tc>
          <w:tcPr>
            <w:tcW w:w="79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1"/>
              <w:ind w:left="29"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654" w:type="dxa"/>
            <w:tcBorders>
              <w:top w:val="single" w:sz="4" w:space="0" w:color="000000"/>
              <w:left w:val="single" w:sz="4" w:space="0" w:color="000000"/>
              <w:bottom w:val="nil" w:sz="6" w:space="0" w:color="auto"/>
              <w:right w:val="single" w:sz="4" w:space="0" w:color="000000"/>
            </w:tcBorders>
            <w:shd w:val="clear" w:color="auto" w:fill="D2D2D2"/>
          </w:tcPr>
          <w:p>
            <w:pPr/>
          </w:p>
        </w:tc>
        <w:tc>
          <w:tcPr>
            <w:tcW w:w="762" w:type="dxa"/>
            <w:tcBorders>
              <w:top w:val="single" w:sz="4" w:space="0" w:color="000000"/>
              <w:left w:val="single" w:sz="4" w:space="0" w:color="000000"/>
              <w:bottom w:val="nil" w:sz="6" w:space="0" w:color="auto"/>
              <w:right w:val="single" w:sz="4" w:space="0" w:color="000000"/>
            </w:tcBorders>
            <w:shd w:val="clear" w:color="auto" w:fill="D2D2D2"/>
          </w:tcPr>
          <w:p>
            <w:pPr/>
          </w:p>
        </w:tc>
        <w:tc>
          <w:tcPr>
            <w:tcW w:w="813" w:type="dxa"/>
            <w:tcBorders>
              <w:top w:val="single" w:sz="4" w:space="0" w:color="000000"/>
              <w:left w:val="single" w:sz="4" w:space="0" w:color="000000"/>
              <w:bottom w:val="nil" w:sz="6" w:space="0" w:color="auto"/>
              <w:right w:val="single" w:sz="4" w:space="0" w:color="000000"/>
            </w:tcBorders>
            <w:shd w:val="clear" w:color="auto" w:fill="D2D2D2"/>
          </w:tcPr>
          <w:p>
            <w:pPr/>
          </w:p>
        </w:tc>
        <w:tc>
          <w:tcPr>
            <w:tcW w:w="932" w:type="dxa"/>
            <w:tcBorders>
              <w:top w:val="single" w:sz="4" w:space="0" w:color="000000"/>
              <w:left w:val="single" w:sz="4" w:space="0" w:color="000000"/>
              <w:bottom w:val="nil" w:sz="6" w:space="0" w:color="auto"/>
              <w:right w:val="single" w:sz="4" w:space="0" w:color="000000"/>
            </w:tcBorders>
            <w:shd w:val="clear" w:color="auto" w:fill="D2D2D2"/>
          </w:tcPr>
          <w:p>
            <w:pPr/>
          </w:p>
        </w:tc>
        <w:tc>
          <w:tcPr>
            <w:tcW w:w="93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194" w:hRule="exact"/>
        </w:trPr>
        <w:tc>
          <w:tcPr>
            <w:tcW w:w="1635" w:type="dxa"/>
            <w:vMerge w:val="restart"/>
            <w:tcBorders>
              <w:top w:val="single" w:sz="4" w:space="0" w:color="FFFFFF"/>
              <w:left w:val="single" w:sz="4" w:space="0" w:color="000000"/>
              <w:right w:val="single" w:sz="4" w:space="0" w:color="000000"/>
            </w:tcBorders>
            <w:shd w:val="clear" w:color="auto" w:fill="D2D2D2"/>
          </w:tcPr>
          <w:p>
            <w:pPr/>
          </w:p>
        </w:tc>
        <w:tc>
          <w:tcPr>
            <w:tcW w:w="763"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9"/>
              <w:ind w:left="195"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9"/>
              <w:ind w:left="195"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762"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9"/>
              <w:ind w:left="195"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vMerge/>
            <w:tcBorders>
              <w:left w:val="single" w:sz="4" w:space="0" w:color="000000"/>
              <w:right w:val="single" w:sz="4" w:space="0" w:color="000000"/>
            </w:tcBorders>
            <w:shd w:val="clear" w:color="auto" w:fill="D2D2D2"/>
          </w:tcPr>
          <w:p>
            <w:pPr/>
          </w:p>
        </w:tc>
        <w:tc>
          <w:tcPr>
            <w:tcW w:w="790" w:type="dxa"/>
            <w:vMerge/>
            <w:tcBorders>
              <w:left w:val="single" w:sz="4" w:space="0" w:color="000000"/>
              <w:bottom w:val="nil" w:sz="6" w:space="0" w:color="auto"/>
              <w:right w:val="single" w:sz="4" w:space="0" w:color="000000"/>
            </w:tcBorders>
            <w:shd w:val="clear" w:color="auto" w:fill="D2D2D2"/>
          </w:tcPr>
          <w:p>
            <w:pPr/>
          </w:p>
        </w:tc>
        <w:tc>
          <w:tcPr>
            <w:tcW w:w="65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141"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195"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81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221"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93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101"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932" w:type="dxa"/>
            <w:vMerge/>
            <w:tcBorders>
              <w:left w:val="single" w:sz="4" w:space="0" w:color="000000"/>
              <w:bottom w:val="nil" w:sz="6" w:space="0" w:color="auto"/>
              <w:right w:val="single" w:sz="4" w:space="0" w:color="000000"/>
            </w:tcBorders>
            <w:shd w:val="clear" w:color="auto" w:fill="D2D2D2"/>
          </w:tcPr>
          <w:p>
            <w:pPr/>
          </w:p>
        </w:tc>
      </w:tr>
      <w:tr>
        <w:trPr>
          <w:trHeight w:val="200" w:hRule="exact"/>
        </w:trPr>
        <w:tc>
          <w:tcPr>
            <w:tcW w:w="1635" w:type="dxa"/>
            <w:vMerge/>
            <w:tcBorders>
              <w:left w:val="single" w:sz="4" w:space="0" w:color="000000"/>
              <w:right w:val="single" w:sz="4" w:space="0" w:color="000000"/>
            </w:tcBorders>
            <w:shd w:val="clear" w:color="auto" w:fill="D2D2D2"/>
          </w:tcPr>
          <w:p>
            <w:pPr/>
          </w:p>
        </w:tc>
        <w:tc>
          <w:tcPr>
            <w:tcW w:w="763"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right w:val="single" w:sz="4" w:space="0" w:color="000000"/>
            </w:tcBorders>
            <w:shd w:val="clear" w:color="auto" w:fill="D2D2D2"/>
          </w:tcPr>
          <w:p>
            <w:pPr/>
          </w:p>
        </w:tc>
        <w:tc>
          <w:tcPr>
            <w:tcW w:w="790" w:type="dxa"/>
            <w:vMerge w:val="restart"/>
            <w:tcBorders>
              <w:top w:val="nil" w:sz="6" w:space="0" w:color="auto"/>
              <w:left w:val="single" w:sz="4" w:space="0" w:color="000000"/>
              <w:right w:val="single" w:sz="4" w:space="0" w:color="000000"/>
            </w:tcBorders>
            <w:shd w:val="clear" w:color="auto" w:fill="D2D2D2"/>
          </w:tcPr>
          <w:p>
            <w:pPr/>
          </w:p>
        </w:tc>
        <w:tc>
          <w:tcPr>
            <w:tcW w:w="654"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bottom w:val="nil" w:sz="6" w:space="0" w:color="auto"/>
              <w:right w:val="single" w:sz="4" w:space="0" w:color="000000"/>
            </w:tcBorders>
            <w:shd w:val="clear" w:color="auto" w:fill="D2D2D2"/>
          </w:tcPr>
          <w:p>
            <w:pPr/>
          </w:p>
        </w:tc>
        <w:tc>
          <w:tcPr>
            <w:tcW w:w="813" w:type="dxa"/>
            <w:vMerge/>
            <w:tcBorders>
              <w:left w:val="single" w:sz="4" w:space="0" w:color="000000"/>
              <w:bottom w:val="nil" w:sz="6" w:space="0" w:color="auto"/>
              <w:right w:val="single" w:sz="4" w:space="0" w:color="000000"/>
            </w:tcBorders>
            <w:shd w:val="clear" w:color="auto" w:fill="D2D2D2"/>
          </w:tcPr>
          <w:p>
            <w:pPr/>
          </w:p>
        </w:tc>
        <w:tc>
          <w:tcPr>
            <w:tcW w:w="932" w:type="dxa"/>
            <w:vMerge/>
            <w:tcBorders>
              <w:left w:val="single" w:sz="4" w:space="0" w:color="000000"/>
              <w:bottom w:val="nil" w:sz="6" w:space="0" w:color="auto"/>
              <w:right w:val="single" w:sz="4" w:space="0" w:color="000000"/>
            </w:tcBorders>
            <w:shd w:val="clear" w:color="auto" w:fill="D2D2D2"/>
          </w:tcPr>
          <w:p>
            <w:pPr/>
          </w:p>
        </w:tc>
        <w:tc>
          <w:tcPr>
            <w:tcW w:w="932" w:type="dxa"/>
            <w:vMerge w:val="restart"/>
            <w:tcBorders>
              <w:top w:val="nil" w:sz="6" w:space="0" w:color="auto"/>
              <w:left w:val="single" w:sz="4" w:space="0" w:color="000000"/>
              <w:right w:val="single" w:sz="4" w:space="0" w:color="000000"/>
            </w:tcBorders>
            <w:shd w:val="clear" w:color="auto" w:fill="D2D2D2"/>
          </w:tcPr>
          <w:p>
            <w:pPr/>
          </w:p>
        </w:tc>
      </w:tr>
      <w:tr>
        <w:trPr>
          <w:trHeight w:val="161" w:hRule="exact"/>
        </w:trPr>
        <w:tc>
          <w:tcPr>
            <w:tcW w:w="1635" w:type="dxa"/>
            <w:vMerge/>
            <w:tcBorders>
              <w:left w:val="single" w:sz="4" w:space="0" w:color="000000"/>
              <w:bottom w:val="single" w:sz="4" w:space="0" w:color="000000"/>
              <w:right w:val="single" w:sz="4" w:space="0" w:color="000000"/>
            </w:tcBorders>
            <w:shd w:val="clear" w:color="auto" w:fill="D2D2D2"/>
          </w:tcPr>
          <w:p>
            <w:pPr/>
          </w:p>
        </w:tc>
        <w:tc>
          <w:tcPr>
            <w:tcW w:w="763"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vMerge/>
            <w:tcBorders>
              <w:left w:val="single" w:sz="4" w:space="0" w:color="000000"/>
              <w:bottom w:val="single" w:sz="4" w:space="0" w:color="000000"/>
              <w:right w:val="single" w:sz="4" w:space="0" w:color="000000"/>
            </w:tcBorders>
            <w:shd w:val="clear" w:color="auto" w:fill="D2D2D2"/>
          </w:tcPr>
          <w:p>
            <w:pPr/>
          </w:p>
        </w:tc>
        <w:tc>
          <w:tcPr>
            <w:tcW w:w="790" w:type="dxa"/>
            <w:vMerge/>
            <w:tcBorders>
              <w:left w:val="single" w:sz="4" w:space="0" w:color="000000"/>
              <w:bottom w:val="single" w:sz="4" w:space="0" w:color="000000"/>
              <w:right w:val="single" w:sz="4" w:space="0" w:color="000000"/>
            </w:tcBorders>
            <w:shd w:val="clear" w:color="auto" w:fill="D2D2D2"/>
          </w:tcPr>
          <w:p>
            <w:pPr/>
          </w:p>
        </w:tc>
        <w:tc>
          <w:tcPr>
            <w:tcW w:w="654"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tcBorders>
              <w:top w:val="nil" w:sz="6" w:space="0" w:color="auto"/>
              <w:left w:val="single" w:sz="4" w:space="0" w:color="000000"/>
              <w:bottom w:val="single" w:sz="4" w:space="0" w:color="000000"/>
              <w:right w:val="single" w:sz="4" w:space="0" w:color="000000"/>
            </w:tcBorders>
            <w:shd w:val="clear" w:color="auto" w:fill="D2D2D2"/>
          </w:tcPr>
          <w:p>
            <w:pPr/>
          </w:p>
        </w:tc>
        <w:tc>
          <w:tcPr>
            <w:tcW w:w="813" w:type="dxa"/>
            <w:tcBorders>
              <w:top w:val="nil" w:sz="6" w:space="0" w:color="auto"/>
              <w:left w:val="single" w:sz="4" w:space="0" w:color="000000"/>
              <w:bottom w:val="single" w:sz="4" w:space="0" w:color="000000"/>
              <w:right w:val="single" w:sz="4" w:space="0" w:color="000000"/>
            </w:tcBorders>
            <w:shd w:val="clear" w:color="auto" w:fill="D2D2D2"/>
          </w:tcPr>
          <w:p>
            <w:pPr/>
          </w:p>
        </w:tc>
        <w:tc>
          <w:tcPr>
            <w:tcW w:w="932" w:type="dxa"/>
            <w:tcBorders>
              <w:top w:val="nil" w:sz="6" w:space="0" w:color="auto"/>
              <w:left w:val="single" w:sz="4" w:space="0" w:color="000000"/>
              <w:bottom w:val="single" w:sz="4" w:space="0" w:color="000000"/>
              <w:right w:val="single" w:sz="4" w:space="0" w:color="000000"/>
            </w:tcBorders>
            <w:shd w:val="clear" w:color="auto" w:fill="D2D2D2"/>
          </w:tcPr>
          <w:p>
            <w:pPr/>
          </w:p>
        </w:tc>
        <w:tc>
          <w:tcPr>
            <w:tcW w:w="932" w:type="dxa"/>
            <w:vMerge/>
            <w:tcBorders>
              <w:left w:val="single" w:sz="4" w:space="0" w:color="000000"/>
              <w:bottom w:val="single" w:sz="4" w:space="0" w:color="000000"/>
              <w:right w:val="single" w:sz="4" w:space="0" w:color="000000"/>
            </w:tcBorders>
            <w:shd w:val="clear" w:color="auto" w:fill="D2D2D2"/>
          </w:tcPr>
          <w:p>
            <w:pPr/>
          </w:p>
        </w:tc>
      </w:tr>
      <w:tr>
        <w:trPr>
          <w:trHeight w:val="1026" w:hRule="exact"/>
        </w:trPr>
        <w:tc>
          <w:tcPr>
            <w:tcW w:w="16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160"/>
              <w:jc w:val="both"/>
              <w:rPr>
                <w:rFonts w:ascii="宋体" w:hAnsi="宋体" w:cs="宋体" w:eastAsia="宋体" w:hint="default"/>
                <w:sz w:val="18"/>
                <w:szCs w:val="18"/>
              </w:rPr>
            </w:pPr>
            <w:r>
              <w:rPr>
                <w:rFonts w:ascii="宋体" w:hAnsi="宋体" w:cs="宋体" w:eastAsia="宋体" w:hint="default"/>
                <w:sz w:val="18"/>
                <w:szCs w:val="18"/>
              </w:rPr>
              <w:t>按信用风险特征组 合计提坏账准备的 应收账款</w:t>
            </w:r>
          </w:p>
        </w:tc>
        <w:tc>
          <w:tcPr>
            <w:tcW w:w="76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3" w:right="0"/>
              <w:jc w:val="center"/>
              <w:rPr>
                <w:rFonts w:ascii="Times New Roman" w:hAnsi="Times New Roman" w:cs="Times New Roman" w:eastAsia="Times New Roman" w:hint="default"/>
                <w:sz w:val="18"/>
                <w:szCs w:val="18"/>
              </w:rPr>
            </w:pPr>
            <w:r>
              <w:rPr>
                <w:rFonts w:ascii="Times New Roman"/>
                <w:sz w:val="18"/>
              </w:rPr>
              <w:t>367,834,</w:t>
            </w:r>
          </w:p>
          <w:p>
            <w:pPr>
              <w:pStyle w:val="TableParagraph"/>
              <w:spacing w:line="240" w:lineRule="auto" w:before="106"/>
              <w:ind w:left="200" w:right="0"/>
              <w:jc w:val="center"/>
              <w:rPr>
                <w:rFonts w:ascii="Times New Roman" w:hAnsi="Times New Roman" w:cs="Times New Roman" w:eastAsia="Times New Roman" w:hint="default"/>
                <w:sz w:val="18"/>
                <w:szCs w:val="18"/>
              </w:rPr>
            </w:pPr>
            <w:r>
              <w:rPr>
                <w:rFonts w:ascii="Times New Roman"/>
                <w:sz w:val="18"/>
              </w:rPr>
              <w:t>561.23</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8" w:right="0"/>
              <w:jc w:val="left"/>
              <w:rPr>
                <w:rFonts w:ascii="Times New Roman" w:hAnsi="Times New Roman" w:cs="Times New Roman" w:eastAsia="Times New Roman" w:hint="default"/>
                <w:sz w:val="18"/>
                <w:szCs w:val="18"/>
              </w:rPr>
            </w:pPr>
            <w:r>
              <w:rPr>
                <w:rFonts w:ascii="Times New Roman"/>
                <w:sz w:val="18"/>
              </w:rPr>
              <w:t>59,399,3</w:t>
            </w:r>
          </w:p>
          <w:p>
            <w:pPr>
              <w:pStyle w:val="TableParagraph"/>
              <w:spacing w:line="240" w:lineRule="auto" w:before="106"/>
              <w:ind w:left="323" w:right="0"/>
              <w:jc w:val="left"/>
              <w:rPr>
                <w:rFonts w:ascii="Times New Roman" w:hAnsi="Times New Roman" w:cs="Times New Roman" w:eastAsia="Times New Roman" w:hint="default"/>
                <w:sz w:val="18"/>
                <w:szCs w:val="18"/>
              </w:rPr>
            </w:pPr>
            <w:r>
              <w:rPr>
                <w:rFonts w:ascii="Times New Roman"/>
                <w:sz w:val="18"/>
              </w:rPr>
              <w:t>61.98</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75" w:right="0"/>
              <w:jc w:val="left"/>
              <w:rPr>
                <w:rFonts w:ascii="Times New Roman" w:hAnsi="Times New Roman" w:cs="Times New Roman" w:eastAsia="Times New Roman" w:hint="default"/>
                <w:sz w:val="18"/>
                <w:szCs w:val="18"/>
              </w:rPr>
            </w:pPr>
            <w:r>
              <w:rPr>
                <w:rFonts w:ascii="Times New Roman"/>
                <w:sz w:val="18"/>
              </w:rPr>
              <w:t>16.15%</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7" w:right="0"/>
              <w:jc w:val="left"/>
              <w:rPr>
                <w:rFonts w:ascii="Times New Roman" w:hAnsi="Times New Roman" w:cs="Times New Roman" w:eastAsia="Times New Roman" w:hint="default"/>
                <w:sz w:val="18"/>
                <w:szCs w:val="18"/>
              </w:rPr>
            </w:pPr>
            <w:r>
              <w:rPr>
                <w:rFonts w:ascii="Times New Roman"/>
                <w:sz w:val="18"/>
              </w:rPr>
              <w:t>308,435,1</w:t>
            </w:r>
          </w:p>
          <w:p>
            <w:pPr>
              <w:pStyle w:val="TableParagraph"/>
              <w:spacing w:line="240" w:lineRule="auto" w:before="106"/>
              <w:ind w:left="352" w:right="0"/>
              <w:jc w:val="left"/>
              <w:rPr>
                <w:rFonts w:ascii="Times New Roman" w:hAnsi="Times New Roman" w:cs="Times New Roman" w:eastAsia="Times New Roman" w:hint="default"/>
                <w:sz w:val="18"/>
                <w:szCs w:val="18"/>
              </w:rPr>
            </w:pPr>
            <w:r>
              <w:rPr>
                <w:rFonts w:ascii="Times New Roman"/>
                <w:sz w:val="18"/>
              </w:rPr>
              <w:t>99.25</w:t>
            </w: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6" w:right="0"/>
              <w:jc w:val="left"/>
              <w:rPr>
                <w:rFonts w:ascii="Times New Roman" w:hAnsi="Times New Roman" w:cs="Times New Roman" w:eastAsia="Times New Roman" w:hint="default"/>
                <w:sz w:val="18"/>
                <w:szCs w:val="18"/>
              </w:rPr>
            </w:pPr>
            <w:r>
              <w:rPr>
                <w:rFonts w:ascii="Times New Roman"/>
                <w:sz w:val="18"/>
              </w:rPr>
              <w:t>269,181</w:t>
            </w:r>
          </w:p>
          <w:p>
            <w:pPr>
              <w:pStyle w:val="TableParagraph"/>
              <w:spacing w:line="240" w:lineRule="auto" w:before="106"/>
              <w:ind w:left="80" w:right="0"/>
              <w:jc w:val="left"/>
              <w:rPr>
                <w:rFonts w:ascii="Times New Roman" w:hAnsi="Times New Roman" w:cs="Times New Roman" w:eastAsia="Times New Roman" w:hint="default"/>
                <w:sz w:val="18"/>
                <w:szCs w:val="18"/>
              </w:rPr>
            </w:pPr>
            <w:r>
              <w:rPr>
                <w:rFonts w:ascii="Times New Roman"/>
                <w:sz w:val="18"/>
              </w:rPr>
              <w:t>,451.27</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9" w:right="0"/>
              <w:jc w:val="left"/>
              <w:rPr>
                <w:rFonts w:ascii="Times New Roman" w:hAnsi="Times New Roman" w:cs="Times New Roman" w:eastAsia="Times New Roman" w:hint="default"/>
                <w:sz w:val="18"/>
                <w:szCs w:val="18"/>
              </w:rPr>
            </w:pPr>
            <w:r>
              <w:rPr>
                <w:rFonts w:ascii="Times New Roman"/>
                <w:sz w:val="18"/>
              </w:rPr>
              <w:t>48,989,57</w:t>
            </w:r>
          </w:p>
          <w:p>
            <w:pPr>
              <w:pStyle w:val="TableParagraph"/>
              <w:spacing w:line="240" w:lineRule="auto" w:before="106"/>
              <w:ind w:left="465" w:right="0"/>
              <w:jc w:val="left"/>
              <w:rPr>
                <w:rFonts w:ascii="Times New Roman" w:hAnsi="Times New Roman" w:cs="Times New Roman" w:eastAsia="Times New Roman" w:hint="default"/>
                <w:sz w:val="18"/>
                <w:szCs w:val="18"/>
              </w:rPr>
            </w:pPr>
            <w:r>
              <w:rPr>
                <w:rFonts w:ascii="Times New Roman"/>
                <w:sz w:val="18"/>
              </w:rPr>
              <w:t>5.65</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345" w:right="0"/>
              <w:jc w:val="left"/>
              <w:rPr>
                <w:rFonts w:ascii="Times New Roman" w:hAnsi="Times New Roman" w:cs="Times New Roman" w:eastAsia="Times New Roman" w:hint="default"/>
                <w:sz w:val="18"/>
                <w:szCs w:val="18"/>
              </w:rPr>
            </w:pPr>
            <w:r>
              <w:rPr>
                <w:rFonts w:ascii="Times New Roman"/>
                <w:sz w:val="18"/>
              </w:rPr>
              <w:t>18.20%</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8" w:right="0"/>
              <w:jc w:val="left"/>
              <w:rPr>
                <w:rFonts w:ascii="Times New Roman" w:hAnsi="Times New Roman" w:cs="Times New Roman" w:eastAsia="Times New Roman" w:hint="default"/>
                <w:sz w:val="18"/>
                <w:szCs w:val="18"/>
              </w:rPr>
            </w:pPr>
            <w:r>
              <w:rPr>
                <w:rFonts w:ascii="Times New Roman"/>
                <w:sz w:val="18"/>
              </w:rPr>
              <w:t>220,191,87</w:t>
            </w:r>
          </w:p>
          <w:p>
            <w:pPr>
              <w:pStyle w:val="TableParagraph"/>
              <w:spacing w:line="240" w:lineRule="auto" w:before="106"/>
              <w:ind w:left="584" w:right="0"/>
              <w:jc w:val="left"/>
              <w:rPr>
                <w:rFonts w:ascii="Times New Roman" w:hAnsi="Times New Roman" w:cs="Times New Roman" w:eastAsia="Times New Roman" w:hint="default"/>
                <w:sz w:val="18"/>
                <w:szCs w:val="18"/>
              </w:rPr>
            </w:pPr>
            <w:r>
              <w:rPr>
                <w:rFonts w:ascii="Times New Roman"/>
                <w:sz w:val="18"/>
              </w:rPr>
              <w:t>5.62</w:t>
            </w:r>
          </w:p>
        </w:tc>
      </w:tr>
      <w:tr>
        <w:trPr>
          <w:trHeight w:val="161" w:hRule="exact"/>
        </w:trPr>
        <w:tc>
          <w:tcPr>
            <w:tcW w:w="1635" w:type="dxa"/>
            <w:tcBorders>
              <w:top w:val="single" w:sz="4" w:space="0" w:color="000000"/>
              <w:left w:val="single" w:sz="4" w:space="0" w:color="000000"/>
              <w:bottom w:val="nil" w:sz="6" w:space="0" w:color="auto"/>
              <w:right w:val="single" w:sz="4" w:space="0" w:color="000000"/>
            </w:tcBorders>
            <w:shd w:val="clear" w:color="auto" w:fill="D2D2D2"/>
          </w:tcPr>
          <w:p>
            <w:pPr/>
          </w:p>
        </w:tc>
        <w:tc>
          <w:tcPr>
            <w:tcW w:w="763" w:type="dxa"/>
            <w:vMerge w:val="restart"/>
            <w:tcBorders>
              <w:top w:val="single" w:sz="4" w:space="0" w:color="000000"/>
              <w:left w:val="single" w:sz="9" w:space="0" w:color="D2D2D2"/>
              <w:right w:val="single" w:sz="4" w:space="0" w:color="000000"/>
            </w:tcBorders>
          </w:tcPr>
          <w:p>
            <w:pPr>
              <w:pStyle w:val="TableParagraph"/>
              <w:spacing w:line="240" w:lineRule="auto" w:before="91"/>
              <w:ind w:left="69" w:right="0"/>
              <w:jc w:val="center"/>
              <w:rPr>
                <w:rFonts w:ascii="Times New Roman" w:hAnsi="Times New Roman" w:cs="Times New Roman" w:eastAsia="Times New Roman" w:hint="default"/>
                <w:sz w:val="18"/>
                <w:szCs w:val="18"/>
              </w:rPr>
            </w:pPr>
            <w:r>
              <w:rPr>
                <w:rFonts w:ascii="Times New Roman"/>
                <w:sz w:val="18"/>
              </w:rPr>
              <w:t>367,834,</w:t>
            </w:r>
          </w:p>
          <w:p>
            <w:pPr>
              <w:pStyle w:val="TableParagraph"/>
              <w:spacing w:line="240" w:lineRule="auto" w:before="106"/>
              <w:ind w:left="205" w:right="0"/>
              <w:jc w:val="center"/>
              <w:rPr>
                <w:rFonts w:ascii="Times New Roman" w:hAnsi="Times New Roman" w:cs="Times New Roman" w:eastAsia="Times New Roman" w:hint="default"/>
                <w:sz w:val="18"/>
                <w:szCs w:val="18"/>
              </w:rPr>
            </w:pPr>
            <w:r>
              <w:rPr>
                <w:rFonts w:ascii="Times New Roman"/>
                <w:sz w:val="18"/>
              </w:rPr>
              <w:t>561.23</w:t>
            </w:r>
          </w:p>
        </w:tc>
        <w:tc>
          <w:tcPr>
            <w:tcW w:w="76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762" w:type="dxa"/>
            <w:vMerge w:val="restart"/>
            <w:tcBorders>
              <w:top w:val="single" w:sz="4" w:space="0" w:color="000000"/>
              <w:left w:val="single" w:sz="4" w:space="0" w:color="000000"/>
              <w:right w:val="single" w:sz="4" w:space="0" w:color="000000"/>
            </w:tcBorders>
          </w:tcPr>
          <w:p>
            <w:pPr>
              <w:pStyle w:val="TableParagraph"/>
              <w:spacing w:line="240" w:lineRule="auto" w:before="91"/>
              <w:ind w:left="98" w:right="0"/>
              <w:jc w:val="left"/>
              <w:rPr>
                <w:rFonts w:ascii="Times New Roman" w:hAnsi="Times New Roman" w:cs="Times New Roman" w:eastAsia="Times New Roman" w:hint="default"/>
                <w:sz w:val="18"/>
                <w:szCs w:val="18"/>
              </w:rPr>
            </w:pPr>
            <w:r>
              <w:rPr>
                <w:rFonts w:ascii="Times New Roman"/>
                <w:sz w:val="18"/>
              </w:rPr>
              <w:t>59,399,3</w:t>
            </w:r>
          </w:p>
          <w:p>
            <w:pPr>
              <w:pStyle w:val="TableParagraph"/>
              <w:spacing w:line="240" w:lineRule="auto" w:before="106"/>
              <w:ind w:left="323" w:right="0"/>
              <w:jc w:val="left"/>
              <w:rPr>
                <w:rFonts w:ascii="Times New Roman" w:hAnsi="Times New Roman" w:cs="Times New Roman" w:eastAsia="Times New Roman" w:hint="default"/>
                <w:sz w:val="18"/>
                <w:szCs w:val="18"/>
              </w:rPr>
            </w:pPr>
            <w:r>
              <w:rPr>
                <w:rFonts w:ascii="Times New Roman"/>
                <w:sz w:val="18"/>
              </w:rPr>
              <w:t>61.98</w:t>
            </w:r>
          </w:p>
        </w:tc>
        <w:tc>
          <w:tcPr>
            <w:tcW w:w="76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75" w:right="0"/>
              <w:jc w:val="left"/>
              <w:rPr>
                <w:rFonts w:ascii="Times New Roman" w:hAnsi="Times New Roman" w:cs="Times New Roman" w:eastAsia="Times New Roman" w:hint="default"/>
                <w:sz w:val="18"/>
                <w:szCs w:val="18"/>
              </w:rPr>
            </w:pPr>
            <w:r>
              <w:rPr>
                <w:rFonts w:ascii="Times New Roman"/>
                <w:sz w:val="18"/>
              </w:rPr>
              <w:t>16.15%</w:t>
            </w:r>
          </w:p>
        </w:tc>
        <w:tc>
          <w:tcPr>
            <w:tcW w:w="790" w:type="dxa"/>
            <w:vMerge w:val="restart"/>
            <w:tcBorders>
              <w:top w:val="single" w:sz="4" w:space="0" w:color="000000"/>
              <w:left w:val="single" w:sz="4" w:space="0" w:color="000000"/>
              <w:right w:val="single" w:sz="4" w:space="0" w:color="000000"/>
            </w:tcBorders>
          </w:tcPr>
          <w:p>
            <w:pPr>
              <w:pStyle w:val="TableParagraph"/>
              <w:spacing w:line="240" w:lineRule="auto" w:before="91"/>
              <w:ind w:left="37" w:right="0"/>
              <w:jc w:val="left"/>
              <w:rPr>
                <w:rFonts w:ascii="Times New Roman" w:hAnsi="Times New Roman" w:cs="Times New Roman" w:eastAsia="Times New Roman" w:hint="default"/>
                <w:sz w:val="18"/>
                <w:szCs w:val="18"/>
              </w:rPr>
            </w:pPr>
            <w:r>
              <w:rPr>
                <w:rFonts w:ascii="Times New Roman"/>
                <w:sz w:val="18"/>
              </w:rPr>
              <w:t>308,435,1</w:t>
            </w:r>
          </w:p>
          <w:p>
            <w:pPr>
              <w:pStyle w:val="TableParagraph"/>
              <w:spacing w:line="240" w:lineRule="auto" w:before="106"/>
              <w:ind w:left="352" w:right="0"/>
              <w:jc w:val="left"/>
              <w:rPr>
                <w:rFonts w:ascii="Times New Roman" w:hAnsi="Times New Roman" w:cs="Times New Roman" w:eastAsia="Times New Roman" w:hint="default"/>
                <w:sz w:val="18"/>
                <w:szCs w:val="18"/>
              </w:rPr>
            </w:pPr>
            <w:r>
              <w:rPr>
                <w:rFonts w:ascii="Times New Roman"/>
                <w:sz w:val="18"/>
              </w:rPr>
              <w:t>99.25</w:t>
            </w:r>
          </w:p>
        </w:tc>
        <w:tc>
          <w:tcPr>
            <w:tcW w:w="654" w:type="dxa"/>
            <w:vMerge w:val="restart"/>
            <w:tcBorders>
              <w:top w:val="single" w:sz="4" w:space="0" w:color="000000"/>
              <w:left w:val="single" w:sz="4" w:space="0" w:color="000000"/>
              <w:right w:val="single" w:sz="4" w:space="0" w:color="000000"/>
            </w:tcBorders>
          </w:tcPr>
          <w:p>
            <w:pPr>
              <w:pStyle w:val="TableParagraph"/>
              <w:spacing w:line="240" w:lineRule="auto" w:before="91"/>
              <w:ind w:left="36" w:right="0"/>
              <w:jc w:val="left"/>
              <w:rPr>
                <w:rFonts w:ascii="Times New Roman" w:hAnsi="Times New Roman" w:cs="Times New Roman" w:eastAsia="Times New Roman" w:hint="default"/>
                <w:sz w:val="18"/>
                <w:szCs w:val="18"/>
              </w:rPr>
            </w:pPr>
            <w:r>
              <w:rPr>
                <w:rFonts w:ascii="Times New Roman"/>
                <w:sz w:val="18"/>
              </w:rPr>
              <w:t>269,181</w:t>
            </w:r>
          </w:p>
          <w:p>
            <w:pPr>
              <w:pStyle w:val="TableParagraph"/>
              <w:spacing w:line="240" w:lineRule="auto" w:before="106"/>
              <w:ind w:left="80" w:right="0"/>
              <w:jc w:val="left"/>
              <w:rPr>
                <w:rFonts w:ascii="Times New Roman" w:hAnsi="Times New Roman" w:cs="Times New Roman" w:eastAsia="Times New Roman" w:hint="default"/>
                <w:sz w:val="18"/>
                <w:szCs w:val="18"/>
              </w:rPr>
            </w:pPr>
            <w:r>
              <w:rPr>
                <w:rFonts w:ascii="Times New Roman"/>
                <w:sz w:val="18"/>
              </w:rPr>
              <w:t>,451.27</w:t>
            </w:r>
          </w:p>
        </w:tc>
        <w:tc>
          <w:tcPr>
            <w:tcW w:w="76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813" w:type="dxa"/>
            <w:vMerge w:val="restart"/>
            <w:tcBorders>
              <w:top w:val="single" w:sz="4" w:space="0" w:color="000000"/>
              <w:left w:val="single" w:sz="4" w:space="0" w:color="000000"/>
              <w:right w:val="single" w:sz="4" w:space="0" w:color="000000"/>
            </w:tcBorders>
          </w:tcPr>
          <w:p>
            <w:pPr>
              <w:pStyle w:val="TableParagraph"/>
              <w:spacing w:line="240" w:lineRule="auto" w:before="91"/>
              <w:ind w:left="59" w:right="0"/>
              <w:jc w:val="left"/>
              <w:rPr>
                <w:rFonts w:ascii="Times New Roman" w:hAnsi="Times New Roman" w:cs="Times New Roman" w:eastAsia="Times New Roman" w:hint="default"/>
                <w:sz w:val="18"/>
                <w:szCs w:val="18"/>
              </w:rPr>
            </w:pPr>
            <w:r>
              <w:rPr>
                <w:rFonts w:ascii="Times New Roman"/>
                <w:sz w:val="18"/>
              </w:rPr>
              <w:t>48,989,57</w:t>
            </w:r>
          </w:p>
          <w:p>
            <w:pPr>
              <w:pStyle w:val="TableParagraph"/>
              <w:spacing w:line="240" w:lineRule="auto" w:before="106"/>
              <w:ind w:left="465" w:right="0"/>
              <w:jc w:val="left"/>
              <w:rPr>
                <w:rFonts w:ascii="Times New Roman" w:hAnsi="Times New Roman" w:cs="Times New Roman" w:eastAsia="Times New Roman" w:hint="default"/>
                <w:sz w:val="18"/>
                <w:szCs w:val="18"/>
              </w:rPr>
            </w:pPr>
            <w:r>
              <w:rPr>
                <w:rFonts w:ascii="Times New Roman"/>
                <w:sz w:val="18"/>
              </w:rPr>
              <w:t>5.65</w:t>
            </w:r>
          </w:p>
        </w:tc>
        <w:tc>
          <w:tcPr>
            <w:tcW w:w="93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45" w:right="0"/>
              <w:jc w:val="left"/>
              <w:rPr>
                <w:rFonts w:ascii="Times New Roman" w:hAnsi="Times New Roman" w:cs="Times New Roman" w:eastAsia="Times New Roman" w:hint="default"/>
                <w:sz w:val="18"/>
                <w:szCs w:val="18"/>
              </w:rPr>
            </w:pPr>
            <w:r>
              <w:rPr>
                <w:rFonts w:ascii="Times New Roman"/>
                <w:sz w:val="18"/>
              </w:rPr>
              <w:t>18.20%</w:t>
            </w:r>
          </w:p>
        </w:tc>
        <w:tc>
          <w:tcPr>
            <w:tcW w:w="932" w:type="dxa"/>
            <w:vMerge w:val="restart"/>
            <w:tcBorders>
              <w:top w:val="single" w:sz="4" w:space="0" w:color="000000"/>
              <w:left w:val="single" w:sz="4" w:space="0" w:color="000000"/>
              <w:right w:val="single" w:sz="4" w:space="0" w:color="000000"/>
            </w:tcBorders>
          </w:tcPr>
          <w:p>
            <w:pPr>
              <w:pStyle w:val="TableParagraph"/>
              <w:spacing w:line="240" w:lineRule="auto" w:before="91"/>
              <w:ind w:left="88" w:right="0"/>
              <w:jc w:val="left"/>
              <w:rPr>
                <w:rFonts w:ascii="Times New Roman" w:hAnsi="Times New Roman" w:cs="Times New Roman" w:eastAsia="Times New Roman" w:hint="default"/>
                <w:sz w:val="18"/>
                <w:szCs w:val="18"/>
              </w:rPr>
            </w:pPr>
            <w:r>
              <w:rPr>
                <w:rFonts w:ascii="Times New Roman"/>
                <w:sz w:val="18"/>
              </w:rPr>
              <w:t>220,191,87</w:t>
            </w:r>
          </w:p>
          <w:p>
            <w:pPr>
              <w:pStyle w:val="TableParagraph"/>
              <w:spacing w:line="240" w:lineRule="auto" w:before="106"/>
              <w:ind w:left="584" w:right="0"/>
              <w:jc w:val="left"/>
              <w:rPr>
                <w:rFonts w:ascii="Times New Roman" w:hAnsi="Times New Roman" w:cs="Times New Roman" w:eastAsia="Times New Roman" w:hint="default"/>
                <w:sz w:val="18"/>
                <w:szCs w:val="18"/>
              </w:rPr>
            </w:pPr>
            <w:r>
              <w:rPr>
                <w:rFonts w:ascii="Times New Roman"/>
                <w:sz w:val="18"/>
              </w:rPr>
              <w:t>5.62</w:t>
            </w:r>
          </w:p>
        </w:tc>
      </w:tr>
      <w:tr>
        <w:trPr>
          <w:trHeight w:val="392" w:hRule="exact"/>
        </w:trPr>
        <w:tc>
          <w:tcPr>
            <w:tcW w:w="163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63" w:type="dxa"/>
            <w:vMerge/>
            <w:tcBorders>
              <w:left w:val="single" w:sz="9" w:space="0" w:color="D2D2D2"/>
              <w:right w:val="single" w:sz="4" w:space="0" w:color="000000"/>
            </w:tcBorders>
          </w:tcPr>
          <w:p>
            <w:pPr/>
          </w:p>
        </w:tc>
        <w:tc>
          <w:tcPr>
            <w:tcW w:w="762" w:type="dxa"/>
            <w:vMerge/>
            <w:tcBorders>
              <w:left w:val="single" w:sz="4" w:space="0" w:color="000000"/>
              <w:right w:val="single" w:sz="4" w:space="0" w:color="000000"/>
            </w:tcBorders>
          </w:tcPr>
          <w:p>
            <w:pPr/>
          </w:p>
        </w:tc>
        <w:tc>
          <w:tcPr>
            <w:tcW w:w="762" w:type="dxa"/>
            <w:vMerge/>
            <w:tcBorders>
              <w:left w:val="single" w:sz="4" w:space="0" w:color="000000"/>
              <w:right w:val="single" w:sz="4" w:space="0" w:color="000000"/>
            </w:tcBorders>
          </w:tcPr>
          <w:p>
            <w:pPr/>
          </w:p>
        </w:tc>
        <w:tc>
          <w:tcPr>
            <w:tcW w:w="762" w:type="dxa"/>
            <w:vMerge/>
            <w:tcBorders>
              <w:left w:val="single" w:sz="4" w:space="0" w:color="000000"/>
              <w:right w:val="single" w:sz="4" w:space="0" w:color="000000"/>
            </w:tcBorders>
          </w:tcPr>
          <w:p>
            <w:pPr/>
          </w:p>
        </w:tc>
        <w:tc>
          <w:tcPr>
            <w:tcW w:w="790" w:type="dxa"/>
            <w:vMerge/>
            <w:tcBorders>
              <w:left w:val="single" w:sz="4" w:space="0" w:color="000000"/>
              <w:right w:val="single" w:sz="4" w:space="0" w:color="000000"/>
            </w:tcBorders>
          </w:tcPr>
          <w:p>
            <w:pPr/>
          </w:p>
        </w:tc>
        <w:tc>
          <w:tcPr>
            <w:tcW w:w="654" w:type="dxa"/>
            <w:vMerge/>
            <w:tcBorders>
              <w:left w:val="single" w:sz="4" w:space="0" w:color="000000"/>
              <w:right w:val="single" w:sz="4" w:space="0" w:color="000000"/>
            </w:tcBorders>
          </w:tcPr>
          <w:p>
            <w:pPr/>
          </w:p>
        </w:tc>
        <w:tc>
          <w:tcPr>
            <w:tcW w:w="762" w:type="dxa"/>
            <w:vMerge/>
            <w:tcBorders>
              <w:left w:val="single" w:sz="4" w:space="0" w:color="000000"/>
              <w:right w:val="single" w:sz="4" w:space="0" w:color="000000"/>
            </w:tcBorders>
          </w:tcPr>
          <w:p>
            <w:pPr/>
          </w:p>
        </w:tc>
        <w:tc>
          <w:tcPr>
            <w:tcW w:w="813" w:type="dxa"/>
            <w:vMerge/>
            <w:tcBorders>
              <w:left w:val="single" w:sz="4" w:space="0" w:color="000000"/>
              <w:right w:val="single" w:sz="4" w:space="0" w:color="000000"/>
            </w:tcBorders>
          </w:tcPr>
          <w:p>
            <w:pPr/>
          </w:p>
        </w:tc>
        <w:tc>
          <w:tcPr>
            <w:tcW w:w="932" w:type="dxa"/>
            <w:vMerge/>
            <w:tcBorders>
              <w:left w:val="single" w:sz="4" w:space="0" w:color="000000"/>
              <w:right w:val="single" w:sz="4" w:space="0" w:color="000000"/>
            </w:tcBorders>
          </w:tcPr>
          <w:p>
            <w:pPr/>
          </w:p>
        </w:tc>
        <w:tc>
          <w:tcPr>
            <w:tcW w:w="932" w:type="dxa"/>
            <w:vMerge/>
            <w:tcBorders>
              <w:left w:val="single" w:sz="4" w:space="0" w:color="000000"/>
              <w:right w:val="single" w:sz="4" w:space="0" w:color="000000"/>
            </w:tcBorders>
          </w:tcPr>
          <w:p>
            <w:pPr/>
          </w:p>
        </w:tc>
      </w:tr>
      <w:tr>
        <w:trPr>
          <w:trHeight w:val="161" w:hRule="exact"/>
        </w:trPr>
        <w:tc>
          <w:tcPr>
            <w:tcW w:w="1635" w:type="dxa"/>
            <w:tcBorders>
              <w:top w:val="nil" w:sz="6" w:space="0" w:color="auto"/>
              <w:left w:val="single" w:sz="4" w:space="0" w:color="000000"/>
              <w:bottom w:val="single" w:sz="4" w:space="0" w:color="000000"/>
              <w:right w:val="single" w:sz="4" w:space="0" w:color="000000"/>
            </w:tcBorders>
            <w:shd w:val="clear" w:color="auto" w:fill="D2D2D2"/>
          </w:tcPr>
          <w:p>
            <w:pPr/>
          </w:p>
        </w:tc>
        <w:tc>
          <w:tcPr>
            <w:tcW w:w="763" w:type="dxa"/>
            <w:vMerge/>
            <w:tcBorders>
              <w:left w:val="single" w:sz="9" w:space="0" w:color="D2D2D2"/>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790" w:type="dxa"/>
            <w:vMerge/>
            <w:tcBorders>
              <w:left w:val="single" w:sz="4" w:space="0" w:color="000000"/>
              <w:bottom w:val="single" w:sz="4" w:space="0" w:color="000000"/>
              <w:right w:val="single" w:sz="4" w:space="0" w:color="000000"/>
            </w:tcBorders>
          </w:tcPr>
          <w:p>
            <w:pPr/>
          </w:p>
        </w:tc>
        <w:tc>
          <w:tcPr>
            <w:tcW w:w="654" w:type="dxa"/>
            <w:vMerge/>
            <w:tcBorders>
              <w:left w:val="single" w:sz="4" w:space="0" w:color="000000"/>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813" w:type="dxa"/>
            <w:vMerge/>
            <w:tcBorders>
              <w:left w:val="single" w:sz="4" w:space="0" w:color="000000"/>
              <w:bottom w:val="single" w:sz="4" w:space="0" w:color="000000"/>
              <w:right w:val="single" w:sz="4" w:space="0" w:color="000000"/>
            </w:tcBorders>
          </w:tcPr>
          <w:p>
            <w:pPr/>
          </w:p>
        </w:tc>
        <w:tc>
          <w:tcPr>
            <w:tcW w:w="932" w:type="dxa"/>
            <w:vMerge/>
            <w:tcBorders>
              <w:left w:val="single" w:sz="4" w:space="0" w:color="000000"/>
              <w:bottom w:val="single" w:sz="4" w:space="0" w:color="000000"/>
              <w:right w:val="single" w:sz="4" w:space="0" w:color="000000"/>
            </w:tcBorders>
          </w:tcPr>
          <w:p>
            <w:pPr/>
          </w:p>
        </w:tc>
        <w:tc>
          <w:tcPr>
            <w:tcW w:w="932" w:type="dxa"/>
            <w:vMerge/>
            <w:tcBorders>
              <w:left w:val="single" w:sz="4" w:space="0" w:color="000000"/>
              <w:bottom w:val="single" w:sz="4" w:space="0" w:color="000000"/>
              <w:right w:val="single" w:sz="4" w:space="0" w:color="000000"/>
            </w:tcBorders>
          </w:tcPr>
          <w:p>
            <w:pPr/>
          </w:p>
        </w:tc>
      </w:tr>
    </w:tbl>
    <w:p>
      <w:pPr>
        <w:spacing w:after="0"/>
        <w:sectPr>
          <w:pgSz w:w="11910" w:h="16840"/>
          <w:pgMar w:header="877" w:footer="979" w:top="1060" w:bottom="1160" w:left="980" w:right="0"/>
        </w:sectPr>
      </w:pPr>
    </w:p>
    <w:p>
      <w:pPr>
        <w:spacing w:before="51"/>
        <w:ind w:left="154" w:right="-20" w:firstLine="0"/>
        <w:jc w:val="left"/>
        <w:rPr>
          <w:rFonts w:ascii="宋体" w:hAnsi="宋体" w:cs="宋体" w:eastAsia="宋体" w:hint="default"/>
          <w:sz w:val="18"/>
          <w:szCs w:val="18"/>
        </w:rPr>
      </w:pPr>
      <w:r>
        <w:rPr>
          <w:rFonts w:ascii="宋体" w:hAnsi="宋体" w:cs="宋体" w:eastAsia="宋体" w:hint="default"/>
          <w:sz w:val="18"/>
          <w:szCs w:val="18"/>
        </w:rPr>
        <w:t>期末单项金额重大并单项计提坏账准备的应收账款：</w:t>
      </w:r>
    </w:p>
    <w:p>
      <w:pPr>
        <w:spacing w:line="338" w:lineRule="auto" w:before="117"/>
        <w:ind w:left="154" w:right="16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适用</w:t>
      </w:r>
      <w:r>
        <w:rPr>
          <w:rFonts w:ascii="Times New Roman" w:hAnsi="Times New Roman" w:cs="Times New Roman" w:eastAsia="Times New Roman" w:hint="default"/>
          <w:sz w:val="18"/>
          <w:szCs w:val="18"/>
        </w:rPr>
        <w:t>√</w:t>
      </w:r>
      <w:r>
        <w:rPr>
          <w:rFonts w:ascii="宋体" w:hAnsi="宋体" w:cs="宋体" w:eastAsia="宋体" w:hint="default"/>
          <w:sz w:val="18"/>
          <w:szCs w:val="18"/>
        </w:rPr>
        <w:t>不适用 组合中，按账龄分析法计提坏账准备的应收账款：</w:t>
      </w:r>
    </w:p>
    <w:p>
      <w:pPr>
        <w:spacing w:before="43"/>
        <w:ind w:left="154" w:right="-2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适用</w:t>
      </w:r>
      <w:r>
        <w:rPr>
          <w:rFonts w:ascii="Times New Roman" w:hAnsi="Times New Roman" w:cs="Times New Roman" w:eastAsia="Times New Roman" w:hint="default"/>
          <w:sz w:val="18"/>
          <w:szCs w:val="18"/>
        </w:rPr>
        <w:t>□</w:t>
      </w:r>
      <w:r>
        <w:rPr>
          <w:rFonts w:ascii="宋体" w:hAnsi="宋体" w:cs="宋体" w:eastAsia="宋体" w:hint="default"/>
          <w:sz w:val="18"/>
          <w:szCs w:val="18"/>
        </w:rPr>
        <w:t>不适用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8"/>
        <w:rPr>
          <w:rFonts w:ascii="宋体" w:hAnsi="宋体" w:cs="宋体" w:eastAsia="宋体" w:hint="default"/>
          <w:sz w:val="21"/>
          <w:szCs w:val="21"/>
        </w:rPr>
      </w:pPr>
    </w:p>
    <w:p>
      <w:pPr>
        <w:spacing w:before="0"/>
        <w:ind w:left="153" w:right="0" w:firstLine="0"/>
        <w:jc w:val="left"/>
        <w:rPr>
          <w:rFonts w:ascii="宋体" w:hAnsi="宋体" w:cs="宋体" w:eastAsia="宋体" w:hint="default"/>
          <w:sz w:val="18"/>
          <w:szCs w:val="18"/>
        </w:rPr>
      </w:pPr>
      <w:r>
        <w:rPr>
          <w:rFonts w:ascii="宋体" w:hAnsi="宋体" w:cs="宋体" w:eastAsia="宋体" w:hint="default"/>
          <w:sz w:val="18"/>
          <w:szCs w:val="18"/>
        </w:rPr>
        <w:t>单位：元</w:t>
      </w:r>
    </w:p>
    <w:p>
      <w:pPr>
        <w:spacing w:after="0"/>
        <w:jc w:val="left"/>
        <w:rPr>
          <w:rFonts w:ascii="宋体" w:hAnsi="宋体" w:cs="宋体" w:eastAsia="宋体" w:hint="default"/>
          <w:sz w:val="18"/>
          <w:szCs w:val="18"/>
        </w:rPr>
        <w:sectPr>
          <w:type w:val="continuous"/>
          <w:pgSz w:w="11910" w:h="16840"/>
          <w:pgMar w:top="1060" w:bottom="1160" w:left="980" w:right="0"/>
          <w:cols w:num="2" w:equalWidth="0">
            <w:col w:w="4295" w:space="4625"/>
            <w:col w:w="2010"/>
          </w:cols>
        </w:sectPr>
      </w:pP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488"/>
        <w:gridCol w:w="2301"/>
        <w:gridCol w:w="2391"/>
        <w:gridCol w:w="2389"/>
      </w:tblGrid>
      <w:tr>
        <w:trPr>
          <w:trHeight w:val="402" w:hRule="exact"/>
        </w:trPr>
        <w:tc>
          <w:tcPr>
            <w:tcW w:w="248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7081"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2488" w:type="dxa"/>
            <w:vMerge/>
            <w:tcBorders>
              <w:left w:val="single" w:sz="4" w:space="0" w:color="000000"/>
              <w:bottom w:val="single" w:sz="4" w:space="0" w:color="000000"/>
              <w:right w:val="single" w:sz="4" w:space="0" w:color="000000"/>
            </w:tcBorders>
            <w:shd w:val="clear" w:color="auto" w:fill="D2D2D2"/>
          </w:tcPr>
          <w:p>
            <w:pPr/>
          </w:p>
        </w:tc>
        <w:tc>
          <w:tcPr>
            <w:tcW w:w="2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 w:right="0"/>
              <w:jc w:val="center"/>
              <w:rPr>
                <w:rFonts w:ascii="宋体" w:hAnsi="宋体" w:cs="宋体" w:eastAsia="宋体" w:hint="default"/>
                <w:sz w:val="18"/>
                <w:szCs w:val="18"/>
              </w:rPr>
            </w:pPr>
            <w:r>
              <w:rPr>
                <w:rFonts w:ascii="宋体" w:hAnsi="宋体" w:cs="宋体" w:eastAsia="宋体" w:hint="default"/>
                <w:sz w:val="18"/>
                <w:szCs w:val="18"/>
              </w:rPr>
              <w:t>应收账款</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3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计提比例</w:t>
            </w:r>
          </w:p>
        </w:tc>
      </w:tr>
      <w:tr>
        <w:trPr>
          <w:trHeight w:val="401" w:hRule="exact"/>
        </w:trPr>
        <w:tc>
          <w:tcPr>
            <w:tcW w:w="9569"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年以内分项</w:t>
            </w:r>
          </w:p>
        </w:tc>
      </w:tr>
      <w:tr>
        <w:trPr>
          <w:trHeight w:val="402" w:hRule="exact"/>
        </w:trPr>
        <w:tc>
          <w:tcPr>
            <w:tcW w:w="2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2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219,946,429.78</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10,997,321.49</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5.00%</w:t>
            </w:r>
          </w:p>
        </w:tc>
      </w:tr>
      <w:tr>
        <w:trPr>
          <w:trHeight w:val="402" w:hRule="exact"/>
        </w:trPr>
        <w:tc>
          <w:tcPr>
            <w:tcW w:w="24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年以内小计</w:t>
            </w:r>
          </w:p>
        </w:tc>
        <w:tc>
          <w:tcPr>
            <w:tcW w:w="230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219,946,429.78</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10,997,321.49</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5.00%</w:t>
            </w:r>
          </w:p>
        </w:tc>
      </w:tr>
      <w:tr>
        <w:trPr>
          <w:trHeight w:val="402" w:hRule="exact"/>
        </w:trPr>
        <w:tc>
          <w:tcPr>
            <w:tcW w:w="24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0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64,254,519.96</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6,425,452.00</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10.00%</w:t>
            </w:r>
          </w:p>
        </w:tc>
      </w:tr>
      <w:tr>
        <w:trPr>
          <w:trHeight w:val="402" w:hRule="exact"/>
        </w:trPr>
        <w:tc>
          <w:tcPr>
            <w:tcW w:w="24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0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20,498,317.10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6,149,495.13</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30.00%</w:t>
            </w:r>
          </w:p>
        </w:tc>
      </w:tr>
      <w:tr>
        <w:trPr>
          <w:trHeight w:val="402" w:hRule="exact"/>
        </w:trPr>
        <w:tc>
          <w:tcPr>
            <w:tcW w:w="24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30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41,732,199.83</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35,827,093.36</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85.85%</w:t>
            </w:r>
          </w:p>
        </w:tc>
      </w:tr>
      <w:tr>
        <w:trPr>
          <w:trHeight w:val="402" w:hRule="exact"/>
        </w:trPr>
        <w:tc>
          <w:tcPr>
            <w:tcW w:w="24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0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11,810,212.94</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5,905,106.47</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50.00%</w:t>
            </w:r>
          </w:p>
        </w:tc>
      </w:tr>
      <w:tr>
        <w:trPr>
          <w:trHeight w:val="402" w:hRule="exact"/>
        </w:trPr>
        <w:tc>
          <w:tcPr>
            <w:tcW w:w="24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0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8,286,262.54</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8,286,262.54</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100.00%</w:t>
            </w:r>
          </w:p>
        </w:tc>
      </w:tr>
      <w:tr>
        <w:trPr>
          <w:trHeight w:val="402" w:hRule="exact"/>
        </w:trPr>
        <w:tc>
          <w:tcPr>
            <w:tcW w:w="24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30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21,635,724.35</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21,635,724.35</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100.00%</w:t>
            </w:r>
          </w:p>
        </w:tc>
      </w:tr>
      <w:tr>
        <w:trPr>
          <w:trHeight w:val="403" w:hRule="exact"/>
        </w:trPr>
        <w:tc>
          <w:tcPr>
            <w:tcW w:w="24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0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346,431,466.67</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59,399,361.98</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17.65%</w:t>
            </w:r>
          </w:p>
        </w:tc>
      </w:tr>
    </w:tbl>
    <w:p>
      <w:pPr>
        <w:spacing w:line="357" w:lineRule="auto" w:before="51"/>
        <w:ind w:left="154" w:right="6432" w:firstLine="0"/>
        <w:jc w:val="left"/>
        <w:rPr>
          <w:rFonts w:ascii="宋体" w:hAnsi="宋体" w:cs="宋体" w:eastAsia="宋体" w:hint="default"/>
          <w:sz w:val="18"/>
          <w:szCs w:val="18"/>
        </w:rPr>
      </w:pPr>
      <w:r>
        <w:rPr>
          <w:rFonts w:ascii="宋体" w:hAnsi="宋体" w:cs="宋体" w:eastAsia="宋体" w:hint="default"/>
          <w:sz w:val="18"/>
          <w:szCs w:val="18"/>
        </w:rPr>
        <w:t>确定该组合依据的说明： 组合中，采用余额百分比法计提坏账准备的应收账款：</w:t>
      </w:r>
    </w:p>
    <w:p>
      <w:pPr>
        <w:spacing w:after="0" w:line="357" w:lineRule="auto"/>
        <w:jc w:val="left"/>
        <w:rPr>
          <w:rFonts w:ascii="宋体" w:hAnsi="宋体" w:cs="宋体" w:eastAsia="宋体" w:hint="default"/>
          <w:sz w:val="18"/>
          <w:szCs w:val="18"/>
        </w:rPr>
        <w:sectPr>
          <w:type w:val="continuous"/>
          <w:pgSz w:w="11910" w:h="16840"/>
          <w:pgMar w:top="1060" w:bottom="1160" w:left="980" w:right="0"/>
        </w:sectPr>
      </w:pPr>
    </w:p>
    <w:p>
      <w:pPr>
        <w:spacing w:line="240" w:lineRule="auto" w:before="13"/>
        <w:rPr>
          <w:rFonts w:ascii="宋体" w:hAnsi="宋体" w:cs="宋体" w:eastAsia="宋体" w:hint="default"/>
          <w:sz w:val="25"/>
          <w:szCs w:val="25"/>
        </w:rPr>
      </w:pPr>
    </w:p>
    <w:p>
      <w:pPr>
        <w:spacing w:line="338" w:lineRule="auto" w:before="44"/>
        <w:ind w:left="154" w:right="679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适用</w:t>
      </w:r>
      <w:r>
        <w:rPr>
          <w:rFonts w:ascii="Times New Roman" w:hAnsi="Times New Roman" w:cs="Times New Roman" w:eastAsia="Times New Roman" w:hint="default"/>
          <w:sz w:val="18"/>
          <w:szCs w:val="18"/>
        </w:rPr>
        <w:t>√</w:t>
      </w:r>
      <w:r>
        <w:rPr>
          <w:rFonts w:ascii="宋体" w:hAnsi="宋体" w:cs="宋体" w:eastAsia="宋体" w:hint="default"/>
          <w:sz w:val="18"/>
          <w:szCs w:val="18"/>
        </w:rPr>
        <w:t>不适用 组合中，采用其他方法计提坏账准备的应收账款：</w:t>
      </w:r>
    </w:p>
    <w:p>
      <w:pPr>
        <w:spacing w:line="240" w:lineRule="auto" w:before="11"/>
        <w:rPr>
          <w:rFonts w:ascii="宋体" w:hAnsi="宋体" w:cs="宋体" w:eastAsia="宋体" w:hint="default"/>
          <w:sz w:val="2"/>
          <w:szCs w:val="2"/>
        </w:rPr>
      </w:pPr>
    </w:p>
    <w:tbl>
      <w:tblPr>
        <w:tblW w:w="0" w:type="auto"/>
        <w:jc w:val="left"/>
        <w:tblInd w:w="755" w:type="dxa"/>
        <w:tblLayout w:type="fixed"/>
        <w:tblCellMar>
          <w:top w:w="0" w:type="dxa"/>
          <w:left w:w="0" w:type="dxa"/>
          <w:bottom w:w="0" w:type="dxa"/>
          <w:right w:w="0" w:type="dxa"/>
        </w:tblCellMar>
        <w:tblLook w:val="01E0"/>
      </w:tblPr>
      <w:tblGrid>
        <w:gridCol w:w="3080"/>
        <w:gridCol w:w="1985"/>
        <w:gridCol w:w="1560"/>
        <w:gridCol w:w="1559"/>
      </w:tblGrid>
      <w:tr>
        <w:trPr>
          <w:trHeight w:val="337" w:hRule="exact"/>
        </w:trPr>
        <w:tc>
          <w:tcPr>
            <w:tcW w:w="3080"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组合名称</w:t>
            </w:r>
          </w:p>
        </w:tc>
        <w:tc>
          <w:tcPr>
            <w:tcW w:w="5104" w:type="dxa"/>
            <w:gridSpan w:val="3"/>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4"/>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342" w:hRule="exact"/>
        </w:trPr>
        <w:tc>
          <w:tcPr>
            <w:tcW w:w="3080" w:type="dxa"/>
            <w:vMerge/>
            <w:tcBorders>
              <w:left w:val="single" w:sz="4" w:space="0" w:color="000000"/>
              <w:bottom w:val="single" w:sz="4" w:space="0" w:color="000000"/>
              <w:right w:val="single" w:sz="4" w:space="0" w:color="000000"/>
            </w:tcBorders>
            <w:shd w:val="clear" w:color="auto" w:fill="D9D9D9"/>
          </w:tcPr>
          <w:p>
            <w:pPr/>
          </w:p>
        </w:tc>
        <w:tc>
          <w:tcPr>
            <w:tcW w:w="198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0"/>
              <w:ind w:left="627"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5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0"/>
              <w:ind w:left="414"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0"/>
              <w:ind w:left="278"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计提比例</w:t>
            </w:r>
            <w:r>
              <w:rPr>
                <w:rFonts w:ascii="Times New Roman" w:hAnsi="Times New Roman" w:cs="Times New Roman" w:eastAsia="Times New Roman" w:hint="default"/>
                <w:sz w:val="18"/>
                <w:szCs w:val="18"/>
              </w:rPr>
              <w:t>(%)</w:t>
            </w:r>
          </w:p>
        </w:tc>
      </w:tr>
      <w:tr>
        <w:trPr>
          <w:trHeight w:val="342" w:hRule="exact"/>
        </w:trPr>
        <w:tc>
          <w:tcPr>
            <w:tcW w:w="30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关联方、保证金等组合</w:t>
            </w:r>
          </w:p>
        </w:tc>
        <w:tc>
          <w:tcPr>
            <w:tcW w:w="1985" w:type="dxa"/>
            <w:tcBorders>
              <w:top w:val="single" w:sz="8" w:space="0" w:color="000000"/>
              <w:left w:val="single" w:sz="6" w:space="0" w:color="000000"/>
              <w:bottom w:val="single" w:sz="4" w:space="0" w:color="000000"/>
              <w:right w:val="single" w:sz="4" w:space="0" w:color="000000"/>
            </w:tcBorders>
          </w:tcPr>
          <w:p>
            <w:pPr>
              <w:pStyle w:val="TableParagraph"/>
              <w:spacing w:line="240" w:lineRule="auto" w:before="54"/>
              <w:ind w:right="2"/>
              <w:jc w:val="right"/>
              <w:rPr>
                <w:rFonts w:ascii="Times New Roman" w:hAnsi="Times New Roman" w:cs="Times New Roman" w:eastAsia="Times New Roman" w:hint="default"/>
                <w:sz w:val="18"/>
                <w:szCs w:val="18"/>
              </w:rPr>
            </w:pPr>
            <w:r>
              <w:rPr>
                <w:rFonts w:ascii="Times New Roman"/>
                <w:spacing w:val="-1"/>
                <w:sz w:val="18"/>
              </w:rPr>
              <w:t>21,403,094.56</w:t>
            </w:r>
          </w:p>
        </w:tc>
        <w:tc>
          <w:tcPr>
            <w:tcW w:w="1560" w:type="dxa"/>
            <w:tcBorders>
              <w:top w:val="single" w:sz="8" w:space="0" w:color="000000"/>
              <w:left w:val="single" w:sz="4" w:space="0" w:color="000000"/>
              <w:bottom w:val="single" w:sz="4" w:space="0" w:color="000000"/>
              <w:right w:val="single" w:sz="4" w:space="0" w:color="000000"/>
            </w:tcBorders>
          </w:tcPr>
          <w:p>
            <w:pPr/>
          </w:p>
        </w:tc>
        <w:tc>
          <w:tcPr>
            <w:tcW w:w="1559" w:type="dxa"/>
            <w:tcBorders>
              <w:top w:val="single" w:sz="8" w:space="0" w:color="000000"/>
              <w:left w:val="single" w:sz="4" w:space="0" w:color="000000"/>
              <w:bottom w:val="single" w:sz="4" w:space="0" w:color="000000"/>
              <w:right w:val="single" w:sz="4" w:space="0" w:color="000000"/>
            </w:tcBorders>
          </w:tcPr>
          <w:p>
            <w:pPr/>
          </w:p>
        </w:tc>
      </w:tr>
      <w:tr>
        <w:trPr>
          <w:trHeight w:val="342" w:hRule="exact"/>
        </w:trPr>
        <w:tc>
          <w:tcPr>
            <w:tcW w:w="30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985"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60"/>
              <w:ind w:right="2"/>
              <w:jc w:val="right"/>
              <w:rPr>
                <w:rFonts w:ascii="Times New Roman" w:hAnsi="Times New Roman" w:cs="Times New Roman" w:eastAsia="Times New Roman" w:hint="default"/>
                <w:sz w:val="18"/>
                <w:szCs w:val="18"/>
              </w:rPr>
            </w:pPr>
            <w:r>
              <w:rPr>
                <w:rFonts w:ascii="Times New Roman"/>
                <w:spacing w:val="-1"/>
                <w:sz w:val="18"/>
              </w:rPr>
              <w:t>21,403,094.56</w:t>
            </w:r>
          </w:p>
        </w:tc>
        <w:tc>
          <w:tcPr>
            <w:tcW w:w="1560"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5"/>
        <w:rPr>
          <w:rFonts w:ascii="宋体" w:hAnsi="宋体" w:cs="宋体" w:eastAsia="宋体" w:hint="default"/>
          <w:sz w:val="24"/>
          <w:szCs w:val="24"/>
        </w:rPr>
      </w:pPr>
    </w:p>
    <w:p>
      <w:pPr>
        <w:spacing w:before="44"/>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本期计提、收回或转回的坏账准备情况</w:t>
      </w:r>
    </w:p>
    <w:p>
      <w:pPr>
        <w:pStyle w:val="BodyText"/>
        <w:spacing w:line="240" w:lineRule="auto" w:before="156"/>
        <w:ind w:right="1117"/>
        <w:jc w:val="left"/>
      </w:pPr>
      <w:r>
        <w:rPr/>
        <w:t>本期计提坏账准备金额</w:t>
      </w:r>
      <w:r>
        <w:rPr>
          <w:spacing w:val="-55"/>
        </w:rPr>
        <w:t> </w:t>
      </w:r>
      <w:r>
        <w:rPr>
          <w:rFonts w:ascii="Times New Roman" w:hAnsi="Times New Roman" w:cs="Times New Roman" w:eastAsia="Times New Roman" w:hint="default"/>
        </w:rPr>
        <w:t>12,800,118.97</w:t>
      </w:r>
      <w:r>
        <w:rPr>
          <w:rFonts w:ascii="Times New Roman" w:hAnsi="Times New Roman" w:cs="Times New Roman" w:eastAsia="Times New Roman" w:hint="default"/>
          <w:spacing w:val="-4"/>
        </w:rPr>
        <w:t> </w:t>
      </w:r>
      <w:r>
        <w:rPr/>
        <w:t>元</w:t>
      </w:r>
      <w:r>
        <w:rPr>
          <w:sz w:val="18"/>
          <w:szCs w:val="18"/>
        </w:rPr>
        <w:t>；</w:t>
      </w:r>
      <w:r>
        <w:rPr/>
        <w:t>本期收回或转回坏账准备金额</w:t>
      </w:r>
      <w:r>
        <w:rPr>
          <w:spacing w:val="-56"/>
        </w:rPr>
        <w:t> </w:t>
      </w:r>
      <w:r>
        <w:rPr>
          <w:rFonts w:ascii="Times New Roman" w:hAnsi="Times New Roman" w:cs="Times New Roman" w:eastAsia="Times New Roman" w:hint="default"/>
        </w:rPr>
        <w:t>0.00</w:t>
      </w:r>
      <w:r>
        <w:rPr>
          <w:rFonts w:ascii="Times New Roman" w:hAnsi="Times New Roman" w:cs="Times New Roman" w:eastAsia="Times New Roman" w:hint="default"/>
          <w:spacing w:val="-2"/>
        </w:rPr>
        <w:t> </w:t>
      </w:r>
      <w:r>
        <w:rPr/>
        <w:t>元。</w:t>
      </w:r>
    </w:p>
    <w:p>
      <w:pPr>
        <w:spacing w:line="240" w:lineRule="auto" w:before="2"/>
        <w:rPr>
          <w:rFonts w:ascii="宋体" w:hAnsi="宋体" w:cs="宋体" w:eastAsia="宋体" w:hint="default"/>
          <w:sz w:val="9"/>
          <w:szCs w:val="9"/>
        </w:rPr>
      </w:pPr>
    </w:p>
    <w:p>
      <w:pPr>
        <w:spacing w:after="0" w:line="240" w:lineRule="auto"/>
        <w:rPr>
          <w:rFonts w:ascii="宋体" w:hAnsi="宋体" w:cs="宋体" w:eastAsia="宋体" w:hint="default"/>
          <w:sz w:val="9"/>
          <w:szCs w:val="9"/>
        </w:rPr>
        <w:sectPr>
          <w:pgSz w:w="11910" w:h="16840"/>
          <w:pgMar w:header="877" w:footer="979" w:top="1060" w:bottom="1160" w:left="980" w:right="0"/>
        </w:sectPr>
      </w:pPr>
    </w:p>
    <w:p>
      <w:pPr>
        <w:spacing w:before="44"/>
        <w:ind w:left="154" w:right="-20" w:firstLine="0"/>
        <w:jc w:val="left"/>
        <w:rPr>
          <w:rFonts w:ascii="宋体" w:hAnsi="宋体" w:cs="宋体" w:eastAsia="宋体" w:hint="default"/>
          <w:sz w:val="18"/>
          <w:szCs w:val="18"/>
        </w:rPr>
      </w:pPr>
      <w:r>
        <w:rPr>
          <w:rFonts w:ascii="宋体" w:hAnsi="宋体" w:cs="宋体" w:eastAsia="宋体" w:hint="default"/>
          <w:sz w:val="18"/>
          <w:szCs w:val="18"/>
        </w:rPr>
        <w:t>其中本期坏账准备收回或转回金额重要的：</w:t>
      </w:r>
    </w:p>
    <w:p>
      <w:pPr>
        <w:spacing w:before="116"/>
        <w:ind w:left="154" w:right="-2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本期实际核销的应收账款情况</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3"/>
        <w:rPr>
          <w:rFonts w:ascii="宋体" w:hAnsi="宋体" w:cs="宋体" w:eastAsia="宋体" w:hint="default"/>
          <w:sz w:val="21"/>
          <w:szCs w:val="21"/>
        </w:rPr>
      </w:pPr>
    </w:p>
    <w:p>
      <w:pPr>
        <w:spacing w:before="0"/>
        <w:ind w:left="153" w:right="0" w:firstLine="0"/>
        <w:jc w:val="left"/>
        <w:rPr>
          <w:rFonts w:ascii="宋体" w:hAnsi="宋体" w:cs="宋体" w:eastAsia="宋体" w:hint="default"/>
          <w:sz w:val="18"/>
          <w:szCs w:val="18"/>
        </w:rPr>
      </w:pPr>
      <w:r>
        <w:rPr>
          <w:rFonts w:ascii="宋体" w:hAnsi="宋体" w:cs="宋体" w:eastAsia="宋体" w:hint="default"/>
          <w:sz w:val="18"/>
          <w:szCs w:val="18"/>
        </w:rPr>
        <w:t>单位：元</w:t>
      </w:r>
    </w:p>
    <w:p>
      <w:pPr>
        <w:spacing w:after="0"/>
        <w:jc w:val="left"/>
        <w:rPr>
          <w:rFonts w:ascii="宋体" w:hAnsi="宋体" w:cs="宋体" w:eastAsia="宋体" w:hint="default"/>
          <w:sz w:val="18"/>
          <w:szCs w:val="18"/>
        </w:rPr>
        <w:sectPr>
          <w:type w:val="continuous"/>
          <w:pgSz w:w="11910" w:h="16840"/>
          <w:pgMar w:top="1060" w:bottom="1160" w:left="980" w:right="0"/>
          <w:cols w:num="2" w:equalWidth="0">
            <w:col w:w="3575" w:space="5345"/>
            <w:col w:w="2010"/>
          </w:cols>
        </w:sectPr>
      </w:pP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4984"/>
        <w:gridCol w:w="4584"/>
      </w:tblGrid>
      <w:tr>
        <w:trPr>
          <w:trHeight w:val="402" w:hRule="exact"/>
        </w:trPr>
        <w:tc>
          <w:tcPr>
            <w:tcW w:w="49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5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核销金额</w:t>
            </w:r>
          </w:p>
        </w:tc>
      </w:tr>
      <w:tr>
        <w:trPr>
          <w:trHeight w:val="402" w:hRule="exact"/>
        </w:trPr>
        <w:tc>
          <w:tcPr>
            <w:tcW w:w="4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实际核销的应收账款</w:t>
            </w:r>
          </w:p>
        </w:tc>
        <w:tc>
          <w:tcPr>
            <w:tcW w:w="4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2,390,332.64</w:t>
            </w:r>
          </w:p>
        </w:tc>
      </w:tr>
    </w:tbl>
    <w:p>
      <w:pPr>
        <w:spacing w:line="357" w:lineRule="auto" w:before="51"/>
        <w:ind w:left="154" w:right="6822" w:firstLine="0"/>
        <w:jc w:val="left"/>
        <w:rPr>
          <w:rFonts w:ascii="宋体" w:hAnsi="宋体" w:cs="宋体" w:eastAsia="宋体" w:hint="default"/>
          <w:sz w:val="18"/>
          <w:szCs w:val="18"/>
        </w:rPr>
      </w:pPr>
      <w:r>
        <w:rPr>
          <w:rFonts w:ascii="宋体" w:hAnsi="宋体" w:cs="宋体" w:eastAsia="宋体" w:hint="default"/>
          <w:sz w:val="18"/>
          <w:szCs w:val="18"/>
        </w:rPr>
        <w:t>其中重要的应收账款核销情况： 应收账款核销说明： </w:t>
      </w:r>
      <w:r>
        <w:rPr>
          <w:rFonts w:ascii="Times New Roman" w:hAnsi="Times New Roman" w:cs="Times New Roman" w:eastAsia="Times New Roman" w:hint="default"/>
          <w:sz w:val="18"/>
          <w:szCs w:val="18"/>
        </w:rPr>
        <w:t>4)</w:t>
      </w:r>
      <w:r>
        <w:rPr>
          <w:rFonts w:ascii="宋体" w:hAnsi="宋体" w:cs="宋体" w:eastAsia="宋体" w:hint="default"/>
          <w:sz w:val="18"/>
          <w:szCs w:val="18"/>
        </w:rPr>
        <w:t>按欠款方归集的期末余额前五名的应收账款情况</w:t>
      </w:r>
    </w:p>
    <w:p>
      <w:pPr>
        <w:spacing w:line="240" w:lineRule="auto" w:before="9"/>
        <w:rPr>
          <w:rFonts w:ascii="宋体" w:hAnsi="宋体" w:cs="宋体" w:eastAsia="宋体" w:hint="default"/>
          <w:sz w:val="5"/>
          <w:szCs w:val="5"/>
        </w:rPr>
      </w:pPr>
    </w:p>
    <w:tbl>
      <w:tblPr>
        <w:tblW w:w="0" w:type="auto"/>
        <w:jc w:val="left"/>
        <w:tblInd w:w="149" w:type="dxa"/>
        <w:tblLayout w:type="fixed"/>
        <w:tblCellMar>
          <w:top w:w="0" w:type="dxa"/>
          <w:left w:w="0" w:type="dxa"/>
          <w:bottom w:w="0" w:type="dxa"/>
          <w:right w:w="0" w:type="dxa"/>
        </w:tblCellMar>
        <w:tblLook w:val="01E0"/>
      </w:tblPr>
      <w:tblGrid>
        <w:gridCol w:w="3687"/>
        <w:gridCol w:w="1984"/>
        <w:gridCol w:w="1985"/>
        <w:gridCol w:w="1843"/>
      </w:tblGrid>
      <w:tr>
        <w:trPr>
          <w:trHeight w:val="342" w:hRule="exact"/>
        </w:trPr>
        <w:tc>
          <w:tcPr>
            <w:tcW w:w="3687"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8"/>
              <w:ind w:right="0"/>
              <w:jc w:val="left"/>
              <w:rPr>
                <w:rFonts w:ascii="宋体" w:hAnsi="宋体" w:cs="宋体" w:eastAsia="宋体" w:hint="default"/>
                <w:sz w:val="26"/>
                <w:szCs w:val="26"/>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5812" w:type="dxa"/>
            <w:gridSpan w:val="3"/>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654" w:hRule="exact"/>
        </w:trPr>
        <w:tc>
          <w:tcPr>
            <w:tcW w:w="3687" w:type="dxa"/>
            <w:vMerge/>
            <w:tcBorders>
              <w:left w:val="single" w:sz="4" w:space="0" w:color="000000"/>
              <w:bottom w:val="single" w:sz="4" w:space="0" w:color="000000"/>
              <w:right w:val="single" w:sz="4" w:space="0" w:color="000000"/>
            </w:tcBorders>
            <w:shd w:val="clear" w:color="auto" w:fill="D9D9D9"/>
          </w:tcPr>
          <w:p>
            <w:pPr/>
          </w:p>
        </w:tc>
        <w:tc>
          <w:tcPr>
            <w:tcW w:w="19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
              <w:ind w:right="0"/>
              <w:jc w:val="left"/>
              <w:rPr>
                <w:rFonts w:ascii="宋体" w:hAnsi="宋体" w:cs="宋体" w:eastAsia="宋体" w:hint="default"/>
                <w:sz w:val="13"/>
                <w:szCs w:val="13"/>
              </w:rPr>
            </w:pPr>
          </w:p>
          <w:p>
            <w:pPr>
              <w:pStyle w:val="TableParagraph"/>
              <w:spacing w:line="240" w:lineRule="auto"/>
              <w:ind w:left="626"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98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21"/>
              <w:ind w:left="762" w:right="87" w:hanging="675"/>
              <w:jc w:val="left"/>
              <w:rPr>
                <w:rFonts w:ascii="Times New Roman" w:hAnsi="Times New Roman" w:cs="Times New Roman" w:eastAsia="Times New Roman" w:hint="default"/>
                <w:sz w:val="18"/>
                <w:szCs w:val="18"/>
              </w:rPr>
            </w:pPr>
            <w:r>
              <w:rPr>
                <w:rFonts w:ascii="宋体" w:hAnsi="宋体" w:cs="宋体" w:eastAsia="宋体" w:hint="default"/>
                <w:sz w:val="18"/>
                <w:szCs w:val="18"/>
              </w:rPr>
              <w:t>占应收账款合计数的比 例</w:t>
            </w:r>
            <w:r>
              <w:rPr>
                <w:rFonts w:ascii="Times New Roman" w:hAnsi="Times New Roman" w:cs="Times New Roman" w:eastAsia="Times New Roman" w:hint="default"/>
                <w:sz w:val="18"/>
                <w:szCs w:val="18"/>
              </w:rPr>
              <w:t>(%)</w:t>
            </w:r>
          </w:p>
        </w:tc>
        <w:tc>
          <w:tcPr>
            <w:tcW w:w="184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
              <w:ind w:right="0"/>
              <w:jc w:val="left"/>
              <w:rPr>
                <w:rFonts w:ascii="宋体" w:hAnsi="宋体" w:cs="宋体" w:eastAsia="宋体" w:hint="default"/>
                <w:sz w:val="13"/>
                <w:szCs w:val="13"/>
              </w:rPr>
            </w:pPr>
          </w:p>
          <w:p>
            <w:pPr>
              <w:pStyle w:val="TableParagraph"/>
              <w:spacing w:line="240" w:lineRule="auto"/>
              <w:ind w:left="555" w:right="0"/>
              <w:jc w:val="left"/>
              <w:rPr>
                <w:rFonts w:ascii="宋体" w:hAnsi="宋体" w:cs="宋体" w:eastAsia="宋体" w:hint="default"/>
                <w:sz w:val="18"/>
                <w:szCs w:val="18"/>
              </w:rPr>
            </w:pPr>
            <w:r>
              <w:rPr>
                <w:rFonts w:ascii="宋体" w:hAnsi="宋体" w:cs="宋体" w:eastAsia="宋体" w:hint="default"/>
                <w:sz w:val="18"/>
                <w:szCs w:val="18"/>
              </w:rPr>
              <w:t>坏账准备</w:t>
            </w:r>
          </w:p>
        </w:tc>
      </w:tr>
      <w:tr>
        <w:trPr>
          <w:trHeight w:val="342" w:hRule="exact"/>
        </w:trPr>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鹤壁市卓铭能源技术有限公司</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2"/>
              <w:jc w:val="right"/>
              <w:rPr>
                <w:rFonts w:ascii="Times New Roman" w:hAnsi="Times New Roman" w:cs="Times New Roman" w:eastAsia="Times New Roman" w:hint="default"/>
                <w:sz w:val="18"/>
                <w:szCs w:val="18"/>
              </w:rPr>
            </w:pPr>
            <w:r>
              <w:rPr>
                <w:rFonts w:ascii="Times New Roman"/>
                <w:spacing w:val="-1"/>
                <w:sz w:val="18"/>
              </w:rPr>
              <w:t>21,416,145.48</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z w:val="18"/>
              </w:rPr>
              <w:t>5.82%</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3"/>
              <w:jc w:val="right"/>
              <w:rPr>
                <w:rFonts w:ascii="Times New Roman" w:hAnsi="Times New Roman" w:cs="Times New Roman" w:eastAsia="Times New Roman" w:hint="default"/>
                <w:sz w:val="18"/>
                <w:szCs w:val="18"/>
              </w:rPr>
            </w:pPr>
            <w:r>
              <w:rPr>
                <w:rFonts w:ascii="Times New Roman"/>
                <w:spacing w:val="-1"/>
                <w:sz w:val="18"/>
              </w:rPr>
              <w:t>1,070,807.27</w:t>
            </w:r>
          </w:p>
        </w:tc>
      </w:tr>
      <w:tr>
        <w:trPr>
          <w:trHeight w:val="342" w:hRule="exact"/>
        </w:trPr>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福建新开普信息科技有限公司</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2"/>
              <w:jc w:val="right"/>
              <w:rPr>
                <w:rFonts w:ascii="Times New Roman" w:hAnsi="Times New Roman" w:cs="Times New Roman" w:eastAsia="Times New Roman" w:hint="default"/>
                <w:sz w:val="18"/>
                <w:szCs w:val="18"/>
              </w:rPr>
            </w:pPr>
            <w:r>
              <w:rPr>
                <w:rFonts w:ascii="Times New Roman"/>
                <w:spacing w:val="-1"/>
                <w:sz w:val="18"/>
              </w:rPr>
              <w:t>20,950,106.76</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z w:val="18"/>
              </w:rPr>
              <w:t>5.70%</w:t>
            </w:r>
          </w:p>
        </w:tc>
        <w:tc>
          <w:tcPr>
            <w:tcW w:w="1843" w:type="dxa"/>
            <w:tcBorders>
              <w:top w:val="single" w:sz="4" w:space="0" w:color="000000"/>
              <w:left w:val="single" w:sz="4" w:space="0" w:color="000000"/>
              <w:bottom w:val="single" w:sz="4" w:space="0" w:color="000000"/>
              <w:right w:val="single" w:sz="4" w:space="0" w:color="000000"/>
            </w:tcBorders>
          </w:tcPr>
          <w:p>
            <w:pPr/>
          </w:p>
        </w:tc>
      </w:tr>
      <w:tr>
        <w:trPr>
          <w:trHeight w:val="342" w:hRule="exact"/>
        </w:trPr>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河南优中贸易有限公司</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2"/>
              <w:jc w:val="right"/>
              <w:rPr>
                <w:rFonts w:ascii="Times New Roman" w:hAnsi="Times New Roman" w:cs="Times New Roman" w:eastAsia="Times New Roman" w:hint="default"/>
                <w:sz w:val="18"/>
                <w:szCs w:val="18"/>
              </w:rPr>
            </w:pPr>
            <w:r>
              <w:rPr>
                <w:rFonts w:ascii="Times New Roman"/>
                <w:spacing w:val="-1"/>
                <w:sz w:val="18"/>
              </w:rPr>
              <w:t>17,443,458.20</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z w:val="18"/>
              </w:rPr>
              <w:t>4.74%</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3"/>
              <w:jc w:val="right"/>
              <w:rPr>
                <w:rFonts w:ascii="Times New Roman" w:hAnsi="Times New Roman" w:cs="Times New Roman" w:eastAsia="Times New Roman" w:hint="default"/>
                <w:sz w:val="18"/>
                <w:szCs w:val="18"/>
              </w:rPr>
            </w:pPr>
            <w:r>
              <w:rPr>
                <w:rFonts w:ascii="Times New Roman"/>
                <w:sz w:val="18"/>
              </w:rPr>
              <w:t>872,172.91</w:t>
            </w:r>
          </w:p>
        </w:tc>
      </w:tr>
      <w:tr>
        <w:trPr>
          <w:trHeight w:val="342" w:hRule="exact"/>
        </w:trPr>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中国农业银行股份有限公司上海市分行</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2"/>
              <w:jc w:val="right"/>
              <w:rPr>
                <w:rFonts w:ascii="Times New Roman" w:hAnsi="Times New Roman" w:cs="Times New Roman" w:eastAsia="Times New Roman" w:hint="default"/>
                <w:sz w:val="18"/>
                <w:szCs w:val="18"/>
              </w:rPr>
            </w:pPr>
            <w:r>
              <w:rPr>
                <w:rFonts w:ascii="Times New Roman"/>
                <w:spacing w:val="-1"/>
                <w:sz w:val="18"/>
              </w:rPr>
              <w:t>11,350,651.15</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z w:val="18"/>
              </w:rPr>
              <w:t>3.09%</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3"/>
              <w:jc w:val="right"/>
              <w:rPr>
                <w:rFonts w:ascii="Times New Roman" w:hAnsi="Times New Roman" w:cs="Times New Roman" w:eastAsia="Times New Roman" w:hint="default"/>
                <w:sz w:val="18"/>
                <w:szCs w:val="18"/>
              </w:rPr>
            </w:pPr>
            <w:r>
              <w:rPr>
                <w:rFonts w:ascii="Times New Roman"/>
                <w:sz w:val="18"/>
              </w:rPr>
              <w:t>567,532.56</w:t>
            </w:r>
          </w:p>
        </w:tc>
      </w:tr>
      <w:tr>
        <w:trPr>
          <w:trHeight w:val="342" w:hRule="exact"/>
        </w:trPr>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中国工商银行股份有限公司咸阳文林路支行</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2"/>
              <w:jc w:val="right"/>
              <w:rPr>
                <w:rFonts w:ascii="Times New Roman" w:hAnsi="Times New Roman" w:cs="Times New Roman" w:eastAsia="Times New Roman" w:hint="default"/>
                <w:sz w:val="18"/>
                <w:szCs w:val="18"/>
              </w:rPr>
            </w:pPr>
            <w:r>
              <w:rPr>
                <w:rFonts w:ascii="Times New Roman"/>
                <w:spacing w:val="-1"/>
                <w:sz w:val="18"/>
              </w:rPr>
              <w:t>8,233,192.47</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z w:val="18"/>
              </w:rPr>
              <w:t>2.24%</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3"/>
              <w:jc w:val="right"/>
              <w:rPr>
                <w:rFonts w:ascii="Times New Roman" w:hAnsi="Times New Roman" w:cs="Times New Roman" w:eastAsia="Times New Roman" w:hint="default"/>
                <w:sz w:val="18"/>
                <w:szCs w:val="18"/>
              </w:rPr>
            </w:pPr>
            <w:r>
              <w:rPr>
                <w:rFonts w:ascii="Times New Roman"/>
                <w:sz w:val="18"/>
              </w:rPr>
              <w:t>792,590.62</w:t>
            </w:r>
          </w:p>
        </w:tc>
      </w:tr>
      <w:tr>
        <w:trPr>
          <w:trHeight w:val="343" w:hRule="exact"/>
        </w:trPr>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合计</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2"/>
              <w:jc w:val="right"/>
              <w:rPr>
                <w:rFonts w:ascii="Times New Roman" w:hAnsi="Times New Roman" w:cs="Times New Roman" w:eastAsia="Times New Roman" w:hint="default"/>
                <w:sz w:val="18"/>
                <w:szCs w:val="18"/>
              </w:rPr>
            </w:pPr>
            <w:r>
              <w:rPr>
                <w:rFonts w:ascii="Times New Roman"/>
                <w:spacing w:val="-1"/>
                <w:sz w:val="18"/>
              </w:rPr>
              <w:t>79,393,554.06</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z w:val="18"/>
              </w:rPr>
              <w:t>21.58%</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3"/>
              <w:jc w:val="right"/>
              <w:rPr>
                <w:rFonts w:ascii="Times New Roman" w:hAnsi="Times New Roman" w:cs="Times New Roman" w:eastAsia="Times New Roman" w:hint="default"/>
                <w:sz w:val="18"/>
                <w:szCs w:val="18"/>
              </w:rPr>
            </w:pPr>
            <w:r>
              <w:rPr>
                <w:rFonts w:ascii="Times New Roman"/>
                <w:spacing w:val="-1"/>
                <w:sz w:val="18"/>
              </w:rPr>
              <w:t>3,303,103.37</w:t>
            </w:r>
          </w:p>
        </w:tc>
      </w:tr>
    </w:tbl>
    <w:p>
      <w:pPr>
        <w:spacing w:before="51"/>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因金融资产转移而终止确认的应收账款</w:t>
      </w:r>
    </w:p>
    <w:p>
      <w:pPr>
        <w:spacing w:line="340" w:lineRule="auto" w:before="102"/>
        <w:ind w:left="154" w:right="682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转移应收账款且继续涉入形成的资产、负债金额</w:t>
      </w:r>
      <w:r>
        <w:rPr>
          <w:rFonts w:ascii="宋体" w:hAnsi="宋体" w:cs="宋体" w:eastAsia="宋体" w:hint="default"/>
          <w:w w:val="99"/>
          <w:sz w:val="18"/>
          <w:szCs w:val="18"/>
        </w:rPr>
        <w:t> </w:t>
      </w:r>
      <w:r>
        <w:rPr>
          <w:rFonts w:ascii="宋体" w:hAnsi="宋体" w:cs="宋体" w:eastAsia="宋体" w:hint="default"/>
          <w:sz w:val="18"/>
          <w:szCs w:val="18"/>
        </w:rPr>
        <w:t>其他说明：</w:t>
      </w:r>
    </w:p>
    <w:p>
      <w:pPr>
        <w:spacing w:line="240" w:lineRule="auto" w:before="12"/>
        <w:rPr>
          <w:rFonts w:ascii="宋体" w:hAnsi="宋体" w:cs="宋体" w:eastAsia="宋体" w:hint="default"/>
          <w:sz w:val="20"/>
          <w:szCs w:val="20"/>
        </w:rPr>
      </w:pPr>
    </w:p>
    <w:p>
      <w:pPr>
        <w:pStyle w:val="Heading4"/>
        <w:spacing w:line="240" w:lineRule="auto"/>
        <w:ind w:right="1117"/>
        <w:jc w:val="left"/>
        <w:rPr>
          <w:b w:val="0"/>
          <w:bCs w:val="0"/>
        </w:rPr>
      </w:pPr>
      <w:bookmarkStart w:name="2、其他应收款" w:id="452"/>
      <w:bookmarkEnd w:id="452"/>
      <w:r>
        <w:rPr>
          <w:b w:val="0"/>
          <w:bCs w:val="0"/>
        </w:rPr>
      </w:r>
      <w:r>
        <w:rPr>
          <w:rFonts w:ascii="Times New Roman" w:hAnsi="Times New Roman" w:cs="Times New Roman" w:eastAsia="Times New Roman" w:hint="default"/>
        </w:rPr>
        <w:t>2</w:t>
      </w:r>
      <w:r>
        <w:rPr/>
        <w:t>、其他应收款</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167"/>
        <w:gridCol w:w="3202"/>
        <w:gridCol w:w="3190"/>
      </w:tblGrid>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30,093,637.60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30,693,961.12</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30,093,637.60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30,693,961.12</w:t>
            </w:r>
          </w:p>
        </w:tc>
      </w:tr>
    </w:tbl>
    <w:p>
      <w:pPr>
        <w:spacing w:after="0" w:line="240" w:lineRule="auto"/>
        <w:jc w:val="right"/>
        <w:rPr>
          <w:rFonts w:ascii="Times New Roman" w:hAnsi="Times New Roman" w:cs="Times New Roman" w:eastAsia="Times New Roman" w:hint="default"/>
          <w:sz w:val="18"/>
          <w:szCs w:val="18"/>
        </w:rPr>
        <w:sectPr>
          <w:type w:val="continuous"/>
          <w:pgSz w:w="11910" w:h="16840"/>
          <w:pgMar w:top="1060" w:bottom="1160" w:left="980" w:right="0"/>
        </w:sectPr>
      </w:pPr>
    </w:p>
    <w:p>
      <w:pPr>
        <w:spacing w:line="240" w:lineRule="auto" w:before="10"/>
        <w:rPr>
          <w:rFonts w:ascii="宋体" w:hAnsi="宋体" w:cs="宋体" w:eastAsia="宋体" w:hint="default"/>
          <w:sz w:val="24"/>
          <w:szCs w:val="24"/>
        </w:rPr>
      </w:pPr>
    </w:p>
    <w:p>
      <w:pPr>
        <w:pStyle w:val="Heading4"/>
        <w:spacing w:line="240" w:lineRule="auto" w:before="35"/>
        <w:ind w:right="1117"/>
        <w:jc w:val="left"/>
        <w:rPr>
          <w:b w:val="0"/>
          <w:bCs w:val="0"/>
        </w:rPr>
      </w:pPr>
      <w:bookmarkStart w:name="（1）应收利息" w:id="453"/>
      <w:bookmarkEnd w:id="453"/>
      <w:r>
        <w:rPr>
          <w:b w:val="0"/>
          <w:bCs w:val="0"/>
        </w:rPr>
      </w:r>
      <w:r>
        <w:rPr/>
        <w:t>（</w:t>
      </w:r>
      <w:r>
        <w:rPr>
          <w:rFonts w:ascii="Times New Roman" w:hAnsi="Times New Roman" w:cs="Times New Roman" w:eastAsia="Times New Roman" w:hint="default"/>
        </w:rPr>
        <w:t>1</w:t>
      </w:r>
      <w:r>
        <w:rPr/>
        <w:t>）应收利息</w:t>
      </w:r>
      <w:r>
        <w:rPr>
          <w:b w:val="0"/>
          <w:bCs w:val="0"/>
        </w:rPr>
      </w:r>
    </w:p>
    <w:p>
      <w:pPr>
        <w:spacing w:line="240" w:lineRule="auto" w:before="8"/>
        <w:rPr>
          <w:rFonts w:ascii="宋体" w:hAnsi="宋体" w:cs="宋体" w:eastAsia="宋体" w:hint="default"/>
          <w:b/>
          <w:bCs/>
          <w:sz w:val="26"/>
          <w:szCs w:val="26"/>
        </w:rPr>
      </w:pPr>
    </w:p>
    <w:p>
      <w:pPr>
        <w:spacing w:before="0"/>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应收利息分类</w:t>
      </w:r>
    </w:p>
    <w:p>
      <w:pPr>
        <w:spacing w:line="340" w:lineRule="auto" w:before="102"/>
        <w:ind w:left="154" w:right="952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重要逾期利息</w:t>
      </w:r>
      <w:r>
        <w:rPr>
          <w:rFonts w:ascii="宋体" w:hAnsi="宋体" w:cs="宋体" w:eastAsia="宋体" w:hint="default"/>
          <w:w w:val="99"/>
          <w:sz w:val="18"/>
          <w:szCs w:val="18"/>
        </w:rPr>
        <w:t> </w:t>
      </w:r>
      <w:r>
        <w:rPr>
          <w:rFonts w:ascii="宋体" w:hAnsi="宋体" w:cs="宋体" w:eastAsia="宋体" w:hint="default"/>
          <w:sz w:val="18"/>
          <w:szCs w:val="18"/>
        </w:rPr>
        <w:t>其他说明：</w:t>
      </w:r>
    </w:p>
    <w:p>
      <w:pPr>
        <w:spacing w:line="240" w:lineRule="auto" w:before="12"/>
        <w:rPr>
          <w:rFonts w:ascii="宋体" w:hAnsi="宋体" w:cs="宋体" w:eastAsia="宋体" w:hint="default"/>
          <w:sz w:val="20"/>
          <w:szCs w:val="20"/>
        </w:rPr>
      </w:pPr>
    </w:p>
    <w:p>
      <w:pPr>
        <w:pStyle w:val="Heading4"/>
        <w:spacing w:line="240" w:lineRule="auto"/>
        <w:ind w:right="1117"/>
        <w:jc w:val="left"/>
        <w:rPr>
          <w:b w:val="0"/>
          <w:bCs w:val="0"/>
        </w:rPr>
      </w:pPr>
      <w:bookmarkStart w:name="（2）应收股利" w:id="454"/>
      <w:bookmarkEnd w:id="454"/>
      <w:r>
        <w:rPr>
          <w:b w:val="0"/>
          <w:bCs w:val="0"/>
        </w:rPr>
      </w:r>
      <w:r>
        <w:rPr/>
        <w:t>（</w:t>
      </w:r>
      <w:r>
        <w:rPr>
          <w:rFonts w:ascii="Times New Roman" w:hAnsi="Times New Roman" w:cs="Times New Roman" w:eastAsia="Times New Roman" w:hint="default"/>
        </w:rPr>
        <w:t>2</w:t>
      </w:r>
      <w:r>
        <w:rPr/>
        <w:t>）应收股利</w:t>
      </w:r>
      <w:r>
        <w:rPr>
          <w:b w:val="0"/>
          <w:bCs w:val="0"/>
        </w:rPr>
      </w:r>
    </w:p>
    <w:p>
      <w:pPr>
        <w:spacing w:line="240" w:lineRule="auto" w:before="9"/>
        <w:rPr>
          <w:rFonts w:ascii="宋体" w:hAnsi="宋体" w:cs="宋体" w:eastAsia="宋体" w:hint="default"/>
          <w:b/>
          <w:bCs/>
          <w:sz w:val="26"/>
          <w:szCs w:val="26"/>
        </w:rPr>
      </w:pPr>
    </w:p>
    <w:p>
      <w:pPr>
        <w:spacing w:before="0"/>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应收股利</w:t>
      </w:r>
    </w:p>
    <w:p>
      <w:pPr>
        <w:spacing w:line="338" w:lineRule="auto" w:before="102"/>
        <w:ind w:left="154" w:right="808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重要的账龄超过</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年的应收股利</w:t>
      </w:r>
      <w:r>
        <w:rPr>
          <w:rFonts w:ascii="宋体" w:hAnsi="宋体" w:cs="宋体" w:eastAsia="宋体" w:hint="default"/>
          <w:w w:val="99"/>
          <w:sz w:val="18"/>
          <w:szCs w:val="18"/>
        </w:rPr>
        <w:t> </w:t>
      </w:r>
      <w:r>
        <w:rPr>
          <w:rFonts w:ascii="宋体" w:hAnsi="宋体" w:cs="宋体" w:eastAsia="宋体" w:hint="default"/>
          <w:sz w:val="18"/>
          <w:szCs w:val="18"/>
        </w:rPr>
        <w:t>其他说明：</w:t>
      </w:r>
    </w:p>
    <w:p>
      <w:pPr>
        <w:spacing w:line="240" w:lineRule="auto" w:before="2"/>
        <w:rPr>
          <w:rFonts w:ascii="宋体" w:hAnsi="宋体" w:cs="宋体" w:eastAsia="宋体" w:hint="default"/>
          <w:sz w:val="21"/>
          <w:szCs w:val="21"/>
        </w:rPr>
      </w:pPr>
    </w:p>
    <w:p>
      <w:pPr>
        <w:pStyle w:val="Heading4"/>
        <w:spacing w:line="240" w:lineRule="auto"/>
        <w:ind w:right="1117"/>
        <w:jc w:val="left"/>
        <w:rPr>
          <w:b w:val="0"/>
          <w:bCs w:val="0"/>
        </w:rPr>
      </w:pPr>
      <w:bookmarkStart w:name="（3）其他应收款" w:id="455"/>
      <w:bookmarkEnd w:id="455"/>
      <w:r>
        <w:rPr>
          <w:b w:val="0"/>
          <w:bCs w:val="0"/>
        </w:rPr>
      </w:r>
      <w:r>
        <w:rPr/>
        <w:t>（</w:t>
      </w:r>
      <w:r>
        <w:rPr>
          <w:rFonts w:ascii="Times New Roman" w:hAnsi="Times New Roman" w:cs="Times New Roman" w:eastAsia="Times New Roman" w:hint="default"/>
        </w:rPr>
        <w:t>3</w:t>
      </w:r>
      <w:r>
        <w:rPr/>
        <w:t>）其他应收款</w:t>
      </w:r>
      <w:r>
        <w:rPr>
          <w:b w:val="0"/>
          <w:bCs w:val="0"/>
        </w:rPr>
      </w:r>
    </w:p>
    <w:p>
      <w:pPr>
        <w:spacing w:line="240" w:lineRule="auto" w:before="4"/>
        <w:rPr>
          <w:rFonts w:ascii="宋体" w:hAnsi="宋体" w:cs="宋体" w:eastAsia="宋体" w:hint="default"/>
          <w:b/>
          <w:bCs/>
          <w:sz w:val="23"/>
          <w:szCs w:val="23"/>
        </w:rPr>
      </w:pPr>
    </w:p>
    <w:p>
      <w:pPr>
        <w:spacing w:before="44"/>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其他应收款分类披露</w:t>
      </w:r>
    </w:p>
    <w:p>
      <w:pPr>
        <w:spacing w:before="102"/>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1623"/>
        <w:gridCol w:w="763"/>
        <w:gridCol w:w="762"/>
        <w:gridCol w:w="762"/>
        <w:gridCol w:w="762"/>
        <w:gridCol w:w="790"/>
        <w:gridCol w:w="654"/>
        <w:gridCol w:w="762"/>
        <w:gridCol w:w="813"/>
        <w:gridCol w:w="932"/>
        <w:gridCol w:w="932"/>
      </w:tblGrid>
      <w:tr>
        <w:trPr>
          <w:trHeight w:val="403" w:hRule="exact"/>
        </w:trPr>
        <w:tc>
          <w:tcPr>
            <w:tcW w:w="1623" w:type="dxa"/>
            <w:vMerge w:val="restart"/>
            <w:tcBorders>
              <w:top w:val="single" w:sz="4" w:space="0" w:color="000000"/>
              <w:left w:val="single" w:sz="4" w:space="0" w:color="000000"/>
              <w:right w:val="single" w:sz="4" w:space="0" w:color="000000"/>
            </w:tcBorders>
            <w:shd w:val="clear" w:color="auto" w:fill="D2D2D2"/>
          </w:tcPr>
          <w:p>
            <w:pPr/>
          </w:p>
        </w:tc>
        <w:tc>
          <w:tcPr>
            <w:tcW w:w="3839"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094"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61" w:hRule="exact"/>
        </w:trPr>
        <w:tc>
          <w:tcPr>
            <w:tcW w:w="1623" w:type="dxa"/>
            <w:vMerge/>
            <w:tcBorders>
              <w:left w:val="single" w:sz="4" w:space="0" w:color="000000"/>
              <w:bottom w:val="nil" w:sz="6" w:space="0" w:color="auto"/>
              <w:right w:val="single" w:sz="4" w:space="0" w:color="000000"/>
            </w:tcBorders>
            <w:shd w:val="clear" w:color="auto" w:fill="D2D2D2"/>
          </w:tcPr>
          <w:p>
            <w:pPr/>
          </w:p>
        </w:tc>
        <w:tc>
          <w:tcPr>
            <w:tcW w:w="1525"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39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24"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397"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790" w:type="dxa"/>
            <w:vMerge w:val="restart"/>
            <w:tcBorders>
              <w:top w:val="single" w:sz="4" w:space="0" w:color="000000"/>
              <w:left w:val="single" w:sz="4" w:space="0" w:color="000000"/>
              <w:right w:val="single" w:sz="4" w:space="0" w:color="000000"/>
            </w:tcBorders>
            <w:shd w:val="clear" w:color="auto" w:fill="D2D2D2"/>
          </w:tcPr>
          <w:p>
            <w:pPr/>
          </w:p>
        </w:tc>
        <w:tc>
          <w:tcPr>
            <w:tcW w:w="1416"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342"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745"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506"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932" w:type="dxa"/>
            <w:vMerge w:val="restart"/>
            <w:tcBorders>
              <w:top w:val="single" w:sz="4" w:space="0" w:color="000000"/>
              <w:left w:val="single" w:sz="4" w:space="0" w:color="000000"/>
              <w:right w:val="single" w:sz="4" w:space="0" w:color="000000"/>
            </w:tcBorders>
            <w:shd w:val="clear" w:color="auto" w:fill="D2D2D2"/>
          </w:tcPr>
          <w:p>
            <w:pPr/>
          </w:p>
        </w:tc>
      </w:tr>
      <w:tr>
        <w:trPr>
          <w:trHeight w:val="241" w:hRule="exact"/>
        </w:trPr>
        <w:tc>
          <w:tcPr>
            <w:tcW w:w="162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11"/>
              <w:jc w:val="center"/>
              <w:rPr>
                <w:rFonts w:ascii="宋体" w:hAnsi="宋体" w:cs="宋体" w:eastAsia="宋体" w:hint="default"/>
                <w:sz w:val="18"/>
                <w:szCs w:val="18"/>
              </w:rPr>
            </w:pPr>
            <w:r>
              <w:rPr>
                <w:rFonts w:ascii="宋体" w:hAnsi="宋体" w:cs="宋体" w:eastAsia="宋体" w:hint="default"/>
                <w:sz w:val="18"/>
                <w:szCs w:val="18"/>
              </w:rPr>
              <w:t>类别</w:t>
            </w:r>
          </w:p>
        </w:tc>
        <w:tc>
          <w:tcPr>
            <w:tcW w:w="1525" w:type="dxa"/>
            <w:gridSpan w:val="2"/>
            <w:vMerge/>
            <w:tcBorders>
              <w:left w:val="single" w:sz="4" w:space="0" w:color="000000"/>
              <w:bottom w:val="single" w:sz="4" w:space="0" w:color="000000"/>
              <w:right w:val="single" w:sz="4" w:space="0" w:color="000000"/>
            </w:tcBorders>
            <w:shd w:val="clear" w:color="auto" w:fill="D2D2D2"/>
          </w:tcPr>
          <w:p>
            <w:pPr/>
          </w:p>
        </w:tc>
        <w:tc>
          <w:tcPr>
            <w:tcW w:w="1524" w:type="dxa"/>
            <w:gridSpan w:val="2"/>
            <w:vMerge/>
            <w:tcBorders>
              <w:left w:val="single" w:sz="4" w:space="0" w:color="000000"/>
              <w:bottom w:val="single" w:sz="4" w:space="0" w:color="000000"/>
              <w:right w:val="single" w:sz="4" w:space="0" w:color="000000"/>
            </w:tcBorders>
            <w:shd w:val="clear" w:color="auto" w:fill="D2D2D2"/>
          </w:tcPr>
          <w:p>
            <w:pPr/>
          </w:p>
        </w:tc>
        <w:tc>
          <w:tcPr>
            <w:tcW w:w="790" w:type="dxa"/>
            <w:vMerge/>
            <w:tcBorders>
              <w:left w:val="single" w:sz="4" w:space="0" w:color="000000"/>
              <w:bottom w:val="nil" w:sz="6" w:space="0" w:color="auto"/>
              <w:right w:val="single" w:sz="4" w:space="0" w:color="000000"/>
            </w:tcBorders>
            <w:shd w:val="clear" w:color="auto" w:fill="D2D2D2"/>
          </w:tcPr>
          <w:p>
            <w:pPr/>
          </w:p>
        </w:tc>
        <w:tc>
          <w:tcPr>
            <w:tcW w:w="1416" w:type="dxa"/>
            <w:gridSpan w:val="2"/>
            <w:vMerge/>
            <w:tcBorders>
              <w:left w:val="single" w:sz="4" w:space="0" w:color="000000"/>
              <w:bottom w:val="single" w:sz="4" w:space="0" w:color="000000"/>
              <w:right w:val="single" w:sz="4" w:space="0" w:color="000000"/>
            </w:tcBorders>
            <w:shd w:val="clear" w:color="auto" w:fill="D2D2D2"/>
          </w:tcPr>
          <w:p>
            <w:pPr/>
          </w:p>
        </w:tc>
        <w:tc>
          <w:tcPr>
            <w:tcW w:w="1745" w:type="dxa"/>
            <w:gridSpan w:val="2"/>
            <w:vMerge/>
            <w:tcBorders>
              <w:left w:val="single" w:sz="4" w:space="0" w:color="000000"/>
              <w:bottom w:val="single" w:sz="4" w:space="0" w:color="000000"/>
              <w:right w:val="single" w:sz="4" w:space="0" w:color="000000"/>
            </w:tcBorders>
            <w:shd w:val="clear" w:color="auto" w:fill="D2D2D2"/>
          </w:tcPr>
          <w:p>
            <w:pPr/>
          </w:p>
        </w:tc>
        <w:tc>
          <w:tcPr>
            <w:tcW w:w="932" w:type="dxa"/>
            <w:vMerge/>
            <w:tcBorders>
              <w:left w:val="single" w:sz="4" w:space="0" w:color="000000"/>
              <w:bottom w:val="nil" w:sz="6" w:space="0" w:color="auto"/>
              <w:right w:val="single" w:sz="4" w:space="0" w:color="000000"/>
            </w:tcBorders>
            <w:shd w:val="clear" w:color="auto" w:fill="D2D2D2"/>
          </w:tcPr>
          <w:p>
            <w:pPr/>
          </w:p>
        </w:tc>
      </w:tr>
      <w:tr>
        <w:trPr>
          <w:trHeight w:val="159" w:hRule="exact"/>
        </w:trPr>
        <w:tc>
          <w:tcPr>
            <w:tcW w:w="1623" w:type="dxa"/>
            <w:vMerge/>
            <w:tcBorders>
              <w:left w:val="single" w:sz="4" w:space="0" w:color="000000"/>
              <w:bottom w:val="single" w:sz="4" w:space="0" w:color="FFFFFF"/>
              <w:right w:val="single" w:sz="4" w:space="0" w:color="000000"/>
            </w:tcBorders>
            <w:shd w:val="clear" w:color="auto" w:fill="D2D2D2"/>
          </w:tcPr>
          <w:p>
            <w:pPr/>
          </w:p>
        </w:tc>
        <w:tc>
          <w:tcPr>
            <w:tcW w:w="763"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2"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2"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2"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2"/>
              <w:ind w:left="285" w:right="104" w:hanging="180"/>
              <w:jc w:val="left"/>
              <w:rPr>
                <w:rFonts w:ascii="宋体" w:hAnsi="宋体" w:cs="宋体" w:eastAsia="宋体" w:hint="default"/>
                <w:sz w:val="18"/>
                <w:szCs w:val="18"/>
              </w:rPr>
            </w:pPr>
            <w:r>
              <w:rPr>
                <w:rFonts w:ascii="宋体" w:hAnsi="宋体" w:cs="宋体" w:eastAsia="宋体" w:hint="default"/>
                <w:sz w:val="18"/>
                <w:szCs w:val="18"/>
              </w:rPr>
              <w:t>计提比 例</w:t>
            </w:r>
          </w:p>
        </w:tc>
        <w:tc>
          <w:tcPr>
            <w:tcW w:w="79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1"/>
              <w:ind w:left="29"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654" w:type="dxa"/>
            <w:tcBorders>
              <w:top w:val="single" w:sz="4" w:space="0" w:color="000000"/>
              <w:left w:val="single" w:sz="4" w:space="0" w:color="000000"/>
              <w:bottom w:val="nil" w:sz="6" w:space="0" w:color="auto"/>
              <w:right w:val="single" w:sz="4" w:space="0" w:color="000000"/>
            </w:tcBorders>
            <w:shd w:val="clear" w:color="auto" w:fill="D2D2D2"/>
          </w:tcPr>
          <w:p>
            <w:pPr/>
          </w:p>
        </w:tc>
        <w:tc>
          <w:tcPr>
            <w:tcW w:w="762" w:type="dxa"/>
            <w:tcBorders>
              <w:top w:val="single" w:sz="4" w:space="0" w:color="000000"/>
              <w:left w:val="single" w:sz="4" w:space="0" w:color="000000"/>
              <w:bottom w:val="nil" w:sz="6" w:space="0" w:color="auto"/>
              <w:right w:val="single" w:sz="4" w:space="0" w:color="000000"/>
            </w:tcBorders>
            <w:shd w:val="clear" w:color="auto" w:fill="D2D2D2"/>
          </w:tcPr>
          <w:p>
            <w:pPr/>
          </w:p>
        </w:tc>
        <w:tc>
          <w:tcPr>
            <w:tcW w:w="813" w:type="dxa"/>
            <w:tcBorders>
              <w:top w:val="single" w:sz="4" w:space="0" w:color="000000"/>
              <w:left w:val="single" w:sz="4" w:space="0" w:color="000000"/>
              <w:bottom w:val="nil" w:sz="6" w:space="0" w:color="auto"/>
              <w:right w:val="single" w:sz="4" w:space="0" w:color="000000"/>
            </w:tcBorders>
            <w:shd w:val="clear" w:color="auto" w:fill="D2D2D2"/>
          </w:tcPr>
          <w:p>
            <w:pPr/>
          </w:p>
        </w:tc>
        <w:tc>
          <w:tcPr>
            <w:tcW w:w="932" w:type="dxa"/>
            <w:tcBorders>
              <w:top w:val="single" w:sz="4" w:space="0" w:color="000000"/>
              <w:left w:val="single" w:sz="4" w:space="0" w:color="000000"/>
              <w:bottom w:val="nil" w:sz="6" w:space="0" w:color="auto"/>
              <w:right w:val="single" w:sz="4" w:space="0" w:color="000000"/>
            </w:tcBorders>
            <w:shd w:val="clear" w:color="auto" w:fill="D2D2D2"/>
          </w:tcPr>
          <w:p>
            <w:pPr/>
          </w:p>
        </w:tc>
        <w:tc>
          <w:tcPr>
            <w:tcW w:w="93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194" w:hRule="exact"/>
        </w:trPr>
        <w:tc>
          <w:tcPr>
            <w:tcW w:w="1623" w:type="dxa"/>
            <w:vMerge w:val="restart"/>
            <w:tcBorders>
              <w:top w:val="single" w:sz="4" w:space="0" w:color="FFFFFF"/>
              <w:left w:val="single" w:sz="4" w:space="0" w:color="000000"/>
              <w:right w:val="single" w:sz="4" w:space="0" w:color="000000"/>
            </w:tcBorders>
            <w:shd w:val="clear" w:color="auto" w:fill="D2D2D2"/>
          </w:tcPr>
          <w:p>
            <w:pPr/>
          </w:p>
        </w:tc>
        <w:tc>
          <w:tcPr>
            <w:tcW w:w="763"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8"/>
              <w:ind w:left="195"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8"/>
              <w:ind w:left="195"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762"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8"/>
              <w:ind w:left="195"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vMerge/>
            <w:tcBorders>
              <w:left w:val="single" w:sz="4" w:space="0" w:color="000000"/>
              <w:right w:val="single" w:sz="4" w:space="0" w:color="000000"/>
            </w:tcBorders>
            <w:shd w:val="clear" w:color="auto" w:fill="D2D2D2"/>
          </w:tcPr>
          <w:p>
            <w:pPr/>
          </w:p>
        </w:tc>
        <w:tc>
          <w:tcPr>
            <w:tcW w:w="790" w:type="dxa"/>
            <w:vMerge/>
            <w:tcBorders>
              <w:left w:val="single" w:sz="4" w:space="0" w:color="000000"/>
              <w:bottom w:val="nil" w:sz="6" w:space="0" w:color="auto"/>
              <w:right w:val="single" w:sz="4" w:space="0" w:color="000000"/>
            </w:tcBorders>
            <w:shd w:val="clear" w:color="auto" w:fill="D2D2D2"/>
          </w:tcPr>
          <w:p>
            <w:pPr/>
          </w:p>
        </w:tc>
        <w:tc>
          <w:tcPr>
            <w:tcW w:w="65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4"/>
              <w:ind w:left="141"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4"/>
              <w:ind w:left="195"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81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4"/>
              <w:ind w:left="221"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93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4"/>
              <w:ind w:left="101"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932" w:type="dxa"/>
            <w:vMerge/>
            <w:tcBorders>
              <w:left w:val="single" w:sz="4" w:space="0" w:color="000000"/>
              <w:bottom w:val="nil" w:sz="6" w:space="0" w:color="auto"/>
              <w:right w:val="single" w:sz="4" w:space="0" w:color="000000"/>
            </w:tcBorders>
            <w:shd w:val="clear" w:color="auto" w:fill="D2D2D2"/>
          </w:tcPr>
          <w:p>
            <w:pPr/>
          </w:p>
        </w:tc>
      </w:tr>
      <w:tr>
        <w:trPr>
          <w:trHeight w:val="200" w:hRule="exact"/>
        </w:trPr>
        <w:tc>
          <w:tcPr>
            <w:tcW w:w="1623" w:type="dxa"/>
            <w:vMerge/>
            <w:tcBorders>
              <w:left w:val="single" w:sz="4" w:space="0" w:color="000000"/>
              <w:right w:val="single" w:sz="4" w:space="0" w:color="000000"/>
            </w:tcBorders>
            <w:shd w:val="clear" w:color="auto" w:fill="D2D2D2"/>
          </w:tcPr>
          <w:p>
            <w:pPr/>
          </w:p>
        </w:tc>
        <w:tc>
          <w:tcPr>
            <w:tcW w:w="763"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right w:val="single" w:sz="4" w:space="0" w:color="000000"/>
            </w:tcBorders>
            <w:shd w:val="clear" w:color="auto" w:fill="D2D2D2"/>
          </w:tcPr>
          <w:p>
            <w:pPr/>
          </w:p>
        </w:tc>
        <w:tc>
          <w:tcPr>
            <w:tcW w:w="790" w:type="dxa"/>
            <w:vMerge w:val="restart"/>
            <w:tcBorders>
              <w:top w:val="nil" w:sz="6" w:space="0" w:color="auto"/>
              <w:left w:val="single" w:sz="4" w:space="0" w:color="000000"/>
              <w:right w:val="single" w:sz="4" w:space="0" w:color="000000"/>
            </w:tcBorders>
            <w:shd w:val="clear" w:color="auto" w:fill="D2D2D2"/>
          </w:tcPr>
          <w:p>
            <w:pPr/>
          </w:p>
        </w:tc>
        <w:tc>
          <w:tcPr>
            <w:tcW w:w="654"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bottom w:val="nil" w:sz="6" w:space="0" w:color="auto"/>
              <w:right w:val="single" w:sz="4" w:space="0" w:color="000000"/>
            </w:tcBorders>
            <w:shd w:val="clear" w:color="auto" w:fill="D2D2D2"/>
          </w:tcPr>
          <w:p>
            <w:pPr/>
          </w:p>
        </w:tc>
        <w:tc>
          <w:tcPr>
            <w:tcW w:w="813" w:type="dxa"/>
            <w:vMerge/>
            <w:tcBorders>
              <w:left w:val="single" w:sz="4" w:space="0" w:color="000000"/>
              <w:bottom w:val="nil" w:sz="6" w:space="0" w:color="auto"/>
              <w:right w:val="single" w:sz="4" w:space="0" w:color="000000"/>
            </w:tcBorders>
            <w:shd w:val="clear" w:color="auto" w:fill="D2D2D2"/>
          </w:tcPr>
          <w:p>
            <w:pPr/>
          </w:p>
        </w:tc>
        <w:tc>
          <w:tcPr>
            <w:tcW w:w="932" w:type="dxa"/>
            <w:vMerge/>
            <w:tcBorders>
              <w:left w:val="single" w:sz="4" w:space="0" w:color="000000"/>
              <w:bottom w:val="nil" w:sz="6" w:space="0" w:color="auto"/>
              <w:right w:val="single" w:sz="4" w:space="0" w:color="000000"/>
            </w:tcBorders>
            <w:shd w:val="clear" w:color="auto" w:fill="D2D2D2"/>
          </w:tcPr>
          <w:p>
            <w:pPr/>
          </w:p>
        </w:tc>
        <w:tc>
          <w:tcPr>
            <w:tcW w:w="932" w:type="dxa"/>
            <w:vMerge w:val="restart"/>
            <w:tcBorders>
              <w:top w:val="nil" w:sz="6" w:space="0" w:color="auto"/>
              <w:left w:val="single" w:sz="4" w:space="0" w:color="000000"/>
              <w:right w:val="single" w:sz="4" w:space="0" w:color="000000"/>
            </w:tcBorders>
            <w:shd w:val="clear" w:color="auto" w:fill="D2D2D2"/>
          </w:tcPr>
          <w:p>
            <w:pPr/>
          </w:p>
        </w:tc>
      </w:tr>
      <w:tr>
        <w:trPr>
          <w:trHeight w:val="161" w:hRule="exact"/>
        </w:trPr>
        <w:tc>
          <w:tcPr>
            <w:tcW w:w="1623" w:type="dxa"/>
            <w:vMerge/>
            <w:tcBorders>
              <w:left w:val="single" w:sz="4" w:space="0" w:color="000000"/>
              <w:bottom w:val="single" w:sz="4" w:space="0" w:color="000000"/>
              <w:right w:val="single" w:sz="4" w:space="0" w:color="000000"/>
            </w:tcBorders>
            <w:shd w:val="clear" w:color="auto" w:fill="D2D2D2"/>
          </w:tcPr>
          <w:p>
            <w:pPr/>
          </w:p>
        </w:tc>
        <w:tc>
          <w:tcPr>
            <w:tcW w:w="763"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vMerge/>
            <w:tcBorders>
              <w:left w:val="single" w:sz="4" w:space="0" w:color="000000"/>
              <w:bottom w:val="single" w:sz="4" w:space="0" w:color="000000"/>
              <w:right w:val="single" w:sz="4" w:space="0" w:color="000000"/>
            </w:tcBorders>
            <w:shd w:val="clear" w:color="auto" w:fill="D2D2D2"/>
          </w:tcPr>
          <w:p>
            <w:pPr/>
          </w:p>
        </w:tc>
        <w:tc>
          <w:tcPr>
            <w:tcW w:w="790" w:type="dxa"/>
            <w:vMerge/>
            <w:tcBorders>
              <w:left w:val="single" w:sz="4" w:space="0" w:color="000000"/>
              <w:bottom w:val="single" w:sz="4" w:space="0" w:color="000000"/>
              <w:right w:val="single" w:sz="4" w:space="0" w:color="000000"/>
            </w:tcBorders>
            <w:shd w:val="clear" w:color="auto" w:fill="D2D2D2"/>
          </w:tcPr>
          <w:p>
            <w:pPr/>
          </w:p>
        </w:tc>
        <w:tc>
          <w:tcPr>
            <w:tcW w:w="654"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tcBorders>
              <w:top w:val="nil" w:sz="6" w:space="0" w:color="auto"/>
              <w:left w:val="single" w:sz="4" w:space="0" w:color="000000"/>
              <w:bottom w:val="single" w:sz="4" w:space="0" w:color="000000"/>
              <w:right w:val="single" w:sz="4" w:space="0" w:color="000000"/>
            </w:tcBorders>
            <w:shd w:val="clear" w:color="auto" w:fill="D2D2D2"/>
          </w:tcPr>
          <w:p>
            <w:pPr/>
          </w:p>
        </w:tc>
        <w:tc>
          <w:tcPr>
            <w:tcW w:w="813" w:type="dxa"/>
            <w:tcBorders>
              <w:top w:val="nil" w:sz="6" w:space="0" w:color="auto"/>
              <w:left w:val="single" w:sz="4" w:space="0" w:color="000000"/>
              <w:bottom w:val="single" w:sz="4" w:space="0" w:color="000000"/>
              <w:right w:val="single" w:sz="4" w:space="0" w:color="000000"/>
            </w:tcBorders>
            <w:shd w:val="clear" w:color="auto" w:fill="D2D2D2"/>
          </w:tcPr>
          <w:p>
            <w:pPr/>
          </w:p>
        </w:tc>
        <w:tc>
          <w:tcPr>
            <w:tcW w:w="932" w:type="dxa"/>
            <w:tcBorders>
              <w:top w:val="nil" w:sz="6" w:space="0" w:color="auto"/>
              <w:left w:val="single" w:sz="4" w:space="0" w:color="000000"/>
              <w:bottom w:val="single" w:sz="4" w:space="0" w:color="000000"/>
              <w:right w:val="single" w:sz="4" w:space="0" w:color="000000"/>
            </w:tcBorders>
            <w:shd w:val="clear" w:color="auto" w:fill="D2D2D2"/>
          </w:tcPr>
          <w:p>
            <w:pPr/>
          </w:p>
        </w:tc>
        <w:tc>
          <w:tcPr>
            <w:tcW w:w="932" w:type="dxa"/>
            <w:vMerge/>
            <w:tcBorders>
              <w:left w:val="single" w:sz="4" w:space="0" w:color="000000"/>
              <w:bottom w:val="single" w:sz="4" w:space="0" w:color="000000"/>
              <w:right w:val="single" w:sz="4" w:space="0" w:color="000000"/>
            </w:tcBorders>
            <w:shd w:val="clear" w:color="auto" w:fill="D2D2D2"/>
          </w:tcPr>
          <w:p>
            <w:pPr/>
          </w:p>
        </w:tc>
      </w:tr>
      <w:tr>
        <w:trPr>
          <w:trHeight w:val="1026" w:hRule="exact"/>
        </w:trPr>
        <w:tc>
          <w:tcPr>
            <w:tcW w:w="16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2"/>
              <w:ind w:left="11" w:right="160"/>
              <w:jc w:val="both"/>
              <w:rPr>
                <w:rFonts w:ascii="宋体" w:hAnsi="宋体" w:cs="宋体" w:eastAsia="宋体" w:hint="default"/>
                <w:sz w:val="18"/>
                <w:szCs w:val="18"/>
              </w:rPr>
            </w:pPr>
            <w:r>
              <w:rPr>
                <w:rFonts w:ascii="宋体" w:hAnsi="宋体" w:cs="宋体" w:eastAsia="宋体" w:hint="default"/>
                <w:sz w:val="18"/>
                <w:szCs w:val="18"/>
              </w:rPr>
              <w:t>按信用风险特征组 合计提坏账准备的 其他应收款</w:t>
            </w:r>
          </w:p>
        </w:tc>
        <w:tc>
          <w:tcPr>
            <w:tcW w:w="76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left="87" w:right="0"/>
              <w:jc w:val="left"/>
              <w:rPr>
                <w:rFonts w:ascii="Times New Roman" w:hAnsi="Times New Roman" w:cs="Times New Roman" w:eastAsia="Times New Roman" w:hint="default"/>
                <w:sz w:val="18"/>
                <w:szCs w:val="18"/>
              </w:rPr>
            </w:pPr>
            <w:r>
              <w:rPr>
                <w:rFonts w:ascii="Times New Roman"/>
                <w:sz w:val="18"/>
              </w:rPr>
              <w:t>33,695,5</w:t>
            </w:r>
          </w:p>
          <w:p>
            <w:pPr>
              <w:pStyle w:val="TableParagraph"/>
              <w:spacing w:line="240" w:lineRule="auto" w:before="105"/>
              <w:ind w:left="313" w:right="0"/>
              <w:jc w:val="left"/>
              <w:rPr>
                <w:rFonts w:ascii="Times New Roman" w:hAnsi="Times New Roman" w:cs="Times New Roman" w:eastAsia="Times New Roman" w:hint="default"/>
                <w:sz w:val="18"/>
                <w:szCs w:val="18"/>
              </w:rPr>
            </w:pPr>
            <w:r>
              <w:rPr>
                <w:rFonts w:ascii="Times New Roman"/>
                <w:sz w:val="18"/>
              </w:rPr>
              <w:t>32.35</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left="98" w:right="0"/>
              <w:jc w:val="left"/>
              <w:rPr>
                <w:rFonts w:ascii="Times New Roman" w:hAnsi="Times New Roman" w:cs="Times New Roman" w:eastAsia="Times New Roman" w:hint="default"/>
                <w:sz w:val="18"/>
                <w:szCs w:val="18"/>
              </w:rPr>
            </w:pPr>
            <w:r>
              <w:rPr>
                <w:rFonts w:ascii="Times New Roman"/>
                <w:sz w:val="18"/>
              </w:rPr>
              <w:t>3,601,89</w:t>
            </w:r>
          </w:p>
          <w:p>
            <w:pPr>
              <w:pStyle w:val="TableParagraph"/>
              <w:spacing w:line="240" w:lineRule="auto" w:before="105"/>
              <w:ind w:left="413" w:right="0"/>
              <w:jc w:val="left"/>
              <w:rPr>
                <w:rFonts w:ascii="Times New Roman" w:hAnsi="Times New Roman" w:cs="Times New Roman" w:eastAsia="Times New Roman" w:hint="default"/>
                <w:sz w:val="18"/>
                <w:szCs w:val="18"/>
              </w:rPr>
            </w:pPr>
            <w:r>
              <w:rPr>
                <w:rFonts w:ascii="Times New Roman"/>
                <w:sz w:val="18"/>
              </w:rPr>
              <w:t>4.75</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175" w:right="0"/>
              <w:jc w:val="left"/>
              <w:rPr>
                <w:rFonts w:ascii="Times New Roman" w:hAnsi="Times New Roman" w:cs="Times New Roman" w:eastAsia="Times New Roman" w:hint="default"/>
                <w:sz w:val="18"/>
                <w:szCs w:val="18"/>
              </w:rPr>
            </w:pPr>
            <w:r>
              <w:rPr>
                <w:rFonts w:ascii="Times New Roman"/>
                <w:sz w:val="18"/>
              </w:rPr>
              <w:t>10.69%</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left="37" w:right="0"/>
              <w:jc w:val="left"/>
              <w:rPr>
                <w:rFonts w:ascii="Times New Roman" w:hAnsi="Times New Roman" w:cs="Times New Roman" w:eastAsia="Times New Roman" w:hint="default"/>
                <w:sz w:val="18"/>
                <w:szCs w:val="18"/>
              </w:rPr>
            </w:pPr>
            <w:r>
              <w:rPr>
                <w:rFonts w:ascii="Times New Roman"/>
                <w:sz w:val="18"/>
              </w:rPr>
              <w:t>30,093,63</w:t>
            </w:r>
          </w:p>
          <w:p>
            <w:pPr>
              <w:pStyle w:val="TableParagraph"/>
              <w:spacing w:line="240" w:lineRule="auto" w:before="105"/>
              <w:ind w:left="442" w:right="0"/>
              <w:jc w:val="left"/>
              <w:rPr>
                <w:rFonts w:ascii="Times New Roman" w:hAnsi="Times New Roman" w:cs="Times New Roman" w:eastAsia="Times New Roman" w:hint="default"/>
                <w:sz w:val="18"/>
                <w:szCs w:val="18"/>
              </w:rPr>
            </w:pPr>
            <w:r>
              <w:rPr>
                <w:rFonts w:ascii="Times New Roman"/>
                <w:sz w:val="18"/>
              </w:rPr>
              <w:t>7.60</w:t>
            </w: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left="80" w:right="0"/>
              <w:jc w:val="left"/>
              <w:rPr>
                <w:rFonts w:ascii="Times New Roman" w:hAnsi="Times New Roman" w:cs="Times New Roman" w:eastAsia="Times New Roman" w:hint="default"/>
                <w:sz w:val="18"/>
                <w:szCs w:val="18"/>
              </w:rPr>
            </w:pPr>
            <w:r>
              <w:rPr>
                <w:rFonts w:ascii="Times New Roman"/>
                <w:sz w:val="18"/>
              </w:rPr>
              <w:t>33,331,</w:t>
            </w:r>
          </w:p>
          <w:p>
            <w:pPr>
              <w:pStyle w:val="TableParagraph"/>
              <w:spacing w:line="240" w:lineRule="auto" w:before="105"/>
              <w:ind w:left="126" w:right="0"/>
              <w:jc w:val="left"/>
              <w:rPr>
                <w:rFonts w:ascii="Times New Roman" w:hAnsi="Times New Roman" w:cs="Times New Roman" w:eastAsia="Times New Roman" w:hint="default"/>
                <w:sz w:val="18"/>
                <w:szCs w:val="18"/>
              </w:rPr>
            </w:pPr>
            <w:r>
              <w:rPr>
                <w:rFonts w:ascii="Times New Roman"/>
                <w:sz w:val="18"/>
              </w:rPr>
              <w:t>267.04</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2,637,305</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.92</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435" w:right="0"/>
              <w:jc w:val="left"/>
              <w:rPr>
                <w:rFonts w:ascii="Times New Roman" w:hAnsi="Times New Roman" w:cs="Times New Roman" w:eastAsia="Times New Roman" w:hint="default"/>
                <w:sz w:val="18"/>
                <w:szCs w:val="18"/>
              </w:rPr>
            </w:pPr>
            <w:r>
              <w:rPr>
                <w:rFonts w:ascii="Times New Roman"/>
                <w:sz w:val="18"/>
              </w:rPr>
              <w:t>7.91%</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30,693,961.</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12</w:t>
            </w:r>
          </w:p>
        </w:tc>
      </w:tr>
      <w:tr>
        <w:trPr>
          <w:trHeight w:val="162" w:hRule="exact"/>
        </w:trPr>
        <w:tc>
          <w:tcPr>
            <w:tcW w:w="1623" w:type="dxa"/>
            <w:tcBorders>
              <w:top w:val="single" w:sz="4" w:space="0" w:color="000000"/>
              <w:left w:val="single" w:sz="4" w:space="0" w:color="000000"/>
              <w:bottom w:val="nil" w:sz="6" w:space="0" w:color="auto"/>
              <w:right w:val="single" w:sz="4" w:space="0" w:color="000000"/>
            </w:tcBorders>
            <w:shd w:val="clear" w:color="auto" w:fill="D2D2D2"/>
          </w:tcPr>
          <w:p>
            <w:pPr/>
          </w:p>
        </w:tc>
        <w:tc>
          <w:tcPr>
            <w:tcW w:w="763" w:type="dxa"/>
            <w:vMerge w:val="restart"/>
            <w:tcBorders>
              <w:top w:val="single" w:sz="4" w:space="0" w:color="000000"/>
              <w:left w:val="single" w:sz="9" w:space="0" w:color="D2D2D2"/>
              <w:right w:val="single" w:sz="4" w:space="0" w:color="000000"/>
            </w:tcBorders>
          </w:tcPr>
          <w:p>
            <w:pPr>
              <w:pStyle w:val="TableParagraph"/>
              <w:spacing w:line="240" w:lineRule="auto" w:before="92"/>
              <w:ind w:left="93" w:right="0"/>
              <w:jc w:val="left"/>
              <w:rPr>
                <w:rFonts w:ascii="Times New Roman" w:hAnsi="Times New Roman" w:cs="Times New Roman" w:eastAsia="Times New Roman" w:hint="default"/>
                <w:sz w:val="18"/>
                <w:szCs w:val="18"/>
              </w:rPr>
            </w:pPr>
            <w:r>
              <w:rPr>
                <w:rFonts w:ascii="Times New Roman"/>
                <w:sz w:val="18"/>
              </w:rPr>
              <w:t>33,695,5</w:t>
            </w:r>
          </w:p>
          <w:p>
            <w:pPr>
              <w:pStyle w:val="TableParagraph"/>
              <w:spacing w:line="240" w:lineRule="auto" w:before="105"/>
              <w:ind w:left="318" w:right="0"/>
              <w:jc w:val="left"/>
              <w:rPr>
                <w:rFonts w:ascii="Times New Roman" w:hAnsi="Times New Roman" w:cs="Times New Roman" w:eastAsia="Times New Roman" w:hint="default"/>
                <w:sz w:val="18"/>
                <w:szCs w:val="18"/>
              </w:rPr>
            </w:pPr>
            <w:r>
              <w:rPr>
                <w:rFonts w:ascii="Times New Roman"/>
                <w:sz w:val="18"/>
              </w:rPr>
              <w:t>32.35</w:t>
            </w:r>
          </w:p>
        </w:tc>
        <w:tc>
          <w:tcPr>
            <w:tcW w:w="762"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762" w:type="dxa"/>
            <w:vMerge w:val="restart"/>
            <w:tcBorders>
              <w:top w:val="single" w:sz="4" w:space="0" w:color="000000"/>
              <w:left w:val="single" w:sz="4" w:space="0" w:color="000000"/>
              <w:right w:val="single" w:sz="4" w:space="0" w:color="000000"/>
            </w:tcBorders>
          </w:tcPr>
          <w:p>
            <w:pPr>
              <w:pStyle w:val="TableParagraph"/>
              <w:spacing w:line="240" w:lineRule="auto" w:before="92"/>
              <w:ind w:left="98" w:right="0"/>
              <w:jc w:val="left"/>
              <w:rPr>
                <w:rFonts w:ascii="Times New Roman" w:hAnsi="Times New Roman" w:cs="Times New Roman" w:eastAsia="Times New Roman" w:hint="default"/>
                <w:sz w:val="18"/>
                <w:szCs w:val="18"/>
              </w:rPr>
            </w:pPr>
            <w:r>
              <w:rPr>
                <w:rFonts w:ascii="Times New Roman"/>
                <w:sz w:val="18"/>
              </w:rPr>
              <w:t>3,601,89</w:t>
            </w:r>
          </w:p>
          <w:p>
            <w:pPr>
              <w:pStyle w:val="TableParagraph"/>
              <w:spacing w:line="240" w:lineRule="auto" w:before="105"/>
              <w:ind w:left="413" w:right="0"/>
              <w:jc w:val="left"/>
              <w:rPr>
                <w:rFonts w:ascii="Times New Roman" w:hAnsi="Times New Roman" w:cs="Times New Roman" w:eastAsia="Times New Roman" w:hint="default"/>
                <w:sz w:val="18"/>
                <w:szCs w:val="18"/>
              </w:rPr>
            </w:pPr>
            <w:r>
              <w:rPr>
                <w:rFonts w:ascii="Times New Roman"/>
                <w:sz w:val="18"/>
              </w:rPr>
              <w:t>4.75</w:t>
            </w:r>
          </w:p>
        </w:tc>
        <w:tc>
          <w:tcPr>
            <w:tcW w:w="762"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75" w:right="0"/>
              <w:jc w:val="left"/>
              <w:rPr>
                <w:rFonts w:ascii="Times New Roman" w:hAnsi="Times New Roman" w:cs="Times New Roman" w:eastAsia="Times New Roman" w:hint="default"/>
                <w:sz w:val="18"/>
                <w:szCs w:val="18"/>
              </w:rPr>
            </w:pPr>
            <w:r>
              <w:rPr>
                <w:rFonts w:ascii="Times New Roman"/>
                <w:sz w:val="18"/>
              </w:rPr>
              <w:t>10.69%</w:t>
            </w:r>
          </w:p>
        </w:tc>
        <w:tc>
          <w:tcPr>
            <w:tcW w:w="790" w:type="dxa"/>
            <w:vMerge w:val="restart"/>
            <w:tcBorders>
              <w:top w:val="single" w:sz="4" w:space="0" w:color="000000"/>
              <w:left w:val="single" w:sz="4" w:space="0" w:color="000000"/>
              <w:right w:val="single" w:sz="4" w:space="0" w:color="000000"/>
            </w:tcBorders>
          </w:tcPr>
          <w:p>
            <w:pPr>
              <w:pStyle w:val="TableParagraph"/>
              <w:spacing w:line="240" w:lineRule="auto" w:before="92"/>
              <w:ind w:left="37" w:right="0"/>
              <w:jc w:val="left"/>
              <w:rPr>
                <w:rFonts w:ascii="Times New Roman" w:hAnsi="Times New Roman" w:cs="Times New Roman" w:eastAsia="Times New Roman" w:hint="default"/>
                <w:sz w:val="18"/>
                <w:szCs w:val="18"/>
              </w:rPr>
            </w:pPr>
            <w:r>
              <w:rPr>
                <w:rFonts w:ascii="Times New Roman"/>
                <w:sz w:val="18"/>
              </w:rPr>
              <w:t>30,093,63</w:t>
            </w:r>
          </w:p>
          <w:p>
            <w:pPr>
              <w:pStyle w:val="TableParagraph"/>
              <w:spacing w:line="240" w:lineRule="auto" w:before="105"/>
              <w:ind w:left="442" w:right="0"/>
              <w:jc w:val="left"/>
              <w:rPr>
                <w:rFonts w:ascii="Times New Roman" w:hAnsi="Times New Roman" w:cs="Times New Roman" w:eastAsia="Times New Roman" w:hint="default"/>
                <w:sz w:val="18"/>
                <w:szCs w:val="18"/>
              </w:rPr>
            </w:pPr>
            <w:r>
              <w:rPr>
                <w:rFonts w:ascii="Times New Roman"/>
                <w:sz w:val="18"/>
              </w:rPr>
              <w:t>7.60</w:t>
            </w:r>
          </w:p>
        </w:tc>
        <w:tc>
          <w:tcPr>
            <w:tcW w:w="654" w:type="dxa"/>
            <w:vMerge w:val="restart"/>
            <w:tcBorders>
              <w:top w:val="single" w:sz="4" w:space="0" w:color="000000"/>
              <w:left w:val="single" w:sz="4" w:space="0" w:color="000000"/>
              <w:right w:val="single" w:sz="4" w:space="0" w:color="000000"/>
            </w:tcBorders>
          </w:tcPr>
          <w:p>
            <w:pPr>
              <w:pStyle w:val="TableParagraph"/>
              <w:spacing w:line="240" w:lineRule="auto" w:before="92"/>
              <w:ind w:left="80" w:right="0"/>
              <w:jc w:val="left"/>
              <w:rPr>
                <w:rFonts w:ascii="Times New Roman" w:hAnsi="Times New Roman" w:cs="Times New Roman" w:eastAsia="Times New Roman" w:hint="default"/>
                <w:sz w:val="18"/>
                <w:szCs w:val="18"/>
              </w:rPr>
            </w:pPr>
            <w:r>
              <w:rPr>
                <w:rFonts w:ascii="Times New Roman"/>
                <w:sz w:val="18"/>
              </w:rPr>
              <w:t>33,331,</w:t>
            </w:r>
          </w:p>
          <w:p>
            <w:pPr>
              <w:pStyle w:val="TableParagraph"/>
              <w:spacing w:line="240" w:lineRule="auto" w:before="105"/>
              <w:ind w:left="126" w:right="0"/>
              <w:jc w:val="left"/>
              <w:rPr>
                <w:rFonts w:ascii="Times New Roman" w:hAnsi="Times New Roman" w:cs="Times New Roman" w:eastAsia="Times New Roman" w:hint="default"/>
                <w:sz w:val="18"/>
                <w:szCs w:val="18"/>
              </w:rPr>
            </w:pPr>
            <w:r>
              <w:rPr>
                <w:rFonts w:ascii="Times New Roman"/>
                <w:sz w:val="18"/>
              </w:rPr>
              <w:t>267.04</w:t>
            </w:r>
          </w:p>
        </w:tc>
        <w:tc>
          <w:tcPr>
            <w:tcW w:w="762"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813" w:type="dxa"/>
            <w:vMerge w:val="restart"/>
            <w:tcBorders>
              <w:top w:val="single" w:sz="4" w:space="0" w:color="000000"/>
              <w:left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2,637,305</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.92</w:t>
            </w:r>
          </w:p>
        </w:tc>
        <w:tc>
          <w:tcPr>
            <w:tcW w:w="932"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435" w:right="0"/>
              <w:jc w:val="left"/>
              <w:rPr>
                <w:rFonts w:ascii="Times New Roman" w:hAnsi="Times New Roman" w:cs="Times New Roman" w:eastAsia="Times New Roman" w:hint="default"/>
                <w:sz w:val="18"/>
                <w:szCs w:val="18"/>
              </w:rPr>
            </w:pPr>
            <w:r>
              <w:rPr>
                <w:rFonts w:ascii="Times New Roman"/>
                <w:sz w:val="18"/>
              </w:rPr>
              <w:t>7.91%</w:t>
            </w:r>
          </w:p>
        </w:tc>
        <w:tc>
          <w:tcPr>
            <w:tcW w:w="932" w:type="dxa"/>
            <w:vMerge w:val="restart"/>
            <w:tcBorders>
              <w:top w:val="single" w:sz="4" w:space="0" w:color="000000"/>
              <w:left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30,693,961.</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12</w:t>
            </w:r>
          </w:p>
        </w:tc>
      </w:tr>
      <w:tr>
        <w:trPr>
          <w:trHeight w:val="391" w:hRule="exact"/>
        </w:trPr>
        <w:tc>
          <w:tcPr>
            <w:tcW w:w="162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63" w:type="dxa"/>
            <w:vMerge/>
            <w:tcBorders>
              <w:left w:val="single" w:sz="9" w:space="0" w:color="D2D2D2"/>
              <w:right w:val="single" w:sz="4" w:space="0" w:color="000000"/>
            </w:tcBorders>
          </w:tcPr>
          <w:p>
            <w:pPr/>
          </w:p>
        </w:tc>
        <w:tc>
          <w:tcPr>
            <w:tcW w:w="762" w:type="dxa"/>
            <w:vMerge/>
            <w:tcBorders>
              <w:left w:val="single" w:sz="4" w:space="0" w:color="000000"/>
              <w:right w:val="single" w:sz="4" w:space="0" w:color="000000"/>
            </w:tcBorders>
          </w:tcPr>
          <w:p>
            <w:pPr/>
          </w:p>
        </w:tc>
        <w:tc>
          <w:tcPr>
            <w:tcW w:w="762" w:type="dxa"/>
            <w:vMerge/>
            <w:tcBorders>
              <w:left w:val="single" w:sz="4" w:space="0" w:color="000000"/>
              <w:right w:val="single" w:sz="4" w:space="0" w:color="000000"/>
            </w:tcBorders>
          </w:tcPr>
          <w:p>
            <w:pPr/>
          </w:p>
        </w:tc>
        <w:tc>
          <w:tcPr>
            <w:tcW w:w="762" w:type="dxa"/>
            <w:vMerge/>
            <w:tcBorders>
              <w:left w:val="single" w:sz="4" w:space="0" w:color="000000"/>
              <w:right w:val="single" w:sz="4" w:space="0" w:color="000000"/>
            </w:tcBorders>
          </w:tcPr>
          <w:p>
            <w:pPr/>
          </w:p>
        </w:tc>
        <w:tc>
          <w:tcPr>
            <w:tcW w:w="790" w:type="dxa"/>
            <w:vMerge/>
            <w:tcBorders>
              <w:left w:val="single" w:sz="4" w:space="0" w:color="000000"/>
              <w:right w:val="single" w:sz="4" w:space="0" w:color="000000"/>
            </w:tcBorders>
          </w:tcPr>
          <w:p>
            <w:pPr/>
          </w:p>
        </w:tc>
        <w:tc>
          <w:tcPr>
            <w:tcW w:w="654" w:type="dxa"/>
            <w:vMerge/>
            <w:tcBorders>
              <w:left w:val="single" w:sz="4" w:space="0" w:color="000000"/>
              <w:right w:val="single" w:sz="4" w:space="0" w:color="000000"/>
            </w:tcBorders>
          </w:tcPr>
          <w:p>
            <w:pPr/>
          </w:p>
        </w:tc>
        <w:tc>
          <w:tcPr>
            <w:tcW w:w="762" w:type="dxa"/>
            <w:vMerge/>
            <w:tcBorders>
              <w:left w:val="single" w:sz="4" w:space="0" w:color="000000"/>
              <w:right w:val="single" w:sz="4" w:space="0" w:color="000000"/>
            </w:tcBorders>
          </w:tcPr>
          <w:p>
            <w:pPr/>
          </w:p>
        </w:tc>
        <w:tc>
          <w:tcPr>
            <w:tcW w:w="813" w:type="dxa"/>
            <w:vMerge/>
            <w:tcBorders>
              <w:left w:val="single" w:sz="4" w:space="0" w:color="000000"/>
              <w:right w:val="single" w:sz="4" w:space="0" w:color="000000"/>
            </w:tcBorders>
          </w:tcPr>
          <w:p>
            <w:pPr/>
          </w:p>
        </w:tc>
        <w:tc>
          <w:tcPr>
            <w:tcW w:w="932" w:type="dxa"/>
            <w:vMerge/>
            <w:tcBorders>
              <w:left w:val="single" w:sz="4" w:space="0" w:color="000000"/>
              <w:right w:val="single" w:sz="4" w:space="0" w:color="000000"/>
            </w:tcBorders>
          </w:tcPr>
          <w:p>
            <w:pPr/>
          </w:p>
        </w:tc>
        <w:tc>
          <w:tcPr>
            <w:tcW w:w="932" w:type="dxa"/>
            <w:vMerge/>
            <w:tcBorders>
              <w:left w:val="single" w:sz="4" w:space="0" w:color="000000"/>
              <w:right w:val="single" w:sz="4" w:space="0" w:color="000000"/>
            </w:tcBorders>
          </w:tcPr>
          <w:p>
            <w:pPr/>
          </w:p>
        </w:tc>
      </w:tr>
      <w:tr>
        <w:trPr>
          <w:trHeight w:val="162" w:hRule="exact"/>
        </w:trPr>
        <w:tc>
          <w:tcPr>
            <w:tcW w:w="1623" w:type="dxa"/>
            <w:tcBorders>
              <w:top w:val="nil" w:sz="6" w:space="0" w:color="auto"/>
              <w:left w:val="single" w:sz="4" w:space="0" w:color="000000"/>
              <w:bottom w:val="single" w:sz="4" w:space="0" w:color="000000"/>
              <w:right w:val="single" w:sz="4" w:space="0" w:color="000000"/>
            </w:tcBorders>
            <w:shd w:val="clear" w:color="auto" w:fill="D2D2D2"/>
          </w:tcPr>
          <w:p>
            <w:pPr/>
          </w:p>
        </w:tc>
        <w:tc>
          <w:tcPr>
            <w:tcW w:w="763" w:type="dxa"/>
            <w:vMerge/>
            <w:tcBorders>
              <w:left w:val="single" w:sz="9" w:space="0" w:color="D2D2D2"/>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790" w:type="dxa"/>
            <w:vMerge/>
            <w:tcBorders>
              <w:left w:val="single" w:sz="4" w:space="0" w:color="000000"/>
              <w:bottom w:val="single" w:sz="4" w:space="0" w:color="000000"/>
              <w:right w:val="single" w:sz="4" w:space="0" w:color="000000"/>
            </w:tcBorders>
          </w:tcPr>
          <w:p>
            <w:pPr/>
          </w:p>
        </w:tc>
        <w:tc>
          <w:tcPr>
            <w:tcW w:w="654" w:type="dxa"/>
            <w:vMerge/>
            <w:tcBorders>
              <w:left w:val="single" w:sz="4" w:space="0" w:color="000000"/>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813" w:type="dxa"/>
            <w:vMerge/>
            <w:tcBorders>
              <w:left w:val="single" w:sz="4" w:space="0" w:color="000000"/>
              <w:bottom w:val="single" w:sz="4" w:space="0" w:color="000000"/>
              <w:right w:val="single" w:sz="4" w:space="0" w:color="000000"/>
            </w:tcBorders>
          </w:tcPr>
          <w:p>
            <w:pPr/>
          </w:p>
        </w:tc>
        <w:tc>
          <w:tcPr>
            <w:tcW w:w="932" w:type="dxa"/>
            <w:vMerge/>
            <w:tcBorders>
              <w:left w:val="single" w:sz="4" w:space="0" w:color="000000"/>
              <w:bottom w:val="single" w:sz="4" w:space="0" w:color="000000"/>
              <w:right w:val="single" w:sz="4" w:space="0" w:color="000000"/>
            </w:tcBorders>
          </w:tcPr>
          <w:p>
            <w:pPr/>
          </w:p>
        </w:tc>
        <w:tc>
          <w:tcPr>
            <w:tcW w:w="932" w:type="dxa"/>
            <w:vMerge/>
            <w:tcBorders>
              <w:left w:val="single" w:sz="4" w:space="0" w:color="000000"/>
              <w:bottom w:val="single" w:sz="4" w:space="0" w:color="000000"/>
              <w:right w:val="single" w:sz="4" w:space="0" w:color="000000"/>
            </w:tcBorders>
          </w:tcPr>
          <w:p>
            <w:pPr/>
          </w:p>
        </w:tc>
      </w:tr>
    </w:tbl>
    <w:p>
      <w:pPr>
        <w:spacing w:after="0"/>
        <w:sectPr>
          <w:pgSz w:w="11910" w:h="16840"/>
          <w:pgMar w:header="877" w:footer="979" w:top="1060" w:bottom="1160" w:left="980" w:right="0"/>
        </w:sectPr>
      </w:pPr>
    </w:p>
    <w:p>
      <w:pPr>
        <w:spacing w:before="51"/>
        <w:ind w:left="154" w:right="-20" w:firstLine="0"/>
        <w:jc w:val="left"/>
        <w:rPr>
          <w:rFonts w:ascii="宋体" w:hAnsi="宋体" w:cs="宋体" w:eastAsia="宋体" w:hint="default"/>
          <w:sz w:val="18"/>
          <w:szCs w:val="18"/>
        </w:rPr>
      </w:pPr>
      <w:r>
        <w:rPr>
          <w:rFonts w:ascii="宋体" w:hAnsi="宋体" w:cs="宋体" w:eastAsia="宋体" w:hint="default"/>
          <w:sz w:val="18"/>
          <w:szCs w:val="18"/>
        </w:rPr>
        <w:t>期末单项金额重大并单项计提坏账准备的其他应收款：</w:t>
      </w:r>
    </w:p>
    <w:p>
      <w:pPr>
        <w:spacing w:line="340" w:lineRule="auto" w:before="116"/>
        <w:ind w:left="154" w:right="16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适用</w:t>
      </w:r>
      <w:r>
        <w:rPr>
          <w:rFonts w:ascii="Times New Roman" w:hAnsi="Times New Roman" w:cs="Times New Roman" w:eastAsia="Times New Roman" w:hint="default"/>
          <w:sz w:val="18"/>
          <w:szCs w:val="18"/>
        </w:rPr>
        <w:t>√</w:t>
      </w:r>
      <w:r>
        <w:rPr>
          <w:rFonts w:ascii="宋体" w:hAnsi="宋体" w:cs="宋体" w:eastAsia="宋体" w:hint="default"/>
          <w:sz w:val="18"/>
          <w:szCs w:val="18"/>
        </w:rPr>
        <w:t>不适用 组合中，按账龄分析法计提坏账准备的其他应收款：</w:t>
      </w:r>
    </w:p>
    <w:p>
      <w:pPr>
        <w:spacing w:before="40"/>
        <w:ind w:left="154" w:right="-2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适用</w:t>
      </w:r>
      <w:r>
        <w:rPr>
          <w:rFonts w:ascii="Times New Roman" w:hAnsi="Times New Roman" w:cs="Times New Roman" w:eastAsia="Times New Roman" w:hint="default"/>
          <w:sz w:val="18"/>
          <w:szCs w:val="18"/>
        </w:rPr>
        <w:t>□</w:t>
      </w:r>
      <w:r>
        <w:rPr>
          <w:rFonts w:ascii="宋体" w:hAnsi="宋体" w:cs="宋体" w:eastAsia="宋体" w:hint="default"/>
          <w:sz w:val="18"/>
          <w:szCs w:val="18"/>
        </w:rPr>
        <w:t>不适用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6"/>
        <w:rPr>
          <w:rFonts w:ascii="宋体" w:hAnsi="宋体" w:cs="宋体" w:eastAsia="宋体" w:hint="default"/>
          <w:sz w:val="21"/>
          <w:szCs w:val="21"/>
        </w:rPr>
      </w:pPr>
    </w:p>
    <w:p>
      <w:pPr>
        <w:spacing w:before="0"/>
        <w:ind w:left="153" w:right="0" w:firstLine="0"/>
        <w:jc w:val="left"/>
        <w:rPr>
          <w:rFonts w:ascii="宋体" w:hAnsi="宋体" w:cs="宋体" w:eastAsia="宋体" w:hint="default"/>
          <w:sz w:val="18"/>
          <w:szCs w:val="18"/>
        </w:rPr>
      </w:pPr>
      <w:r>
        <w:rPr>
          <w:rFonts w:ascii="宋体" w:hAnsi="宋体" w:cs="宋体" w:eastAsia="宋体" w:hint="default"/>
          <w:sz w:val="18"/>
          <w:szCs w:val="18"/>
        </w:rPr>
        <w:t>单位：元</w:t>
      </w:r>
    </w:p>
    <w:p>
      <w:pPr>
        <w:spacing w:after="0"/>
        <w:jc w:val="left"/>
        <w:rPr>
          <w:rFonts w:ascii="宋体" w:hAnsi="宋体" w:cs="宋体" w:eastAsia="宋体" w:hint="default"/>
          <w:sz w:val="18"/>
          <w:szCs w:val="18"/>
        </w:rPr>
        <w:sectPr>
          <w:type w:val="continuous"/>
          <w:pgSz w:w="11910" w:h="16840"/>
          <w:pgMar w:top="1060" w:bottom="1160" w:left="980" w:right="0"/>
          <w:cols w:num="2" w:equalWidth="0">
            <w:col w:w="4475" w:space="4445"/>
            <w:col w:w="2010"/>
          </w:cols>
        </w:sectPr>
      </w:pP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488"/>
        <w:gridCol w:w="2301"/>
        <w:gridCol w:w="2391"/>
        <w:gridCol w:w="2389"/>
      </w:tblGrid>
      <w:tr>
        <w:trPr>
          <w:trHeight w:val="402" w:hRule="exact"/>
        </w:trPr>
        <w:tc>
          <w:tcPr>
            <w:tcW w:w="248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7081"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2488" w:type="dxa"/>
            <w:vMerge/>
            <w:tcBorders>
              <w:left w:val="single" w:sz="4" w:space="0" w:color="000000"/>
              <w:bottom w:val="single" w:sz="4" w:space="0" w:color="000000"/>
              <w:right w:val="single" w:sz="4" w:space="0" w:color="000000"/>
            </w:tcBorders>
            <w:shd w:val="clear" w:color="auto" w:fill="D2D2D2"/>
          </w:tcPr>
          <w:p>
            <w:pPr/>
          </w:p>
        </w:tc>
        <w:tc>
          <w:tcPr>
            <w:tcW w:w="2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98"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3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计提比例</w:t>
            </w:r>
          </w:p>
        </w:tc>
      </w:tr>
      <w:tr>
        <w:trPr>
          <w:trHeight w:val="402" w:hRule="exact"/>
        </w:trPr>
        <w:tc>
          <w:tcPr>
            <w:tcW w:w="9569"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年以内分项</w:t>
            </w:r>
          </w:p>
        </w:tc>
      </w:tr>
      <w:tr>
        <w:trPr>
          <w:trHeight w:val="402" w:hRule="exact"/>
        </w:trPr>
        <w:tc>
          <w:tcPr>
            <w:tcW w:w="2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2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5,112,717.63</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255,635.88</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5.00%</w:t>
            </w:r>
          </w:p>
        </w:tc>
      </w:tr>
      <w:tr>
        <w:trPr>
          <w:trHeight w:val="402" w:hRule="exact"/>
        </w:trPr>
        <w:tc>
          <w:tcPr>
            <w:tcW w:w="24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年以内小计</w:t>
            </w:r>
          </w:p>
        </w:tc>
        <w:tc>
          <w:tcPr>
            <w:tcW w:w="230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5,112,717.63</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255,635.88</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5.00%</w:t>
            </w:r>
          </w:p>
        </w:tc>
      </w:tr>
      <w:tr>
        <w:trPr>
          <w:trHeight w:val="402" w:hRule="exact"/>
        </w:trPr>
        <w:tc>
          <w:tcPr>
            <w:tcW w:w="24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0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5,481,507.68</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548,150.77</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10.00%</w:t>
            </w:r>
          </w:p>
        </w:tc>
      </w:tr>
      <w:tr>
        <w:trPr>
          <w:trHeight w:val="402" w:hRule="exact"/>
        </w:trPr>
        <w:tc>
          <w:tcPr>
            <w:tcW w:w="24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0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1,191,428.27</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357,428.48</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30.00%</w:t>
            </w:r>
          </w:p>
        </w:tc>
      </w:tr>
      <w:tr>
        <w:trPr>
          <w:trHeight w:val="401" w:hRule="exact"/>
        </w:trPr>
        <w:tc>
          <w:tcPr>
            <w:tcW w:w="24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30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2,788,211.87</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2,440,679.62</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87.54%</w:t>
            </w:r>
          </w:p>
        </w:tc>
      </w:tr>
      <w:tr>
        <w:trPr>
          <w:trHeight w:val="403" w:hRule="exact"/>
        </w:trPr>
        <w:tc>
          <w:tcPr>
            <w:tcW w:w="24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0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695,064.51</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347,532.26</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50.00%</w:t>
            </w:r>
          </w:p>
        </w:tc>
      </w:tr>
    </w:tbl>
    <w:p>
      <w:pPr>
        <w:spacing w:after="0" w:line="240" w:lineRule="auto"/>
        <w:jc w:val="right"/>
        <w:rPr>
          <w:rFonts w:ascii="Times New Roman" w:hAnsi="Times New Roman" w:cs="Times New Roman" w:eastAsia="Times New Roman" w:hint="default"/>
          <w:sz w:val="18"/>
          <w:szCs w:val="18"/>
        </w:rPr>
        <w:sectPr>
          <w:type w:val="continuous"/>
          <w:pgSz w:w="11910" w:h="16840"/>
          <w:pgMar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2482"/>
        <w:gridCol w:w="2307"/>
        <w:gridCol w:w="2391"/>
        <w:gridCol w:w="2389"/>
      </w:tblGrid>
      <w:tr>
        <w:trPr>
          <w:trHeight w:val="402" w:hRule="exact"/>
        </w:trPr>
        <w:tc>
          <w:tcPr>
            <w:tcW w:w="24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0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700,841.03</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700,841.03</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100.00%</w:t>
            </w:r>
          </w:p>
        </w:tc>
      </w:tr>
      <w:tr>
        <w:trPr>
          <w:trHeight w:val="402" w:hRule="exact"/>
        </w:trPr>
        <w:tc>
          <w:tcPr>
            <w:tcW w:w="24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30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1,392,306.33</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1,392,306.33</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100.00%</w:t>
            </w:r>
          </w:p>
        </w:tc>
      </w:tr>
      <w:tr>
        <w:trPr>
          <w:trHeight w:val="402" w:hRule="exact"/>
        </w:trPr>
        <w:tc>
          <w:tcPr>
            <w:tcW w:w="24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0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14,573,865.45</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3,601,894.75</w:t>
            </w:r>
          </w:p>
        </w:tc>
        <w:tc>
          <w:tcPr>
            <w:tcW w:w="2389" w:type="dxa"/>
            <w:tcBorders>
              <w:top w:val="single" w:sz="4" w:space="0" w:color="000000"/>
              <w:left w:val="single" w:sz="4" w:space="0" w:color="000000"/>
              <w:bottom w:val="single" w:sz="4" w:space="0" w:color="000000"/>
              <w:right w:val="single" w:sz="4" w:space="0" w:color="000000"/>
            </w:tcBorders>
          </w:tcPr>
          <w:p>
            <w:pPr/>
          </w:p>
        </w:tc>
      </w:tr>
    </w:tbl>
    <w:p>
      <w:pPr>
        <w:spacing w:line="360" w:lineRule="auto" w:before="51"/>
        <w:ind w:left="154" w:right="6252" w:firstLine="0"/>
        <w:jc w:val="left"/>
        <w:rPr>
          <w:rFonts w:ascii="宋体" w:hAnsi="宋体" w:cs="宋体" w:eastAsia="宋体" w:hint="default"/>
          <w:sz w:val="18"/>
          <w:szCs w:val="18"/>
        </w:rPr>
      </w:pPr>
      <w:r>
        <w:rPr>
          <w:rFonts w:ascii="宋体" w:hAnsi="宋体" w:cs="宋体" w:eastAsia="宋体" w:hint="default"/>
          <w:sz w:val="18"/>
          <w:szCs w:val="18"/>
        </w:rPr>
        <w:t>确定该组合依据的说明： 组合中，采用余额百分比法计提坏账准备的其他应收款：</w:t>
      </w:r>
    </w:p>
    <w:p>
      <w:pPr>
        <w:spacing w:line="340" w:lineRule="auto" w:before="26"/>
        <w:ind w:left="154" w:right="661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适用</w:t>
      </w:r>
      <w:r>
        <w:rPr>
          <w:rFonts w:ascii="Times New Roman" w:hAnsi="Times New Roman" w:cs="Times New Roman" w:eastAsia="Times New Roman" w:hint="default"/>
          <w:sz w:val="18"/>
          <w:szCs w:val="18"/>
        </w:rPr>
        <w:t>√</w:t>
      </w:r>
      <w:r>
        <w:rPr>
          <w:rFonts w:ascii="宋体" w:hAnsi="宋体" w:cs="宋体" w:eastAsia="宋体" w:hint="default"/>
          <w:sz w:val="18"/>
          <w:szCs w:val="18"/>
        </w:rPr>
        <w:t>不适用 组合中，采用其他方法计提坏账准备的其他应收款：</w:t>
      </w:r>
    </w:p>
    <w:p>
      <w:pPr>
        <w:spacing w:before="40"/>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适用</w:t>
      </w:r>
      <w:r>
        <w:rPr>
          <w:rFonts w:ascii="Times New Roman" w:hAnsi="Times New Roman" w:cs="Times New Roman" w:eastAsia="Times New Roman" w:hint="default"/>
          <w:sz w:val="18"/>
          <w:szCs w:val="18"/>
        </w:rPr>
        <w:t>□</w:t>
      </w:r>
      <w:r>
        <w:rPr>
          <w:rFonts w:ascii="宋体" w:hAnsi="宋体" w:cs="宋体" w:eastAsia="宋体" w:hint="default"/>
          <w:sz w:val="18"/>
          <w:szCs w:val="18"/>
        </w:rPr>
        <w:t>不适用</w:t>
      </w:r>
    </w:p>
    <w:p>
      <w:pPr>
        <w:spacing w:line="240" w:lineRule="auto" w:before="4"/>
        <w:rPr>
          <w:rFonts w:ascii="宋体" w:hAnsi="宋体" w:cs="宋体" w:eastAsia="宋体" w:hint="default"/>
          <w:sz w:val="7"/>
          <w:szCs w:val="7"/>
        </w:rPr>
      </w:pPr>
    </w:p>
    <w:tbl>
      <w:tblPr>
        <w:tblW w:w="0" w:type="auto"/>
        <w:jc w:val="left"/>
        <w:tblInd w:w="290" w:type="dxa"/>
        <w:tblLayout w:type="fixed"/>
        <w:tblCellMar>
          <w:top w:w="0" w:type="dxa"/>
          <w:left w:w="0" w:type="dxa"/>
          <w:bottom w:w="0" w:type="dxa"/>
          <w:right w:w="0" w:type="dxa"/>
        </w:tblCellMar>
        <w:tblLook w:val="01E0"/>
      </w:tblPr>
      <w:tblGrid>
        <w:gridCol w:w="3120"/>
        <w:gridCol w:w="2409"/>
        <w:gridCol w:w="2128"/>
        <w:gridCol w:w="1842"/>
      </w:tblGrid>
      <w:tr>
        <w:trPr>
          <w:trHeight w:val="337" w:hRule="exact"/>
        </w:trPr>
        <w:tc>
          <w:tcPr>
            <w:tcW w:w="3120"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组合名称</w:t>
            </w:r>
          </w:p>
        </w:tc>
        <w:tc>
          <w:tcPr>
            <w:tcW w:w="6379" w:type="dxa"/>
            <w:gridSpan w:val="3"/>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6"/>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342" w:hRule="exact"/>
        </w:trPr>
        <w:tc>
          <w:tcPr>
            <w:tcW w:w="3120" w:type="dxa"/>
            <w:vMerge/>
            <w:tcBorders>
              <w:left w:val="single" w:sz="4" w:space="0" w:color="000000"/>
              <w:bottom w:val="single" w:sz="4" w:space="0" w:color="000000"/>
              <w:right w:val="single" w:sz="4" w:space="0" w:color="000000"/>
            </w:tcBorders>
            <w:shd w:val="clear" w:color="auto" w:fill="D9D9D9"/>
          </w:tcPr>
          <w:p>
            <w:pPr/>
          </w:p>
        </w:tc>
        <w:tc>
          <w:tcPr>
            <w:tcW w:w="240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212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left="698"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84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left="555" w:right="0"/>
              <w:jc w:val="left"/>
              <w:rPr>
                <w:rFonts w:ascii="宋体" w:hAnsi="宋体" w:cs="宋体" w:eastAsia="宋体" w:hint="default"/>
                <w:sz w:val="18"/>
                <w:szCs w:val="18"/>
              </w:rPr>
            </w:pPr>
            <w:r>
              <w:rPr>
                <w:rFonts w:ascii="宋体" w:hAnsi="宋体" w:cs="宋体" w:eastAsia="宋体" w:hint="default"/>
                <w:sz w:val="18"/>
                <w:szCs w:val="18"/>
              </w:rPr>
              <w:t>计提比例</w:t>
            </w:r>
          </w:p>
        </w:tc>
      </w:tr>
      <w:tr>
        <w:trPr>
          <w:trHeight w:val="342" w:hRule="exact"/>
        </w:trPr>
        <w:tc>
          <w:tcPr>
            <w:tcW w:w="312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left="5" w:right="0"/>
              <w:jc w:val="left"/>
              <w:rPr>
                <w:rFonts w:ascii="宋体" w:hAnsi="宋体" w:cs="宋体" w:eastAsia="宋体" w:hint="default"/>
                <w:sz w:val="18"/>
                <w:szCs w:val="18"/>
              </w:rPr>
            </w:pPr>
            <w:r>
              <w:rPr>
                <w:rFonts w:ascii="宋体" w:hAnsi="宋体" w:cs="宋体" w:eastAsia="宋体" w:hint="default"/>
                <w:sz w:val="18"/>
                <w:szCs w:val="18"/>
              </w:rPr>
              <w:t>合并关联方、保证金等组合</w:t>
            </w:r>
          </w:p>
        </w:tc>
        <w:tc>
          <w:tcPr>
            <w:tcW w:w="2409" w:type="dxa"/>
            <w:tcBorders>
              <w:top w:val="single" w:sz="8" w:space="0" w:color="000000"/>
              <w:left w:val="single" w:sz="6" w:space="0" w:color="000000"/>
              <w:bottom w:val="single" w:sz="4" w:space="0" w:color="000000"/>
              <w:right w:val="single" w:sz="4" w:space="0" w:color="000000"/>
            </w:tcBorders>
          </w:tcPr>
          <w:p>
            <w:pPr>
              <w:pStyle w:val="TableParagraph"/>
              <w:spacing w:line="240" w:lineRule="auto" w:before="55"/>
              <w:ind w:right="2"/>
              <w:jc w:val="right"/>
              <w:rPr>
                <w:rFonts w:ascii="Times New Roman" w:hAnsi="Times New Roman" w:cs="Times New Roman" w:eastAsia="Times New Roman" w:hint="default"/>
                <w:sz w:val="18"/>
                <w:szCs w:val="18"/>
              </w:rPr>
            </w:pPr>
            <w:r>
              <w:rPr>
                <w:rFonts w:ascii="Times New Roman"/>
                <w:spacing w:val="-1"/>
                <w:sz w:val="18"/>
              </w:rPr>
              <w:t>19,121,666.90</w:t>
            </w:r>
          </w:p>
        </w:tc>
        <w:tc>
          <w:tcPr>
            <w:tcW w:w="2128" w:type="dxa"/>
            <w:tcBorders>
              <w:top w:val="single" w:sz="8" w:space="0" w:color="000000"/>
              <w:left w:val="single" w:sz="4" w:space="0" w:color="000000"/>
              <w:bottom w:val="single" w:sz="4" w:space="0" w:color="000000"/>
              <w:right w:val="single" w:sz="4" w:space="0" w:color="000000"/>
            </w:tcBorders>
          </w:tcPr>
          <w:p>
            <w:pPr/>
          </w:p>
        </w:tc>
        <w:tc>
          <w:tcPr>
            <w:tcW w:w="1842" w:type="dxa"/>
            <w:tcBorders>
              <w:top w:val="single" w:sz="8" w:space="0" w:color="000000"/>
              <w:left w:val="single" w:sz="4" w:space="0" w:color="000000"/>
              <w:bottom w:val="single" w:sz="4" w:space="0" w:color="000000"/>
              <w:right w:val="single" w:sz="4" w:space="0" w:color="000000"/>
            </w:tcBorders>
          </w:tcPr>
          <w:p>
            <w:pPr/>
          </w:p>
        </w:tc>
      </w:tr>
      <w:tr>
        <w:trPr>
          <w:trHeight w:val="343" w:hRule="exact"/>
        </w:trPr>
        <w:tc>
          <w:tcPr>
            <w:tcW w:w="312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2409"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61"/>
              <w:ind w:right="2"/>
              <w:jc w:val="right"/>
              <w:rPr>
                <w:rFonts w:ascii="Times New Roman" w:hAnsi="Times New Roman" w:cs="Times New Roman" w:eastAsia="Times New Roman" w:hint="default"/>
                <w:sz w:val="18"/>
                <w:szCs w:val="18"/>
              </w:rPr>
            </w:pPr>
            <w:r>
              <w:rPr>
                <w:rFonts w:ascii="Times New Roman"/>
                <w:spacing w:val="-1"/>
                <w:sz w:val="18"/>
              </w:rPr>
              <w:t>19,121,666.90</w:t>
            </w:r>
          </w:p>
        </w:tc>
        <w:tc>
          <w:tcPr>
            <w:tcW w:w="2128" w:type="dxa"/>
            <w:tcBorders>
              <w:top w:val="single" w:sz="4" w:space="0" w:color="000000"/>
              <w:left w:val="single" w:sz="4" w:space="0" w:color="000000"/>
              <w:bottom w:val="single" w:sz="4" w:space="0" w:color="000000"/>
              <w:right w:val="single" w:sz="4" w:space="0" w:color="000000"/>
            </w:tcBorders>
          </w:tcPr>
          <w:p>
            <w:pPr/>
          </w:p>
        </w:tc>
        <w:tc>
          <w:tcPr>
            <w:tcW w:w="1842" w:type="dxa"/>
            <w:tcBorders>
              <w:top w:val="single" w:sz="4" w:space="0" w:color="000000"/>
              <w:left w:val="single" w:sz="4" w:space="0" w:color="000000"/>
              <w:bottom w:val="single" w:sz="4" w:space="0" w:color="000000"/>
              <w:right w:val="single" w:sz="4" w:space="0" w:color="000000"/>
            </w:tcBorders>
          </w:tcPr>
          <w:p>
            <w:pPr/>
          </w:p>
        </w:tc>
      </w:tr>
    </w:tbl>
    <w:p>
      <w:pPr>
        <w:spacing w:before="51"/>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本期计提、收回或转回的坏账准备情况</w:t>
      </w:r>
    </w:p>
    <w:p>
      <w:pPr>
        <w:pStyle w:val="BodyText"/>
        <w:spacing w:line="240" w:lineRule="auto" w:before="155"/>
        <w:ind w:right="1117"/>
        <w:jc w:val="left"/>
      </w:pPr>
      <w:r>
        <w:rPr/>
        <w:t>本期计提坏账准备金额</w:t>
      </w:r>
      <w:r>
        <w:rPr>
          <w:spacing w:val="-53"/>
        </w:rPr>
        <w:t> </w:t>
      </w:r>
      <w:r>
        <w:rPr>
          <w:rFonts w:ascii="Times New Roman" w:hAnsi="Times New Roman" w:cs="Times New Roman" w:eastAsia="Times New Roman" w:hint="default"/>
        </w:rPr>
        <w:t>964,588.83</w:t>
      </w:r>
      <w:r>
        <w:rPr>
          <w:rFonts w:ascii="Times New Roman" w:hAnsi="Times New Roman" w:cs="Times New Roman" w:eastAsia="Times New Roman" w:hint="default"/>
          <w:spacing w:val="-1"/>
        </w:rPr>
        <w:t> </w:t>
      </w:r>
      <w:r>
        <w:rPr/>
        <w:t>元；本期收回或转回坏账准备金额</w:t>
      </w:r>
      <w:r>
        <w:rPr>
          <w:spacing w:val="-53"/>
        </w:rPr>
        <w:t> </w:t>
      </w:r>
      <w:r>
        <w:rPr>
          <w:rFonts w:ascii="Times New Roman" w:hAnsi="Times New Roman" w:cs="Times New Roman" w:eastAsia="Times New Roman" w:hint="default"/>
        </w:rPr>
        <w:t>0.00</w:t>
      </w:r>
      <w:r>
        <w:rPr>
          <w:rFonts w:ascii="Times New Roman" w:hAnsi="Times New Roman" w:cs="Times New Roman" w:eastAsia="Times New Roman" w:hint="default"/>
          <w:spacing w:val="-1"/>
        </w:rPr>
        <w:t> </w:t>
      </w:r>
      <w:r>
        <w:rPr/>
        <w:t>元。</w:t>
      </w:r>
    </w:p>
    <w:p>
      <w:pPr>
        <w:spacing w:line="240" w:lineRule="auto" w:before="3"/>
        <w:rPr>
          <w:rFonts w:ascii="宋体" w:hAnsi="宋体" w:cs="宋体" w:eastAsia="宋体" w:hint="default"/>
          <w:sz w:val="9"/>
          <w:szCs w:val="9"/>
        </w:rPr>
      </w:pPr>
    </w:p>
    <w:p>
      <w:pPr>
        <w:spacing w:after="0" w:line="240" w:lineRule="auto"/>
        <w:rPr>
          <w:rFonts w:ascii="宋体" w:hAnsi="宋体" w:cs="宋体" w:eastAsia="宋体" w:hint="default"/>
          <w:sz w:val="9"/>
          <w:szCs w:val="9"/>
        </w:rPr>
        <w:sectPr>
          <w:pgSz w:w="11910" w:h="16840"/>
          <w:pgMar w:header="877" w:footer="979" w:top="1060" w:bottom="1160" w:left="980" w:right="0"/>
        </w:sectPr>
      </w:pPr>
    </w:p>
    <w:p>
      <w:pPr>
        <w:spacing w:line="352" w:lineRule="auto" w:before="44"/>
        <w:ind w:left="154" w:right="-20" w:firstLine="0"/>
        <w:jc w:val="left"/>
        <w:rPr>
          <w:rFonts w:ascii="宋体" w:hAnsi="宋体" w:cs="宋体" w:eastAsia="宋体" w:hint="default"/>
          <w:sz w:val="18"/>
          <w:szCs w:val="18"/>
        </w:rPr>
      </w:pPr>
      <w:r>
        <w:rPr>
          <w:rFonts w:ascii="宋体" w:hAnsi="宋体" w:cs="宋体" w:eastAsia="宋体" w:hint="default"/>
          <w:sz w:val="18"/>
          <w:szCs w:val="18"/>
        </w:rPr>
        <w:t>其中本期坏账准备转回或收回金额重要的： </w:t>
      </w:r>
      <w:r>
        <w:rPr>
          <w:rFonts w:ascii="Times New Roman" w:hAnsi="Times New Roman" w:cs="Times New Roman" w:eastAsia="Times New Roman" w:hint="default"/>
          <w:sz w:val="18"/>
          <w:szCs w:val="18"/>
        </w:rPr>
        <w:t>3)</w:t>
      </w:r>
      <w:r>
        <w:rPr>
          <w:rFonts w:ascii="宋体" w:hAnsi="宋体" w:cs="宋体" w:eastAsia="宋体" w:hint="default"/>
          <w:sz w:val="18"/>
          <w:szCs w:val="18"/>
        </w:rPr>
        <w:t>本期实际核销的其他应收款情况 其中重要的其他应收款核销情况： 其他应收款核销说明： </w:t>
      </w:r>
      <w:r>
        <w:rPr>
          <w:rFonts w:ascii="Times New Roman" w:hAnsi="Times New Roman" w:cs="Times New Roman" w:eastAsia="Times New Roman" w:hint="default"/>
          <w:sz w:val="18"/>
          <w:szCs w:val="18"/>
        </w:rPr>
        <w:t>4)</w:t>
      </w:r>
      <w:r>
        <w:rPr>
          <w:rFonts w:ascii="宋体" w:hAnsi="宋体" w:cs="宋体" w:eastAsia="宋体" w:hint="default"/>
          <w:sz w:val="18"/>
          <w:szCs w:val="18"/>
        </w:rPr>
        <w:t>其他应收款按款项性质分类情况</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before="155"/>
        <w:ind w:left="153" w:right="0" w:firstLine="0"/>
        <w:jc w:val="left"/>
        <w:rPr>
          <w:rFonts w:ascii="宋体" w:hAnsi="宋体" w:cs="宋体" w:eastAsia="宋体" w:hint="default"/>
          <w:sz w:val="18"/>
          <w:szCs w:val="18"/>
        </w:rPr>
      </w:pPr>
      <w:r>
        <w:rPr>
          <w:rFonts w:ascii="宋体" w:hAnsi="宋体" w:cs="宋体" w:eastAsia="宋体" w:hint="default"/>
          <w:sz w:val="18"/>
          <w:szCs w:val="18"/>
        </w:rPr>
        <w:t>单位：元</w:t>
      </w:r>
    </w:p>
    <w:p>
      <w:pPr>
        <w:spacing w:after="0"/>
        <w:jc w:val="left"/>
        <w:rPr>
          <w:rFonts w:ascii="宋体" w:hAnsi="宋体" w:cs="宋体" w:eastAsia="宋体" w:hint="default"/>
          <w:sz w:val="18"/>
          <w:szCs w:val="18"/>
        </w:rPr>
        <w:sectPr>
          <w:type w:val="continuous"/>
          <w:pgSz w:w="11910" w:h="16840"/>
          <w:pgMar w:top="1060" w:bottom="1160" w:left="980" w:right="0"/>
          <w:cols w:num="2" w:equalWidth="0">
            <w:col w:w="3575" w:space="5345"/>
            <w:col w:w="2010"/>
          </w:cols>
        </w:sectPr>
      </w:pP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369"/>
        <w:gridCol w:w="3100"/>
        <w:gridCol w:w="3100"/>
      </w:tblGrid>
      <w:tr>
        <w:trPr>
          <w:trHeight w:val="402" w:hRule="exact"/>
        </w:trPr>
        <w:tc>
          <w:tcPr>
            <w:tcW w:w="3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款项性质</w:t>
            </w:r>
          </w:p>
        </w:tc>
        <w:tc>
          <w:tcPr>
            <w:tcW w:w="31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04" w:right="0"/>
              <w:jc w:val="left"/>
              <w:rPr>
                <w:rFonts w:ascii="宋体" w:hAnsi="宋体" w:cs="宋体" w:eastAsia="宋体" w:hint="default"/>
                <w:sz w:val="18"/>
                <w:szCs w:val="18"/>
              </w:rPr>
            </w:pPr>
            <w:r>
              <w:rPr>
                <w:rFonts w:ascii="宋体" w:hAnsi="宋体" w:cs="宋体" w:eastAsia="宋体" w:hint="default"/>
                <w:sz w:val="18"/>
                <w:szCs w:val="18"/>
              </w:rPr>
              <w:t>期末账面余额</w:t>
            </w:r>
          </w:p>
        </w:tc>
        <w:tc>
          <w:tcPr>
            <w:tcW w:w="31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04" w:right="0"/>
              <w:jc w:val="left"/>
              <w:rPr>
                <w:rFonts w:ascii="宋体" w:hAnsi="宋体" w:cs="宋体" w:eastAsia="宋体" w:hint="default"/>
                <w:sz w:val="18"/>
                <w:szCs w:val="18"/>
              </w:rPr>
            </w:pPr>
            <w:r>
              <w:rPr>
                <w:rFonts w:ascii="宋体" w:hAnsi="宋体" w:cs="宋体" w:eastAsia="宋体" w:hint="default"/>
                <w:sz w:val="18"/>
                <w:szCs w:val="18"/>
              </w:rPr>
              <w:t>期初账面余额</w:t>
            </w:r>
          </w:p>
        </w:tc>
      </w:tr>
      <w:tr>
        <w:trPr>
          <w:trHeight w:val="402" w:hRule="exact"/>
        </w:trPr>
        <w:tc>
          <w:tcPr>
            <w:tcW w:w="3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备用金</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174,861.50</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81,456.19</w:t>
            </w:r>
          </w:p>
        </w:tc>
      </w:tr>
      <w:tr>
        <w:trPr>
          <w:trHeight w:val="402" w:hRule="exact"/>
        </w:trPr>
        <w:tc>
          <w:tcPr>
            <w:tcW w:w="3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日常借款</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1,806,898.13</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1,463,336.23</w:t>
            </w:r>
          </w:p>
        </w:tc>
      </w:tr>
      <w:tr>
        <w:trPr>
          <w:trHeight w:val="402" w:hRule="exact"/>
        </w:trPr>
        <w:tc>
          <w:tcPr>
            <w:tcW w:w="3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其他单位</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12,766,967.32</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6,714,861.43</w:t>
            </w:r>
          </w:p>
        </w:tc>
      </w:tr>
      <w:tr>
        <w:trPr>
          <w:trHeight w:val="402" w:hRule="exact"/>
        </w:trPr>
        <w:tc>
          <w:tcPr>
            <w:tcW w:w="3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保证金及其他</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18,946,805.40</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25,071,613.19</w:t>
            </w:r>
          </w:p>
        </w:tc>
      </w:tr>
      <w:tr>
        <w:trPr>
          <w:trHeight w:val="402" w:hRule="exact"/>
        </w:trPr>
        <w:tc>
          <w:tcPr>
            <w:tcW w:w="3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33,695,532.35</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33,331,267.04</w:t>
            </w:r>
          </w:p>
        </w:tc>
      </w:tr>
    </w:tbl>
    <w:p>
      <w:pPr>
        <w:spacing w:before="51"/>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按欠款方归集的期末余额前五名的其他应收款情况</w:t>
      </w:r>
    </w:p>
    <w:p>
      <w:pPr>
        <w:spacing w:before="103"/>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684"/>
        <w:gridCol w:w="1552"/>
        <w:gridCol w:w="1552"/>
        <w:gridCol w:w="1553"/>
        <w:gridCol w:w="1614"/>
        <w:gridCol w:w="1615"/>
      </w:tblGrid>
      <w:tr>
        <w:trPr>
          <w:trHeight w:val="714" w:hRule="exact"/>
        </w:trPr>
        <w:tc>
          <w:tcPr>
            <w:tcW w:w="16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76"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5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21" w:right="0"/>
              <w:jc w:val="left"/>
              <w:rPr>
                <w:rFonts w:ascii="宋体" w:hAnsi="宋体" w:cs="宋体" w:eastAsia="宋体" w:hint="default"/>
                <w:sz w:val="18"/>
                <w:szCs w:val="18"/>
              </w:rPr>
            </w:pPr>
            <w:r>
              <w:rPr>
                <w:rFonts w:ascii="宋体" w:hAnsi="宋体" w:cs="宋体" w:eastAsia="宋体" w:hint="default"/>
                <w:sz w:val="18"/>
                <w:szCs w:val="18"/>
              </w:rPr>
              <w:t>款项的性质</w:t>
            </w:r>
          </w:p>
        </w:tc>
        <w:tc>
          <w:tcPr>
            <w:tcW w:w="15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10"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16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81" w:right="81"/>
              <w:jc w:val="left"/>
              <w:rPr>
                <w:rFonts w:ascii="宋体" w:hAnsi="宋体" w:cs="宋体" w:eastAsia="宋体" w:hint="default"/>
                <w:sz w:val="18"/>
                <w:szCs w:val="18"/>
              </w:rPr>
            </w:pPr>
            <w:r>
              <w:rPr>
                <w:rFonts w:ascii="宋体" w:hAnsi="宋体" w:cs="宋体" w:eastAsia="宋体" w:hint="default"/>
                <w:sz w:val="18"/>
                <w:szCs w:val="18"/>
              </w:rPr>
              <w:t>占其他应收款期末 余额合计数的比例</w:t>
            </w:r>
          </w:p>
        </w:tc>
        <w:tc>
          <w:tcPr>
            <w:tcW w:w="16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80"/>
              <w:jc w:val="right"/>
              <w:rPr>
                <w:rFonts w:ascii="宋体" w:hAnsi="宋体" w:cs="宋体" w:eastAsia="宋体" w:hint="default"/>
                <w:sz w:val="18"/>
                <w:szCs w:val="18"/>
              </w:rPr>
            </w:pPr>
            <w:r>
              <w:rPr>
                <w:rFonts w:ascii="宋体" w:hAnsi="宋体" w:cs="宋体" w:eastAsia="宋体" w:hint="default"/>
                <w:sz w:val="18"/>
                <w:szCs w:val="18"/>
              </w:rPr>
              <w:t>坏账准备期末余额</w:t>
            </w:r>
          </w:p>
        </w:tc>
      </w:tr>
      <w:tr>
        <w:trPr>
          <w:trHeight w:val="714" w:hRule="exact"/>
        </w:trPr>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29"/>
              <w:jc w:val="left"/>
              <w:rPr>
                <w:rFonts w:ascii="宋体" w:hAnsi="宋体" w:cs="宋体" w:eastAsia="宋体" w:hint="default"/>
                <w:sz w:val="18"/>
                <w:szCs w:val="18"/>
              </w:rPr>
            </w:pPr>
            <w:r>
              <w:rPr>
                <w:rFonts w:ascii="宋体" w:hAnsi="宋体" w:cs="宋体" w:eastAsia="宋体" w:hint="default"/>
                <w:sz w:val="18"/>
                <w:szCs w:val="18"/>
              </w:rPr>
              <w:t>郑州瑞茂通供应链有 限公司</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其他单位</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4,796,000.00</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14.23%</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479,600.00</w:t>
            </w:r>
          </w:p>
        </w:tc>
      </w:tr>
      <w:tr>
        <w:trPr>
          <w:trHeight w:val="402" w:hRule="exact"/>
        </w:trPr>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上海工程技术大学</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保证金及其他</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799,000.00</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2.37%</w:t>
            </w:r>
          </w:p>
        </w:tc>
        <w:tc>
          <w:tcPr>
            <w:tcW w:w="161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江西理工大学</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保证金及其他</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760,125.00</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2.26%</w:t>
            </w:r>
          </w:p>
        </w:tc>
        <w:tc>
          <w:tcPr>
            <w:tcW w:w="1615"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武汉音乐学院</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保证金及其他</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700,549.94</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 </w:t>
            </w:r>
            <w:r>
              <w:rPr>
                <w:rFonts w:ascii="宋体" w:hAnsi="宋体" w:cs="宋体" w:eastAsia="宋体" w:hint="default"/>
                <w:sz w:val="18"/>
                <w:szCs w:val="18"/>
              </w:rPr>
              <w:t>年以内、</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4"/>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2.08%</w:t>
            </w:r>
          </w:p>
        </w:tc>
        <w:tc>
          <w:tcPr>
            <w:tcW w:w="161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宁夏大学</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保证金及其他</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615,456.00</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1.83%</w:t>
            </w:r>
          </w:p>
        </w:tc>
        <w:tc>
          <w:tcPr>
            <w:tcW w:w="1615" w:type="dxa"/>
            <w:tcBorders>
              <w:top w:val="single" w:sz="4" w:space="0" w:color="000000"/>
              <w:left w:val="single" w:sz="4" w:space="0" w:color="000000"/>
              <w:bottom w:val="single" w:sz="4" w:space="0" w:color="000000"/>
              <w:right w:val="single" w:sz="4" w:space="0" w:color="000000"/>
            </w:tcBorders>
          </w:tcPr>
          <w:p>
            <w:pPr/>
          </w:p>
        </w:tc>
      </w:tr>
    </w:tbl>
    <w:p>
      <w:pPr>
        <w:spacing w:after="0"/>
        <w:sectPr>
          <w:type w:val="continuous"/>
          <w:pgSz w:w="11910" w:h="16840"/>
          <w:pgMar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685"/>
        <w:gridCol w:w="1551"/>
        <w:gridCol w:w="1552"/>
        <w:gridCol w:w="1552"/>
        <w:gridCol w:w="1615"/>
        <w:gridCol w:w="1615"/>
      </w:tblGrid>
      <w:tr>
        <w:trPr>
          <w:trHeight w:val="402" w:hRule="exact"/>
        </w:trPr>
        <w:tc>
          <w:tcPr>
            <w:tcW w:w="16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75" w:right="0"/>
              <w:jc w:val="left"/>
              <w:rPr>
                <w:rFonts w:ascii="Times New Roman" w:hAnsi="Times New Roman" w:cs="Times New Roman" w:eastAsia="Times New Roman" w:hint="default"/>
                <w:sz w:val="18"/>
                <w:szCs w:val="18"/>
              </w:rPr>
            </w:pPr>
            <w:r>
              <w:rPr>
                <w:rFonts w:ascii="Times New Roman"/>
                <w:sz w:val="18"/>
              </w:rPr>
              <w:t>7,671,130.94</w:t>
            </w:r>
          </w:p>
        </w:tc>
        <w:tc>
          <w:tcPr>
            <w:tcW w:w="15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28" w:right="0"/>
              <w:jc w:val="left"/>
              <w:rPr>
                <w:rFonts w:ascii="Times New Roman" w:hAnsi="Times New Roman" w:cs="Times New Roman" w:eastAsia="Times New Roman" w:hint="default"/>
                <w:sz w:val="18"/>
                <w:szCs w:val="18"/>
              </w:rPr>
            </w:pPr>
            <w:r>
              <w:rPr>
                <w:rFonts w:ascii="Times New Roman"/>
                <w:sz w:val="18"/>
              </w:rPr>
              <w:t>22.77%</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72" w:right="0"/>
              <w:jc w:val="left"/>
              <w:rPr>
                <w:rFonts w:ascii="Times New Roman" w:hAnsi="Times New Roman" w:cs="Times New Roman" w:eastAsia="Times New Roman" w:hint="default"/>
                <w:sz w:val="18"/>
                <w:szCs w:val="18"/>
              </w:rPr>
            </w:pPr>
            <w:r>
              <w:rPr>
                <w:rFonts w:ascii="Times New Roman"/>
                <w:sz w:val="18"/>
              </w:rPr>
              <w:t>479,600.00</w:t>
            </w:r>
          </w:p>
        </w:tc>
      </w:tr>
    </w:tbl>
    <w:p>
      <w:pPr>
        <w:spacing w:before="51"/>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涉及政府补助的应收款项</w:t>
      </w:r>
    </w:p>
    <w:p>
      <w:pPr>
        <w:spacing w:before="103"/>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7)</w:t>
      </w:r>
      <w:r>
        <w:rPr>
          <w:rFonts w:ascii="宋体" w:hAnsi="宋体" w:cs="宋体" w:eastAsia="宋体" w:hint="default"/>
          <w:sz w:val="18"/>
          <w:szCs w:val="18"/>
        </w:rPr>
        <w:t>因金融资产转移而终止确认的其他应收款</w:t>
      </w:r>
    </w:p>
    <w:p>
      <w:pPr>
        <w:spacing w:line="340" w:lineRule="auto" w:before="103"/>
        <w:ind w:left="154" w:right="664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8)</w:t>
      </w:r>
      <w:r>
        <w:rPr>
          <w:rFonts w:ascii="宋体" w:hAnsi="宋体" w:cs="宋体" w:eastAsia="宋体" w:hint="default"/>
          <w:sz w:val="18"/>
          <w:szCs w:val="18"/>
        </w:rPr>
        <w:t>转移其他应收款且继续涉入形成的资产、负债金额</w:t>
      </w:r>
      <w:r>
        <w:rPr>
          <w:rFonts w:ascii="宋体" w:hAnsi="宋体" w:cs="宋体" w:eastAsia="宋体" w:hint="default"/>
          <w:w w:val="99"/>
          <w:sz w:val="18"/>
          <w:szCs w:val="18"/>
        </w:rPr>
        <w:t> </w:t>
      </w:r>
      <w:r>
        <w:rPr>
          <w:rFonts w:ascii="宋体" w:hAnsi="宋体" w:cs="宋体" w:eastAsia="宋体" w:hint="default"/>
          <w:sz w:val="18"/>
          <w:szCs w:val="18"/>
        </w:rPr>
        <w:t>其他说明：</w:t>
      </w:r>
    </w:p>
    <w:p>
      <w:pPr>
        <w:spacing w:line="240" w:lineRule="auto" w:before="12"/>
        <w:rPr>
          <w:rFonts w:ascii="宋体" w:hAnsi="宋体" w:cs="宋体" w:eastAsia="宋体" w:hint="default"/>
          <w:sz w:val="20"/>
          <w:szCs w:val="20"/>
        </w:rPr>
      </w:pPr>
    </w:p>
    <w:p>
      <w:pPr>
        <w:pStyle w:val="Heading4"/>
        <w:spacing w:line="240" w:lineRule="auto"/>
        <w:ind w:right="1117"/>
        <w:jc w:val="left"/>
        <w:rPr>
          <w:b w:val="0"/>
          <w:bCs w:val="0"/>
        </w:rPr>
      </w:pPr>
      <w:bookmarkStart w:name="3、长期股权投资" w:id="456"/>
      <w:bookmarkEnd w:id="456"/>
      <w:r>
        <w:rPr>
          <w:b w:val="0"/>
          <w:bCs w:val="0"/>
        </w:rPr>
      </w:r>
      <w:r>
        <w:rPr>
          <w:rFonts w:ascii="Times New Roman" w:hAnsi="Times New Roman" w:cs="Times New Roman" w:eastAsia="Times New Roman" w:hint="default"/>
        </w:rPr>
        <w:t>3</w:t>
      </w:r>
      <w:r>
        <w:rPr/>
        <w:t>、长期股权投资</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1346"/>
        <w:gridCol w:w="1379"/>
        <w:gridCol w:w="1367"/>
        <w:gridCol w:w="1367"/>
        <w:gridCol w:w="1368"/>
        <w:gridCol w:w="1367"/>
        <w:gridCol w:w="1367"/>
      </w:tblGrid>
      <w:tr>
        <w:trPr>
          <w:trHeight w:val="206" w:hRule="exact"/>
        </w:trPr>
        <w:tc>
          <w:tcPr>
            <w:tcW w:w="1346" w:type="dxa"/>
            <w:tcBorders>
              <w:top w:val="single" w:sz="4" w:space="0" w:color="000000"/>
              <w:left w:val="single" w:sz="4" w:space="0" w:color="000000"/>
              <w:bottom w:val="nil" w:sz="6" w:space="0" w:color="auto"/>
              <w:right w:val="single" w:sz="4" w:space="0" w:color="000000"/>
            </w:tcBorders>
            <w:shd w:val="clear" w:color="auto" w:fill="D2D2D2"/>
          </w:tcPr>
          <w:p>
            <w:pPr/>
          </w:p>
        </w:tc>
        <w:tc>
          <w:tcPr>
            <w:tcW w:w="4113"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102"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91" w:hRule="exact"/>
        </w:trPr>
        <w:tc>
          <w:tcPr>
            <w:tcW w:w="1346"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113" w:type="dxa"/>
            <w:gridSpan w:val="3"/>
            <w:vMerge/>
            <w:tcBorders>
              <w:left w:val="single" w:sz="4" w:space="0" w:color="000000"/>
              <w:bottom w:val="single" w:sz="4" w:space="0" w:color="000000"/>
              <w:right w:val="single" w:sz="4" w:space="0" w:color="000000"/>
            </w:tcBorders>
            <w:shd w:val="clear" w:color="auto" w:fill="D2D2D2"/>
          </w:tcPr>
          <w:p>
            <w:pPr/>
          </w:p>
        </w:tc>
        <w:tc>
          <w:tcPr>
            <w:tcW w:w="4102" w:type="dxa"/>
            <w:gridSpan w:val="3"/>
            <w:vMerge/>
            <w:tcBorders>
              <w:left w:val="single" w:sz="4" w:space="0" w:color="000000"/>
              <w:bottom w:val="single" w:sz="4" w:space="0" w:color="000000"/>
              <w:right w:val="single" w:sz="4" w:space="0" w:color="000000"/>
            </w:tcBorders>
            <w:shd w:val="clear" w:color="auto" w:fill="D2D2D2"/>
          </w:tcPr>
          <w:p>
            <w:pPr/>
          </w:p>
        </w:tc>
      </w:tr>
      <w:tr>
        <w:trPr>
          <w:trHeight w:val="202" w:hRule="exact"/>
        </w:trPr>
        <w:tc>
          <w:tcPr>
            <w:tcW w:w="1346" w:type="dxa"/>
            <w:vMerge/>
            <w:tcBorders>
              <w:left w:val="single" w:sz="4" w:space="0" w:color="000000"/>
              <w:bottom w:val="nil" w:sz="6" w:space="0" w:color="auto"/>
              <w:right w:val="single" w:sz="4" w:space="0" w:color="000000"/>
            </w:tcBorders>
            <w:shd w:val="clear" w:color="auto" w:fill="D2D2D2"/>
          </w:tcPr>
          <w:p>
            <w:pPr/>
          </w:p>
        </w:tc>
        <w:tc>
          <w:tcPr>
            <w:tcW w:w="137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2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18"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17"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1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18"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17"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205" w:hRule="exact"/>
        </w:trPr>
        <w:tc>
          <w:tcPr>
            <w:tcW w:w="1346" w:type="dxa"/>
            <w:tcBorders>
              <w:top w:val="nil" w:sz="6" w:space="0" w:color="auto"/>
              <w:left w:val="single" w:sz="4" w:space="0" w:color="000000"/>
              <w:bottom w:val="single" w:sz="4" w:space="0" w:color="000000"/>
              <w:right w:val="single" w:sz="4" w:space="0" w:color="000000"/>
            </w:tcBorders>
            <w:shd w:val="clear" w:color="auto" w:fill="D2D2D2"/>
          </w:tcPr>
          <w:p>
            <w:pPr/>
          </w:p>
        </w:tc>
        <w:tc>
          <w:tcPr>
            <w:tcW w:w="1379"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8"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3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对子公司投资</w:t>
            </w:r>
          </w:p>
        </w:tc>
        <w:tc>
          <w:tcPr>
            <w:tcW w:w="137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556,852,000.00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556,852,000.00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558,850,000.00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558,850,000.00</w:t>
            </w:r>
          </w:p>
        </w:tc>
      </w:tr>
      <w:tr>
        <w:trPr>
          <w:trHeight w:val="714" w:hRule="exact"/>
        </w:trPr>
        <w:tc>
          <w:tcPr>
            <w:tcW w:w="13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62"/>
              <w:jc w:val="left"/>
              <w:rPr>
                <w:rFonts w:ascii="宋体" w:hAnsi="宋体" w:cs="宋体" w:eastAsia="宋体" w:hint="default"/>
                <w:sz w:val="18"/>
                <w:szCs w:val="18"/>
              </w:rPr>
            </w:pPr>
            <w:r>
              <w:rPr>
                <w:rFonts w:ascii="宋体" w:hAnsi="宋体" w:cs="宋体" w:eastAsia="宋体" w:hint="default"/>
                <w:sz w:val="18"/>
                <w:szCs w:val="18"/>
              </w:rPr>
              <w:t>对联营、合营企 业投资</w:t>
            </w:r>
          </w:p>
        </w:tc>
        <w:tc>
          <w:tcPr>
            <w:tcW w:w="137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87,973,749.69</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87,973,749.69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60,752,766.40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60,752,766.40</w:t>
            </w:r>
          </w:p>
        </w:tc>
      </w:tr>
      <w:tr>
        <w:trPr>
          <w:trHeight w:val="402" w:hRule="exact"/>
        </w:trPr>
        <w:tc>
          <w:tcPr>
            <w:tcW w:w="13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7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644,825,749.69</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644,825,749.69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619,602,766.40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619,602,766.40</w:t>
            </w:r>
          </w:p>
        </w:tc>
      </w:tr>
    </w:tbl>
    <w:p>
      <w:pPr>
        <w:spacing w:line="240" w:lineRule="auto" w:before="2"/>
        <w:rPr>
          <w:rFonts w:ascii="宋体" w:hAnsi="宋体" w:cs="宋体" w:eastAsia="宋体" w:hint="default"/>
          <w:sz w:val="19"/>
          <w:szCs w:val="19"/>
        </w:rPr>
      </w:pPr>
    </w:p>
    <w:p>
      <w:pPr>
        <w:pStyle w:val="Heading4"/>
        <w:spacing w:line="240" w:lineRule="auto" w:before="35"/>
        <w:ind w:right="1117"/>
        <w:jc w:val="left"/>
        <w:rPr>
          <w:b w:val="0"/>
          <w:bCs w:val="0"/>
        </w:rPr>
      </w:pPr>
      <w:bookmarkStart w:name="（1）对子公司投资" w:id="457"/>
      <w:bookmarkEnd w:id="457"/>
      <w:r>
        <w:rPr>
          <w:b w:val="0"/>
          <w:bCs w:val="0"/>
        </w:rPr>
      </w:r>
      <w:r>
        <w:rPr/>
        <w:t>（</w:t>
      </w:r>
      <w:r>
        <w:rPr>
          <w:rFonts w:ascii="Times New Roman" w:hAnsi="Times New Roman" w:cs="Times New Roman" w:eastAsia="Times New Roman" w:hint="default"/>
        </w:rPr>
        <w:t>1</w:t>
      </w:r>
      <w:r>
        <w:rPr/>
        <w:t>）对子公司投资</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448"/>
        <w:gridCol w:w="1336"/>
        <w:gridCol w:w="1336"/>
        <w:gridCol w:w="1334"/>
        <w:gridCol w:w="1336"/>
        <w:gridCol w:w="1389"/>
        <w:gridCol w:w="1390"/>
      </w:tblGrid>
      <w:tr>
        <w:trPr>
          <w:trHeight w:val="714" w:hRule="exact"/>
        </w:trPr>
        <w:tc>
          <w:tcPr>
            <w:tcW w:w="14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67" w:right="0"/>
              <w:jc w:val="left"/>
              <w:rPr>
                <w:rFonts w:ascii="宋体" w:hAnsi="宋体" w:cs="宋体" w:eastAsia="宋体" w:hint="default"/>
                <w:sz w:val="18"/>
                <w:szCs w:val="18"/>
              </w:rPr>
            </w:pPr>
            <w:r>
              <w:rPr>
                <w:rFonts w:ascii="宋体" w:hAnsi="宋体" w:cs="宋体" w:eastAsia="宋体" w:hint="default"/>
                <w:sz w:val="18"/>
                <w:szCs w:val="18"/>
              </w:rPr>
              <w:t>被投资单位</w:t>
            </w:r>
          </w:p>
        </w:tc>
        <w:tc>
          <w:tcPr>
            <w:tcW w:w="13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02"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3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02"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3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02"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3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02"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3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599" w:right="58" w:hanging="541"/>
              <w:jc w:val="left"/>
              <w:rPr>
                <w:rFonts w:ascii="宋体" w:hAnsi="宋体" w:cs="宋体" w:eastAsia="宋体" w:hint="default"/>
                <w:sz w:val="18"/>
                <w:szCs w:val="18"/>
              </w:rPr>
            </w:pPr>
            <w:r>
              <w:rPr>
                <w:rFonts w:ascii="宋体" w:hAnsi="宋体" w:cs="宋体" w:eastAsia="宋体" w:hint="default"/>
                <w:sz w:val="18"/>
                <w:szCs w:val="18"/>
              </w:rPr>
              <w:t>本期计提减值准 备</w:t>
            </w:r>
          </w:p>
        </w:tc>
        <w:tc>
          <w:tcPr>
            <w:tcW w:w="1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598" w:right="59" w:hanging="540"/>
              <w:jc w:val="left"/>
              <w:rPr>
                <w:rFonts w:ascii="宋体" w:hAnsi="宋体" w:cs="宋体" w:eastAsia="宋体" w:hint="default"/>
                <w:sz w:val="18"/>
                <w:szCs w:val="18"/>
              </w:rPr>
            </w:pPr>
            <w:r>
              <w:rPr>
                <w:rFonts w:ascii="宋体" w:hAnsi="宋体" w:cs="宋体" w:eastAsia="宋体" w:hint="default"/>
                <w:sz w:val="18"/>
                <w:szCs w:val="18"/>
              </w:rPr>
              <w:t>减值准备期末余 额</w:t>
            </w:r>
          </w:p>
        </w:tc>
      </w:tr>
      <w:tr>
        <w:trPr>
          <w:trHeight w:val="714"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53"/>
              <w:jc w:val="left"/>
              <w:rPr>
                <w:rFonts w:ascii="宋体" w:hAnsi="宋体" w:cs="宋体" w:eastAsia="宋体" w:hint="default"/>
                <w:sz w:val="18"/>
                <w:szCs w:val="18"/>
              </w:rPr>
            </w:pPr>
            <w:r>
              <w:rPr>
                <w:rFonts w:ascii="宋体" w:hAnsi="宋体" w:cs="宋体" w:eastAsia="宋体" w:hint="default"/>
                <w:sz w:val="18"/>
                <w:szCs w:val="18"/>
              </w:rPr>
              <w:t>北京迪科远望科 技有限公司</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320,000,000.00</w:t>
            </w:r>
          </w:p>
        </w:tc>
        <w:tc>
          <w:tcPr>
            <w:tcW w:w="1336"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320,000,000.00</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53"/>
              <w:jc w:val="left"/>
              <w:rPr>
                <w:rFonts w:ascii="宋体" w:hAnsi="宋体" w:cs="宋体" w:eastAsia="宋体" w:hint="default"/>
                <w:sz w:val="18"/>
                <w:szCs w:val="18"/>
              </w:rPr>
            </w:pPr>
            <w:r>
              <w:rPr>
                <w:rFonts w:ascii="宋体" w:hAnsi="宋体" w:cs="宋体" w:eastAsia="宋体" w:hint="default"/>
                <w:sz w:val="18"/>
                <w:szCs w:val="18"/>
              </w:rPr>
              <w:t>上海树维信息科 技有限公司</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219,000,000.00</w:t>
            </w:r>
          </w:p>
        </w:tc>
        <w:tc>
          <w:tcPr>
            <w:tcW w:w="1336"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219,000,000.00</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53"/>
              <w:jc w:val="left"/>
              <w:rPr>
                <w:rFonts w:ascii="宋体" w:hAnsi="宋体" w:cs="宋体" w:eastAsia="宋体" w:hint="default"/>
                <w:sz w:val="18"/>
                <w:szCs w:val="18"/>
              </w:rPr>
            </w:pPr>
            <w:r>
              <w:rPr>
                <w:rFonts w:ascii="宋体" w:hAnsi="宋体" w:cs="宋体" w:eastAsia="宋体" w:hint="default"/>
                <w:sz w:val="18"/>
                <w:szCs w:val="18"/>
              </w:rPr>
              <w:t>福建新开普信息 科技有限公司</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17,850,000.00</w:t>
            </w:r>
          </w:p>
        </w:tc>
        <w:tc>
          <w:tcPr>
            <w:tcW w:w="1336"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17,850,000.00</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53"/>
              <w:jc w:val="left"/>
              <w:rPr>
                <w:rFonts w:ascii="宋体" w:hAnsi="宋体" w:cs="宋体" w:eastAsia="宋体" w:hint="default"/>
                <w:sz w:val="18"/>
                <w:szCs w:val="18"/>
              </w:rPr>
            </w:pPr>
            <w:r>
              <w:rPr>
                <w:rFonts w:ascii="宋体" w:hAnsi="宋体" w:cs="宋体" w:eastAsia="宋体" w:hint="default"/>
                <w:sz w:val="18"/>
                <w:szCs w:val="18"/>
              </w:rPr>
              <w:t>山西新开普信息 科技有限公司</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2,000,000.00</w:t>
            </w:r>
          </w:p>
        </w:tc>
        <w:tc>
          <w:tcPr>
            <w:tcW w:w="1336"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57" w:right="0"/>
              <w:jc w:val="left"/>
              <w:rPr>
                <w:rFonts w:ascii="Times New Roman" w:hAnsi="Times New Roman" w:cs="Times New Roman" w:eastAsia="Times New Roman" w:hint="default"/>
                <w:sz w:val="18"/>
                <w:szCs w:val="18"/>
              </w:rPr>
            </w:pPr>
            <w:r>
              <w:rPr>
                <w:rFonts w:ascii="Times New Roman"/>
                <w:sz w:val="18"/>
              </w:rPr>
              <w:t>2,000,000.00</w:t>
            </w:r>
          </w:p>
        </w:tc>
        <w:tc>
          <w:tcPr>
            <w:tcW w:w="1336" w:type="dxa"/>
            <w:tcBorders>
              <w:top w:val="single" w:sz="4" w:space="0" w:color="000000"/>
              <w:left w:val="single" w:sz="4" w:space="0" w:color="000000"/>
              <w:bottom w:val="single" w:sz="4" w:space="0" w:color="000000"/>
              <w:right w:val="single" w:sz="4" w:space="0" w:color="000000"/>
            </w:tcBorders>
          </w:tcPr>
          <w:p>
            <w:pP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53"/>
              <w:jc w:val="left"/>
              <w:rPr>
                <w:rFonts w:ascii="宋体" w:hAnsi="宋体" w:cs="宋体" w:eastAsia="宋体" w:hint="default"/>
                <w:sz w:val="18"/>
                <w:szCs w:val="18"/>
              </w:rPr>
            </w:pPr>
            <w:r>
              <w:rPr>
                <w:rFonts w:ascii="宋体" w:hAnsi="宋体" w:cs="宋体" w:eastAsia="宋体" w:hint="default"/>
                <w:sz w:val="18"/>
                <w:szCs w:val="18"/>
              </w:rPr>
              <w:t>郑州新开普科技 有限公司</w:t>
            </w:r>
          </w:p>
        </w:tc>
        <w:tc>
          <w:tcPr>
            <w:tcW w:w="1336"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2,000.00</w:t>
            </w: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2,000.00</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3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558,850,000.00</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2,000.00</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7" w:right="0"/>
              <w:jc w:val="left"/>
              <w:rPr>
                <w:rFonts w:ascii="Times New Roman" w:hAnsi="Times New Roman" w:cs="Times New Roman" w:eastAsia="Times New Roman" w:hint="default"/>
                <w:sz w:val="18"/>
                <w:szCs w:val="18"/>
              </w:rPr>
            </w:pPr>
            <w:r>
              <w:rPr>
                <w:rFonts w:ascii="Times New Roman"/>
                <w:sz w:val="18"/>
              </w:rPr>
              <w:t>2,000,000.00</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556,852,000.00</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sz w:val="19"/>
          <w:szCs w:val="19"/>
        </w:rPr>
      </w:pPr>
    </w:p>
    <w:p>
      <w:pPr>
        <w:pStyle w:val="Heading4"/>
        <w:spacing w:line="240" w:lineRule="auto" w:before="35"/>
        <w:ind w:right="1117"/>
        <w:jc w:val="left"/>
        <w:rPr>
          <w:b w:val="0"/>
          <w:bCs w:val="0"/>
        </w:rPr>
      </w:pPr>
      <w:bookmarkStart w:name="（2）对联营、合营企业投资" w:id="458"/>
      <w:bookmarkEnd w:id="458"/>
      <w:r>
        <w:rPr>
          <w:b w:val="0"/>
          <w:bCs w:val="0"/>
        </w:rPr>
      </w:r>
      <w:r>
        <w:rPr/>
        <w:t>（</w:t>
      </w:r>
      <w:r>
        <w:rPr>
          <w:rFonts w:ascii="Times New Roman" w:hAnsi="Times New Roman" w:cs="Times New Roman" w:eastAsia="Times New Roman" w:hint="default"/>
        </w:rPr>
        <w:t>2</w:t>
      </w:r>
      <w:r>
        <w:rPr/>
        <w:t>）对联营、合营企业投资</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796"/>
        <w:gridCol w:w="798"/>
        <w:gridCol w:w="797"/>
        <w:gridCol w:w="798"/>
        <w:gridCol w:w="798"/>
        <w:gridCol w:w="798"/>
        <w:gridCol w:w="798"/>
        <w:gridCol w:w="798"/>
        <w:gridCol w:w="798"/>
        <w:gridCol w:w="798"/>
        <w:gridCol w:w="798"/>
        <w:gridCol w:w="797"/>
      </w:tblGrid>
      <w:tr>
        <w:trPr>
          <w:trHeight w:val="402" w:hRule="exact"/>
        </w:trPr>
        <w:tc>
          <w:tcPr>
            <w:tcW w:w="79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32" w:right="0"/>
              <w:jc w:val="left"/>
              <w:rPr>
                <w:rFonts w:ascii="宋体" w:hAnsi="宋体" w:cs="宋体" w:eastAsia="宋体" w:hint="default"/>
                <w:sz w:val="18"/>
                <w:szCs w:val="18"/>
              </w:rPr>
            </w:pPr>
            <w:r>
              <w:rPr>
                <w:rFonts w:ascii="宋体" w:hAnsi="宋体" w:cs="宋体" w:eastAsia="宋体" w:hint="default"/>
                <w:sz w:val="18"/>
                <w:szCs w:val="18"/>
              </w:rPr>
              <w:t>投资单位</w:t>
            </w:r>
          </w:p>
        </w:tc>
        <w:tc>
          <w:tcPr>
            <w:tcW w:w="7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34"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6384" w:type="dxa"/>
            <w:gridSpan w:val="8"/>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本期增减变动</w:t>
            </w:r>
          </w:p>
        </w:tc>
        <w:tc>
          <w:tcPr>
            <w:tcW w:w="7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7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9"/>
                <w:szCs w:val="19"/>
              </w:rPr>
            </w:pPr>
          </w:p>
          <w:p>
            <w:pPr>
              <w:pStyle w:val="TableParagraph"/>
              <w:spacing w:line="319" w:lineRule="auto"/>
              <w:ind w:left="33" w:right="32"/>
              <w:jc w:val="left"/>
              <w:rPr>
                <w:rFonts w:ascii="宋体" w:hAnsi="宋体" w:cs="宋体" w:eastAsia="宋体" w:hint="default"/>
                <w:sz w:val="18"/>
                <w:szCs w:val="18"/>
              </w:rPr>
            </w:pPr>
            <w:r>
              <w:rPr>
                <w:rFonts w:ascii="宋体" w:hAnsi="宋体" w:cs="宋体" w:eastAsia="宋体" w:hint="default"/>
                <w:sz w:val="18"/>
                <w:szCs w:val="18"/>
              </w:rPr>
              <w:t>减值准备 期末余额</w:t>
            </w:r>
          </w:p>
        </w:tc>
      </w:tr>
      <w:tr>
        <w:trPr>
          <w:trHeight w:val="713" w:hRule="exact"/>
        </w:trPr>
        <w:tc>
          <w:tcPr>
            <w:tcW w:w="796" w:type="dxa"/>
            <w:vMerge/>
            <w:tcBorders>
              <w:left w:val="single" w:sz="4" w:space="0" w:color="000000"/>
              <w:bottom w:val="single" w:sz="4" w:space="0" w:color="000000"/>
              <w:right w:val="single" w:sz="4" w:space="0" w:color="000000"/>
            </w:tcBorders>
            <w:shd w:val="clear" w:color="auto" w:fill="D2D2D2"/>
          </w:tcPr>
          <w:p>
            <w:pPr/>
          </w:p>
        </w:tc>
        <w:tc>
          <w:tcPr>
            <w:tcW w:w="798" w:type="dxa"/>
            <w:vMerge/>
            <w:tcBorders>
              <w:left w:val="single" w:sz="4" w:space="0" w:color="000000"/>
              <w:bottom w:val="single" w:sz="4" w:space="0" w:color="000000"/>
              <w:right w:val="single" w:sz="4" w:space="0" w:color="000000"/>
            </w:tcBorders>
            <w:shd w:val="clear" w:color="auto" w:fill="D2D2D2"/>
          </w:tcPr>
          <w:p>
            <w:pP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追加投资</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减少投资</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71"/>
              <w:ind w:left="33" w:right="33"/>
              <w:jc w:val="left"/>
              <w:rPr>
                <w:rFonts w:ascii="宋体" w:hAnsi="宋体" w:cs="宋体" w:eastAsia="宋体" w:hint="default"/>
                <w:sz w:val="18"/>
                <w:szCs w:val="18"/>
              </w:rPr>
            </w:pPr>
            <w:r>
              <w:rPr>
                <w:rFonts w:ascii="宋体" w:hAnsi="宋体" w:cs="宋体" w:eastAsia="宋体" w:hint="default"/>
                <w:sz w:val="18"/>
                <w:szCs w:val="18"/>
              </w:rPr>
              <w:t>权益法下 确认的投</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33" w:right="32"/>
              <w:jc w:val="left"/>
              <w:rPr>
                <w:rFonts w:ascii="宋体" w:hAnsi="宋体" w:cs="宋体" w:eastAsia="宋体" w:hint="default"/>
                <w:sz w:val="18"/>
                <w:szCs w:val="18"/>
              </w:rPr>
            </w:pPr>
            <w:r>
              <w:rPr>
                <w:rFonts w:ascii="宋体" w:hAnsi="宋体" w:cs="宋体" w:eastAsia="宋体" w:hint="default"/>
                <w:sz w:val="18"/>
                <w:szCs w:val="18"/>
              </w:rPr>
              <w:t>其他综合 收益调整</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13" w:right="32" w:hanging="180"/>
              <w:jc w:val="left"/>
              <w:rPr>
                <w:rFonts w:ascii="宋体" w:hAnsi="宋体" w:cs="宋体" w:eastAsia="宋体" w:hint="default"/>
                <w:sz w:val="18"/>
                <w:szCs w:val="18"/>
              </w:rPr>
            </w:pPr>
            <w:r>
              <w:rPr>
                <w:rFonts w:ascii="宋体" w:hAnsi="宋体" w:cs="宋体" w:eastAsia="宋体" w:hint="default"/>
                <w:sz w:val="18"/>
                <w:szCs w:val="18"/>
              </w:rPr>
              <w:t>其他权益 变动</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71"/>
              <w:ind w:left="33" w:right="32"/>
              <w:jc w:val="left"/>
              <w:rPr>
                <w:rFonts w:ascii="宋体" w:hAnsi="宋体" w:cs="宋体" w:eastAsia="宋体" w:hint="default"/>
                <w:sz w:val="18"/>
                <w:szCs w:val="18"/>
              </w:rPr>
            </w:pPr>
            <w:r>
              <w:rPr>
                <w:rFonts w:ascii="宋体" w:hAnsi="宋体" w:cs="宋体" w:eastAsia="宋体" w:hint="default"/>
                <w:sz w:val="18"/>
                <w:szCs w:val="18"/>
              </w:rPr>
              <w:t>宣告发放 现金股利</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13" w:right="33" w:hanging="180"/>
              <w:jc w:val="left"/>
              <w:rPr>
                <w:rFonts w:ascii="宋体" w:hAnsi="宋体" w:cs="宋体" w:eastAsia="宋体" w:hint="default"/>
                <w:sz w:val="18"/>
                <w:szCs w:val="18"/>
              </w:rPr>
            </w:pPr>
            <w:r>
              <w:rPr>
                <w:rFonts w:ascii="宋体" w:hAnsi="宋体" w:cs="宋体" w:eastAsia="宋体" w:hint="default"/>
                <w:sz w:val="18"/>
                <w:szCs w:val="18"/>
              </w:rPr>
              <w:t>计提减值 准备</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1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98" w:type="dxa"/>
            <w:vMerge/>
            <w:tcBorders>
              <w:left w:val="single" w:sz="4" w:space="0" w:color="000000"/>
              <w:bottom w:val="single" w:sz="4" w:space="0" w:color="000000"/>
              <w:right w:val="single" w:sz="4" w:space="0" w:color="000000"/>
            </w:tcBorders>
            <w:shd w:val="clear" w:color="auto" w:fill="D2D2D2"/>
          </w:tcPr>
          <w:p>
            <w:pPr/>
          </w:p>
        </w:tc>
        <w:tc>
          <w:tcPr>
            <w:tcW w:w="797" w:type="dxa"/>
            <w:vMerge/>
            <w:tcBorders>
              <w:left w:val="single" w:sz="4" w:space="0" w:color="000000"/>
              <w:bottom w:val="single" w:sz="4" w:space="0" w:color="000000"/>
              <w:right w:val="single" w:sz="4" w:space="0" w:color="000000"/>
            </w:tcBorders>
            <w:shd w:val="clear" w:color="auto" w:fill="D2D2D2"/>
          </w:tcPr>
          <w:p>
            <w:pPr/>
          </w:p>
        </w:tc>
      </w:tr>
    </w:tbl>
    <w:p>
      <w:pPr>
        <w:spacing w:after="0"/>
        <w:sectPr>
          <w:pgSz w:w="11910" w:h="16840"/>
          <w:pgMar w:header="87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796"/>
        <w:gridCol w:w="798"/>
        <w:gridCol w:w="797"/>
        <w:gridCol w:w="798"/>
        <w:gridCol w:w="798"/>
        <w:gridCol w:w="798"/>
        <w:gridCol w:w="798"/>
        <w:gridCol w:w="798"/>
        <w:gridCol w:w="798"/>
        <w:gridCol w:w="798"/>
        <w:gridCol w:w="798"/>
        <w:gridCol w:w="798"/>
      </w:tblGrid>
      <w:tr>
        <w:trPr>
          <w:trHeight w:val="362" w:hRule="exact"/>
        </w:trPr>
        <w:tc>
          <w:tcPr>
            <w:tcW w:w="79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23" w:right="0"/>
              <w:jc w:val="left"/>
              <w:rPr>
                <w:rFonts w:ascii="宋体" w:hAnsi="宋体" w:cs="宋体" w:eastAsia="宋体" w:hint="default"/>
                <w:sz w:val="18"/>
                <w:szCs w:val="18"/>
              </w:rPr>
            </w:pPr>
            <w:r>
              <w:rPr>
                <w:rFonts w:ascii="宋体" w:hAnsi="宋体" w:cs="宋体" w:eastAsia="宋体" w:hint="default"/>
                <w:sz w:val="18"/>
                <w:szCs w:val="18"/>
              </w:rPr>
              <w:t>资损益</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23" w:right="0"/>
              <w:jc w:val="left"/>
              <w:rPr>
                <w:rFonts w:ascii="宋体" w:hAnsi="宋体" w:cs="宋体" w:eastAsia="宋体" w:hint="default"/>
                <w:sz w:val="18"/>
                <w:szCs w:val="18"/>
              </w:rPr>
            </w:pPr>
            <w:r>
              <w:rPr>
                <w:rFonts w:ascii="宋体" w:hAnsi="宋体" w:cs="宋体" w:eastAsia="宋体" w:hint="default"/>
                <w:sz w:val="18"/>
                <w:szCs w:val="18"/>
              </w:rPr>
              <w:t>或利润</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9574"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一、合营企业</w:t>
            </w:r>
          </w:p>
        </w:tc>
      </w:tr>
      <w:tr>
        <w:trPr>
          <w:trHeight w:val="402" w:hRule="exact"/>
        </w:trPr>
        <w:tc>
          <w:tcPr>
            <w:tcW w:w="9574"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二、联营企业</w:t>
            </w:r>
          </w:p>
        </w:tc>
      </w:tr>
      <w:tr>
        <w:trPr>
          <w:trHeight w:val="1026" w:hRule="exact"/>
        </w:trPr>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41"/>
              <w:jc w:val="both"/>
              <w:rPr>
                <w:rFonts w:ascii="宋体" w:hAnsi="宋体" w:cs="宋体" w:eastAsia="宋体" w:hint="default"/>
                <w:sz w:val="18"/>
                <w:szCs w:val="18"/>
              </w:rPr>
            </w:pPr>
            <w:r>
              <w:rPr>
                <w:rFonts w:ascii="宋体" w:hAnsi="宋体" w:cs="宋体" w:eastAsia="宋体" w:hint="default"/>
                <w:sz w:val="18"/>
                <w:szCs w:val="18"/>
              </w:rPr>
              <w:t>成都兰途 网络科技 有限公司</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7,986,518</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.92</w:t>
            </w: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w w:val="95"/>
                <w:sz w:val="18"/>
              </w:rPr>
              <w:t>-337,375.</w:t>
            </w:r>
            <w:r>
              <w:rPr>
                <w:rFonts w:ascii="Times New Roman"/>
                <w:sz w:val="18"/>
              </w:rPr>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34</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7,649,143</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.58</w:t>
            </w: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1650" w:hRule="exact"/>
        </w:trPr>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41"/>
              <w:jc w:val="both"/>
              <w:rPr>
                <w:rFonts w:ascii="宋体" w:hAnsi="宋体" w:cs="宋体" w:eastAsia="宋体" w:hint="default"/>
                <w:sz w:val="18"/>
                <w:szCs w:val="18"/>
              </w:rPr>
            </w:pPr>
            <w:r>
              <w:rPr>
                <w:rFonts w:ascii="宋体" w:hAnsi="宋体" w:cs="宋体" w:eastAsia="宋体" w:hint="default"/>
                <w:sz w:val="18"/>
                <w:szCs w:val="18"/>
              </w:rPr>
              <w:t>嘉兴丹诚 开普股权 投资合伙 企业（有 限合伙）</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23,539,24</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5.77</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44" w:right="0"/>
              <w:jc w:val="left"/>
              <w:rPr>
                <w:rFonts w:ascii="Times New Roman" w:hAnsi="Times New Roman" w:cs="Times New Roman" w:eastAsia="Times New Roman" w:hint="default"/>
                <w:sz w:val="18"/>
                <w:szCs w:val="18"/>
              </w:rPr>
            </w:pPr>
            <w:r>
              <w:rPr>
                <w:rFonts w:ascii="Times New Roman"/>
                <w:sz w:val="18"/>
              </w:rPr>
              <w:t>12,472,00</w:t>
            </w:r>
          </w:p>
          <w:p>
            <w:pPr>
              <w:pStyle w:val="TableParagraph"/>
              <w:spacing w:line="240" w:lineRule="auto" w:before="105"/>
              <w:ind w:left="450" w:right="0"/>
              <w:jc w:val="left"/>
              <w:rPr>
                <w:rFonts w:ascii="Times New Roman" w:hAnsi="Times New Roman" w:cs="Times New Roman" w:eastAsia="Times New Roman" w:hint="default"/>
                <w:sz w:val="18"/>
                <w:szCs w:val="18"/>
              </w:rPr>
            </w:pPr>
            <w:r>
              <w:rPr>
                <w:rFonts w:ascii="Times New Roman"/>
                <w:sz w:val="18"/>
              </w:rPr>
              <w:t>0.00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1,472,156</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.13</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44" w:right="0"/>
              <w:jc w:val="left"/>
              <w:rPr>
                <w:rFonts w:ascii="Times New Roman" w:hAnsi="Times New Roman" w:cs="Times New Roman" w:eastAsia="Times New Roman" w:hint="default"/>
                <w:sz w:val="18"/>
                <w:szCs w:val="18"/>
              </w:rPr>
            </w:pPr>
            <w:r>
              <w:rPr>
                <w:rFonts w:ascii="Times New Roman"/>
                <w:sz w:val="18"/>
              </w:rPr>
              <w:t>37,483,40</w:t>
            </w:r>
          </w:p>
          <w:p>
            <w:pPr>
              <w:pStyle w:val="TableParagraph"/>
              <w:spacing w:line="240" w:lineRule="auto" w:before="105"/>
              <w:ind w:left="450" w:right="0"/>
              <w:jc w:val="left"/>
              <w:rPr>
                <w:rFonts w:ascii="Times New Roman" w:hAnsi="Times New Roman" w:cs="Times New Roman" w:eastAsia="Times New Roman" w:hint="default"/>
                <w:sz w:val="18"/>
                <w:szCs w:val="18"/>
              </w:rPr>
            </w:pPr>
            <w:r>
              <w:rPr>
                <w:rFonts w:ascii="Times New Roman"/>
                <w:sz w:val="18"/>
              </w:rPr>
              <w:t>1.90</w:t>
            </w: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41"/>
              <w:jc w:val="both"/>
              <w:rPr>
                <w:rFonts w:ascii="宋体" w:hAnsi="宋体" w:cs="宋体" w:eastAsia="宋体" w:hint="default"/>
                <w:sz w:val="18"/>
                <w:szCs w:val="18"/>
              </w:rPr>
            </w:pPr>
            <w:r>
              <w:rPr>
                <w:rFonts w:ascii="宋体" w:hAnsi="宋体" w:cs="宋体" w:eastAsia="宋体" w:hint="default"/>
                <w:sz w:val="18"/>
                <w:szCs w:val="18"/>
              </w:rPr>
              <w:t>北京乐智 科技有限 公司</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3,725,512</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.37</w:t>
            </w: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w w:val="95"/>
                <w:sz w:val="18"/>
              </w:rPr>
              <w:t>-12,475.9</w:t>
            </w:r>
            <w:r>
              <w:rPr>
                <w:rFonts w:ascii="Times New Roman"/>
                <w:sz w:val="18"/>
              </w:rPr>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3</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3,713,036</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.44</w:t>
            </w: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41"/>
              <w:jc w:val="both"/>
              <w:rPr>
                <w:rFonts w:ascii="宋体" w:hAnsi="宋体" w:cs="宋体" w:eastAsia="宋体" w:hint="default"/>
                <w:sz w:val="18"/>
                <w:szCs w:val="18"/>
              </w:rPr>
            </w:pPr>
            <w:r>
              <w:rPr>
                <w:rFonts w:ascii="宋体" w:hAnsi="宋体" w:cs="宋体" w:eastAsia="宋体" w:hint="default"/>
                <w:sz w:val="18"/>
                <w:szCs w:val="18"/>
              </w:rPr>
              <w:t>北京希嘉 创智教育 科技有限 公司</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25,501,48</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9.34</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44" w:right="0"/>
              <w:jc w:val="left"/>
              <w:rPr>
                <w:rFonts w:ascii="Times New Roman" w:hAnsi="Times New Roman" w:cs="Times New Roman" w:eastAsia="Times New Roman" w:hint="default"/>
                <w:sz w:val="18"/>
                <w:szCs w:val="18"/>
              </w:rPr>
            </w:pPr>
            <w:r>
              <w:rPr>
                <w:rFonts w:ascii="Times New Roman"/>
                <w:sz w:val="18"/>
              </w:rPr>
              <w:t>12,000,00</w:t>
            </w:r>
          </w:p>
          <w:p>
            <w:pPr>
              <w:pStyle w:val="TableParagraph"/>
              <w:spacing w:line="240" w:lineRule="auto" w:before="105"/>
              <w:ind w:left="450" w:right="0"/>
              <w:jc w:val="left"/>
              <w:rPr>
                <w:rFonts w:ascii="Times New Roman" w:hAnsi="Times New Roman" w:cs="Times New Roman" w:eastAsia="Times New Roman" w:hint="default"/>
                <w:sz w:val="18"/>
                <w:szCs w:val="18"/>
              </w:rPr>
            </w:pPr>
            <w:r>
              <w:rPr>
                <w:rFonts w:ascii="Times New Roman"/>
                <w:sz w:val="18"/>
              </w:rPr>
              <w:t>0.00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1,626,678</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.43</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44" w:right="0"/>
              <w:jc w:val="left"/>
              <w:rPr>
                <w:rFonts w:ascii="Times New Roman" w:hAnsi="Times New Roman" w:cs="Times New Roman" w:eastAsia="Times New Roman" w:hint="default"/>
                <w:sz w:val="18"/>
                <w:szCs w:val="18"/>
              </w:rPr>
            </w:pPr>
            <w:r>
              <w:rPr>
                <w:rFonts w:ascii="Times New Roman"/>
                <w:sz w:val="18"/>
              </w:rPr>
              <w:t>39,128,16</w:t>
            </w:r>
          </w:p>
          <w:p>
            <w:pPr>
              <w:pStyle w:val="TableParagraph"/>
              <w:spacing w:line="240" w:lineRule="auto" w:before="105"/>
              <w:ind w:left="450" w:right="0"/>
              <w:jc w:val="left"/>
              <w:rPr>
                <w:rFonts w:ascii="Times New Roman" w:hAnsi="Times New Roman" w:cs="Times New Roman" w:eastAsia="Times New Roman" w:hint="default"/>
                <w:sz w:val="18"/>
                <w:szCs w:val="18"/>
              </w:rPr>
            </w:pPr>
            <w:r>
              <w:rPr>
                <w:rFonts w:ascii="Times New Roman"/>
                <w:sz w:val="18"/>
              </w:rPr>
              <w:t>7.77</w:t>
            </w: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7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60,752,76</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6.40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24,472,00</w:t>
            </w:r>
          </w:p>
          <w:p>
            <w:pPr>
              <w:pStyle w:val="TableParagraph"/>
              <w:spacing w:line="240" w:lineRule="auto" w:before="105"/>
              <w:ind w:left="450" w:right="0"/>
              <w:jc w:val="left"/>
              <w:rPr>
                <w:rFonts w:ascii="Times New Roman" w:hAnsi="Times New Roman" w:cs="Times New Roman" w:eastAsia="Times New Roman" w:hint="default"/>
                <w:sz w:val="18"/>
                <w:szCs w:val="18"/>
              </w:rPr>
            </w:pPr>
            <w:r>
              <w:rPr>
                <w:rFonts w:ascii="Times New Roman"/>
                <w:sz w:val="18"/>
              </w:rPr>
              <w:t>0.00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2,748,983</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.29</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87,973,74</w:t>
            </w:r>
          </w:p>
          <w:p>
            <w:pPr>
              <w:pStyle w:val="TableParagraph"/>
              <w:spacing w:line="240" w:lineRule="auto" w:before="105"/>
              <w:ind w:left="450" w:right="0"/>
              <w:jc w:val="left"/>
              <w:rPr>
                <w:rFonts w:ascii="Times New Roman" w:hAnsi="Times New Roman" w:cs="Times New Roman" w:eastAsia="Times New Roman" w:hint="default"/>
                <w:sz w:val="18"/>
                <w:szCs w:val="18"/>
              </w:rPr>
            </w:pPr>
            <w:r>
              <w:rPr>
                <w:rFonts w:ascii="Times New Roman"/>
                <w:sz w:val="18"/>
              </w:rPr>
              <w:t>9.69</w:t>
            </w: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7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60,752,76</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6.40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24,472,00</w:t>
            </w:r>
          </w:p>
          <w:p>
            <w:pPr>
              <w:pStyle w:val="TableParagraph"/>
              <w:spacing w:line="240" w:lineRule="auto" w:before="105"/>
              <w:ind w:left="450" w:right="0"/>
              <w:jc w:val="left"/>
              <w:rPr>
                <w:rFonts w:ascii="Times New Roman" w:hAnsi="Times New Roman" w:cs="Times New Roman" w:eastAsia="Times New Roman" w:hint="default"/>
                <w:sz w:val="18"/>
                <w:szCs w:val="18"/>
              </w:rPr>
            </w:pPr>
            <w:r>
              <w:rPr>
                <w:rFonts w:ascii="Times New Roman"/>
                <w:sz w:val="18"/>
              </w:rPr>
              <w:t>0.00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2,748,983</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.29</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87,973,74</w:t>
            </w:r>
          </w:p>
          <w:p>
            <w:pPr>
              <w:pStyle w:val="TableParagraph"/>
              <w:spacing w:line="240" w:lineRule="auto" w:before="105"/>
              <w:ind w:left="450" w:right="0"/>
              <w:jc w:val="left"/>
              <w:rPr>
                <w:rFonts w:ascii="Times New Roman" w:hAnsi="Times New Roman" w:cs="Times New Roman" w:eastAsia="Times New Roman" w:hint="default"/>
                <w:sz w:val="18"/>
                <w:szCs w:val="18"/>
              </w:rPr>
            </w:pPr>
            <w:r>
              <w:rPr>
                <w:rFonts w:ascii="Times New Roman"/>
                <w:sz w:val="18"/>
              </w:rPr>
              <w:t>9.69</w:t>
            </w:r>
          </w:p>
        </w:tc>
        <w:tc>
          <w:tcPr>
            <w:tcW w:w="798"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sz w:val="19"/>
          <w:szCs w:val="19"/>
        </w:rPr>
      </w:pPr>
    </w:p>
    <w:p>
      <w:pPr>
        <w:pStyle w:val="Heading4"/>
        <w:spacing w:line="240" w:lineRule="auto" w:before="35"/>
        <w:ind w:right="1117"/>
        <w:jc w:val="left"/>
        <w:rPr>
          <w:b w:val="0"/>
          <w:bCs w:val="0"/>
        </w:rPr>
      </w:pPr>
      <w:bookmarkStart w:name="（3）其他说明" w:id="459"/>
      <w:bookmarkEnd w:id="459"/>
      <w:r>
        <w:rPr>
          <w:b w:val="0"/>
          <w:bCs w:val="0"/>
        </w:rPr>
      </w:r>
      <w:r>
        <w:rPr/>
        <w:t>（</w:t>
      </w:r>
      <w:r>
        <w:rPr>
          <w:rFonts w:ascii="Times New Roman" w:hAnsi="Times New Roman" w:cs="Times New Roman" w:eastAsia="Times New Roman" w:hint="default"/>
        </w:rPr>
        <w:t>3</w:t>
      </w:r>
      <w:r>
        <w:rPr/>
        <w:t>）其他说明</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1117"/>
        <w:jc w:val="left"/>
        <w:rPr>
          <w:b w:val="0"/>
          <w:bCs w:val="0"/>
        </w:rPr>
      </w:pPr>
      <w:bookmarkStart w:name="4、营业收入和营业成本" w:id="460"/>
      <w:bookmarkEnd w:id="460"/>
      <w:r>
        <w:rPr>
          <w:b w:val="0"/>
          <w:bCs w:val="0"/>
        </w:rPr>
      </w:r>
      <w:r>
        <w:rPr>
          <w:rFonts w:ascii="Times New Roman" w:hAnsi="Times New Roman" w:cs="Times New Roman" w:eastAsia="Times New Roman" w:hint="default"/>
        </w:rPr>
        <w:t>4</w:t>
      </w:r>
      <w:r>
        <w:rPr/>
        <w:t>、营业收入和营业成本</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1971"/>
        <w:gridCol w:w="1850"/>
        <w:gridCol w:w="1913"/>
        <w:gridCol w:w="1913"/>
        <w:gridCol w:w="1913"/>
      </w:tblGrid>
      <w:tr>
        <w:trPr>
          <w:trHeight w:val="206" w:hRule="exact"/>
        </w:trPr>
        <w:tc>
          <w:tcPr>
            <w:tcW w:w="1971" w:type="dxa"/>
            <w:tcBorders>
              <w:top w:val="single" w:sz="4" w:space="0" w:color="000000"/>
              <w:left w:val="single" w:sz="4" w:space="0" w:color="000000"/>
              <w:bottom w:val="nil" w:sz="6" w:space="0" w:color="auto"/>
              <w:right w:val="single" w:sz="4" w:space="0" w:color="000000"/>
            </w:tcBorders>
            <w:shd w:val="clear" w:color="auto" w:fill="D2D2D2"/>
          </w:tcPr>
          <w:p>
            <w:pPr/>
          </w:p>
        </w:tc>
        <w:tc>
          <w:tcPr>
            <w:tcW w:w="3762"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10"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826"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196" w:hRule="exact"/>
        </w:trPr>
        <w:tc>
          <w:tcPr>
            <w:tcW w:w="197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762" w:type="dxa"/>
            <w:gridSpan w:val="2"/>
            <w:vMerge/>
            <w:tcBorders>
              <w:left w:val="single" w:sz="4" w:space="0" w:color="000000"/>
              <w:bottom w:val="single" w:sz="4" w:space="0" w:color="000000"/>
              <w:right w:val="single" w:sz="4" w:space="0" w:color="000000"/>
            </w:tcBorders>
            <w:shd w:val="clear" w:color="auto" w:fill="D2D2D2"/>
          </w:tcPr>
          <w:p>
            <w:pPr/>
          </w:p>
        </w:tc>
        <w:tc>
          <w:tcPr>
            <w:tcW w:w="3826" w:type="dxa"/>
            <w:gridSpan w:val="2"/>
            <w:vMerge/>
            <w:tcBorders>
              <w:left w:val="single" w:sz="4" w:space="0" w:color="000000"/>
              <w:bottom w:val="single" w:sz="4" w:space="0" w:color="000000"/>
              <w:right w:val="single" w:sz="4" w:space="0" w:color="000000"/>
            </w:tcBorders>
            <w:shd w:val="clear" w:color="auto" w:fill="D2D2D2"/>
          </w:tcPr>
          <w:p>
            <w:pPr/>
          </w:p>
        </w:tc>
      </w:tr>
      <w:tr>
        <w:trPr>
          <w:trHeight w:val="196" w:hRule="exact"/>
        </w:trPr>
        <w:tc>
          <w:tcPr>
            <w:tcW w:w="1971" w:type="dxa"/>
            <w:vMerge/>
            <w:tcBorders>
              <w:left w:val="single" w:sz="4" w:space="0" w:color="000000"/>
              <w:bottom w:val="nil" w:sz="6" w:space="0" w:color="auto"/>
              <w:right w:val="single" w:sz="4" w:space="0" w:color="000000"/>
            </w:tcBorders>
            <w:shd w:val="clear" w:color="auto" w:fill="D2D2D2"/>
          </w:tcPr>
          <w:p>
            <w:pPr/>
          </w:p>
        </w:tc>
        <w:tc>
          <w:tcPr>
            <w:tcW w:w="185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10" w:right="0"/>
              <w:jc w:val="center"/>
              <w:rPr>
                <w:rFonts w:ascii="宋体" w:hAnsi="宋体" w:cs="宋体" w:eastAsia="宋体" w:hint="default"/>
                <w:sz w:val="18"/>
                <w:szCs w:val="18"/>
              </w:rPr>
            </w:pPr>
            <w:r>
              <w:rPr>
                <w:rFonts w:ascii="宋体" w:hAnsi="宋体" w:cs="宋体" w:eastAsia="宋体" w:hint="default"/>
                <w:sz w:val="18"/>
                <w:szCs w:val="18"/>
              </w:rPr>
              <w:t>收入</w:t>
            </w:r>
          </w:p>
        </w:tc>
        <w:tc>
          <w:tcPr>
            <w:tcW w:w="19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成本</w:t>
            </w:r>
          </w:p>
        </w:tc>
        <w:tc>
          <w:tcPr>
            <w:tcW w:w="19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收入</w:t>
            </w:r>
          </w:p>
        </w:tc>
        <w:tc>
          <w:tcPr>
            <w:tcW w:w="19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成本</w:t>
            </w:r>
          </w:p>
        </w:tc>
      </w:tr>
      <w:tr>
        <w:trPr>
          <w:trHeight w:val="205" w:hRule="exact"/>
        </w:trPr>
        <w:tc>
          <w:tcPr>
            <w:tcW w:w="1971" w:type="dxa"/>
            <w:tcBorders>
              <w:top w:val="nil" w:sz="6" w:space="0" w:color="auto"/>
              <w:left w:val="single" w:sz="4" w:space="0" w:color="000000"/>
              <w:bottom w:val="single" w:sz="4" w:space="0" w:color="000000"/>
              <w:right w:val="single" w:sz="4" w:space="0" w:color="000000"/>
            </w:tcBorders>
            <w:shd w:val="clear" w:color="auto" w:fill="D2D2D2"/>
          </w:tcPr>
          <w:p>
            <w:pPr/>
          </w:p>
        </w:tc>
        <w:tc>
          <w:tcPr>
            <w:tcW w:w="1850" w:type="dxa"/>
            <w:vMerge/>
            <w:tcBorders>
              <w:left w:val="single" w:sz="4" w:space="0" w:color="000000"/>
              <w:bottom w:val="single" w:sz="4" w:space="0" w:color="000000"/>
              <w:right w:val="single" w:sz="4" w:space="0" w:color="000000"/>
            </w:tcBorders>
            <w:shd w:val="clear" w:color="auto" w:fill="D2D2D2"/>
          </w:tcPr>
          <w:p>
            <w:pPr/>
          </w:p>
        </w:tc>
        <w:tc>
          <w:tcPr>
            <w:tcW w:w="1913" w:type="dxa"/>
            <w:vMerge/>
            <w:tcBorders>
              <w:left w:val="single" w:sz="4" w:space="0" w:color="000000"/>
              <w:bottom w:val="single" w:sz="4" w:space="0" w:color="000000"/>
              <w:right w:val="single" w:sz="4" w:space="0" w:color="000000"/>
            </w:tcBorders>
            <w:shd w:val="clear" w:color="auto" w:fill="D2D2D2"/>
          </w:tcPr>
          <w:p>
            <w:pPr/>
          </w:p>
        </w:tc>
        <w:tc>
          <w:tcPr>
            <w:tcW w:w="1913" w:type="dxa"/>
            <w:vMerge/>
            <w:tcBorders>
              <w:left w:val="single" w:sz="4" w:space="0" w:color="000000"/>
              <w:bottom w:val="single" w:sz="4" w:space="0" w:color="000000"/>
              <w:right w:val="single" w:sz="4" w:space="0" w:color="000000"/>
            </w:tcBorders>
            <w:shd w:val="clear" w:color="auto" w:fill="D2D2D2"/>
          </w:tcPr>
          <w:p>
            <w:pPr/>
          </w:p>
        </w:tc>
        <w:tc>
          <w:tcPr>
            <w:tcW w:w="1913"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9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主营业务</w:t>
            </w:r>
          </w:p>
        </w:tc>
        <w:tc>
          <w:tcPr>
            <w:tcW w:w="185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653,426,144.42</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336,211,277.27</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564,467,119.83</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271,864,174.84</w:t>
            </w:r>
          </w:p>
        </w:tc>
      </w:tr>
      <w:tr>
        <w:trPr>
          <w:trHeight w:val="402" w:hRule="exact"/>
        </w:trPr>
        <w:tc>
          <w:tcPr>
            <w:tcW w:w="19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其他业务</w:t>
            </w:r>
          </w:p>
        </w:tc>
        <w:tc>
          <w:tcPr>
            <w:tcW w:w="185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4,600,326.90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1,266,828.77</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4,359,194.18</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1,081,751.89</w:t>
            </w:r>
          </w:p>
        </w:tc>
      </w:tr>
      <w:tr>
        <w:trPr>
          <w:trHeight w:val="403" w:hRule="exact"/>
        </w:trPr>
        <w:tc>
          <w:tcPr>
            <w:tcW w:w="19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85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658,026,471.32</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337,478,106.04</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568,826,314.01</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272,945,926.73</w:t>
            </w:r>
          </w:p>
        </w:tc>
      </w:tr>
    </w:tbl>
    <w:p>
      <w:pPr>
        <w:spacing w:before="51"/>
        <w:ind w:left="154" w:right="1117"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0"/>
        <w:rPr>
          <w:rFonts w:ascii="宋体" w:hAnsi="宋体" w:cs="宋体" w:eastAsia="宋体" w:hint="default"/>
          <w:sz w:val="26"/>
          <w:szCs w:val="26"/>
        </w:rPr>
      </w:pPr>
    </w:p>
    <w:p>
      <w:pPr>
        <w:pStyle w:val="Heading4"/>
        <w:spacing w:line="240" w:lineRule="auto"/>
        <w:ind w:right="1117"/>
        <w:jc w:val="left"/>
        <w:rPr>
          <w:b w:val="0"/>
          <w:bCs w:val="0"/>
        </w:rPr>
      </w:pPr>
      <w:bookmarkStart w:name="5、投资收益" w:id="461"/>
      <w:bookmarkEnd w:id="461"/>
      <w:r>
        <w:rPr>
          <w:b w:val="0"/>
          <w:bCs w:val="0"/>
        </w:rPr>
      </w:r>
      <w:r>
        <w:rPr>
          <w:rFonts w:ascii="Times New Roman" w:hAnsi="Times New Roman" w:cs="Times New Roman" w:eastAsia="Times New Roman" w:hint="default"/>
        </w:rPr>
        <w:t>5</w:t>
      </w:r>
      <w:r>
        <w:rPr/>
        <w:t>、投资收益</w:t>
      </w:r>
      <w:r>
        <w:rPr>
          <w:b w:val="0"/>
          <w:bCs w:val="0"/>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324"/>
        <w:gridCol w:w="3059"/>
        <w:gridCol w:w="3175"/>
      </w:tblGrid>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7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bl>
    <w:p>
      <w:pPr>
        <w:spacing w:after="0" w:line="240" w:lineRule="auto"/>
        <w:jc w:val="center"/>
        <w:rPr>
          <w:rFonts w:ascii="宋体" w:hAnsi="宋体" w:cs="宋体" w:eastAsia="宋体" w:hint="default"/>
          <w:sz w:val="18"/>
          <w:szCs w:val="18"/>
        </w:rPr>
        <w:sectPr>
          <w:pgSz w:w="11910" w:h="16840"/>
          <w:pgMar w:header="87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3324"/>
        <w:gridCol w:w="3059"/>
        <w:gridCol w:w="3186"/>
      </w:tblGrid>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权益法核算的长期股权投资收益</w:t>
            </w:r>
          </w:p>
        </w:tc>
        <w:tc>
          <w:tcPr>
            <w:tcW w:w="3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2,748,983.29</w:t>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-1,095,146.27</w:t>
            </w: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处置长期股权投资产生的投资收益</w:t>
            </w:r>
          </w:p>
        </w:tc>
        <w:tc>
          <w:tcPr>
            <w:tcW w:w="3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-2,000,000.00</w:t>
            </w:r>
          </w:p>
        </w:tc>
        <w:tc>
          <w:tcPr>
            <w:tcW w:w="318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衍生金融资产在持有期间取得的投资收益</w:t>
            </w:r>
          </w:p>
        </w:tc>
        <w:tc>
          <w:tcPr>
            <w:tcW w:w="3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3,000,000.00</w:t>
            </w:r>
          </w:p>
        </w:tc>
        <w:tc>
          <w:tcPr>
            <w:tcW w:w="318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理财收益</w:t>
            </w:r>
          </w:p>
        </w:tc>
        <w:tc>
          <w:tcPr>
            <w:tcW w:w="3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4,285,525.75</w:t>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5,782,059.27</w:t>
            </w: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子公司分红</w:t>
            </w:r>
          </w:p>
        </w:tc>
        <w:tc>
          <w:tcPr>
            <w:tcW w:w="3059" w:type="dxa"/>
            <w:tcBorders>
              <w:top w:val="single" w:sz="4" w:space="0" w:color="000000"/>
              <w:left w:val="single" w:sz="4" w:space="0" w:color="000000"/>
              <w:bottom w:val="single" w:sz="4" w:space="0" w:color="000000"/>
              <w:right w:val="single" w:sz="4" w:space="0" w:color="000000"/>
            </w:tcBorders>
          </w:tcPr>
          <w:p>
            <w:pPr/>
          </w:p>
        </w:tc>
        <w:tc>
          <w:tcPr>
            <w:tcW w:w="3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10,000,000.00</w:t>
            </w: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8,034,509.04</w:t>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14,686,913.00</w:t>
            </w:r>
          </w:p>
        </w:tc>
      </w:tr>
    </w:tbl>
    <w:p>
      <w:pPr>
        <w:spacing w:line="240" w:lineRule="auto" w:before="2"/>
        <w:rPr>
          <w:rFonts w:ascii="宋体" w:hAnsi="宋体" w:cs="宋体" w:eastAsia="宋体" w:hint="default"/>
          <w:sz w:val="19"/>
          <w:szCs w:val="19"/>
        </w:rPr>
      </w:pPr>
    </w:p>
    <w:p>
      <w:pPr>
        <w:pStyle w:val="Heading4"/>
        <w:spacing w:line="240" w:lineRule="auto" w:before="35"/>
        <w:ind w:right="1117"/>
        <w:jc w:val="left"/>
        <w:rPr>
          <w:b w:val="0"/>
          <w:bCs w:val="0"/>
        </w:rPr>
      </w:pPr>
      <w:bookmarkStart w:name="6、其他" w:id="462"/>
      <w:bookmarkEnd w:id="462"/>
      <w:r>
        <w:rPr>
          <w:b w:val="0"/>
          <w:bCs w:val="0"/>
        </w:rPr>
      </w:r>
      <w:r>
        <w:rPr>
          <w:rFonts w:ascii="Times New Roman" w:hAnsi="Times New Roman" w:cs="Times New Roman" w:eastAsia="Times New Roman" w:hint="default"/>
        </w:rPr>
        <w:t>6</w:t>
      </w:r>
      <w:r>
        <w:rPr/>
        <w:t>、其他</w:t>
      </w:r>
      <w:r>
        <w:rPr>
          <w:b w:val="0"/>
          <w:bCs w:val="0"/>
        </w:rPr>
      </w:r>
    </w:p>
    <w:p>
      <w:pPr>
        <w:spacing w:line="240" w:lineRule="auto" w:before="12"/>
        <w:rPr>
          <w:rFonts w:ascii="宋体" w:hAnsi="宋体" w:cs="宋体" w:eastAsia="宋体" w:hint="default"/>
          <w:b/>
          <w:bCs/>
          <w:sz w:val="22"/>
          <w:szCs w:val="22"/>
        </w:rPr>
      </w:pPr>
    </w:p>
    <w:p>
      <w:pPr>
        <w:pStyle w:val="Heading2"/>
        <w:spacing w:line="240" w:lineRule="auto"/>
        <w:ind w:right="1117"/>
        <w:jc w:val="left"/>
        <w:rPr>
          <w:b w:val="0"/>
          <w:bCs w:val="0"/>
        </w:rPr>
      </w:pPr>
      <w:bookmarkStart w:name="十八、补充资料" w:id="463"/>
      <w:bookmarkEnd w:id="463"/>
      <w:r>
        <w:rPr>
          <w:b w:val="0"/>
          <w:bCs w:val="0"/>
        </w:rPr>
      </w:r>
      <w:r>
        <w:rPr/>
        <w:t>十八、补充资料</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1117"/>
        <w:jc w:val="left"/>
        <w:rPr>
          <w:b w:val="0"/>
          <w:bCs w:val="0"/>
        </w:rPr>
      </w:pPr>
      <w:bookmarkStart w:name="1、当期非经常性损益明细表" w:id="464"/>
      <w:bookmarkEnd w:id="464"/>
      <w:r>
        <w:rPr>
          <w:b w:val="0"/>
          <w:bCs w:val="0"/>
        </w:rPr>
      </w:r>
      <w:r>
        <w:rPr>
          <w:rFonts w:ascii="Times New Roman" w:hAnsi="Times New Roman" w:cs="Times New Roman" w:eastAsia="Times New Roman" w:hint="default"/>
        </w:rPr>
        <w:t>1</w:t>
      </w:r>
      <w:r>
        <w:rPr/>
        <w:t>、当期非经常性损益明细表</w:t>
      </w:r>
      <w:r>
        <w:rPr>
          <w:b w:val="0"/>
          <w:bCs w:val="0"/>
        </w:rPr>
      </w:r>
    </w:p>
    <w:p>
      <w:pPr>
        <w:spacing w:line="240" w:lineRule="auto" w:before="4"/>
        <w:rPr>
          <w:rFonts w:ascii="宋体" w:hAnsi="宋体" w:cs="宋体" w:eastAsia="宋体" w:hint="default"/>
          <w:b/>
          <w:bCs/>
          <w:sz w:val="23"/>
          <w:szCs w:val="23"/>
        </w:rPr>
      </w:pPr>
    </w:p>
    <w:p>
      <w:pPr>
        <w:spacing w:before="44"/>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适用</w:t>
      </w:r>
      <w:r>
        <w:rPr>
          <w:rFonts w:ascii="Times New Roman" w:hAnsi="Times New Roman" w:cs="Times New Roman" w:eastAsia="Times New Roman" w:hint="default"/>
          <w:sz w:val="18"/>
          <w:szCs w:val="18"/>
        </w:rPr>
        <w:t>□</w:t>
      </w:r>
      <w:r>
        <w:rPr>
          <w:rFonts w:ascii="宋体" w:hAnsi="宋体" w:cs="宋体" w:eastAsia="宋体" w:hint="default"/>
          <w:sz w:val="18"/>
          <w:szCs w:val="18"/>
        </w:rPr>
        <w:t>不适用</w:t>
      </w:r>
    </w:p>
    <w:p>
      <w:pPr>
        <w:spacing w:before="102"/>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302"/>
        <w:gridCol w:w="3071"/>
        <w:gridCol w:w="3186"/>
      </w:tblGrid>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0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31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说明</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非流动资产处置损益</w:t>
            </w:r>
          </w:p>
        </w:tc>
        <w:tc>
          <w:tcPr>
            <w:tcW w:w="307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w w:val="95"/>
                <w:sz w:val="18"/>
              </w:rPr>
              <w:t>-225,825.93</w:t>
            </w:r>
            <w:r>
              <w:rPr>
                <w:rFonts w:ascii="Times New Roman"/>
                <w:sz w:val="18"/>
              </w:rPr>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处置固定资产损失</w:t>
            </w:r>
          </w:p>
        </w:tc>
      </w:tr>
      <w:tr>
        <w:trPr>
          <w:trHeight w:val="1026"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1" w:right="38"/>
              <w:jc w:val="both"/>
              <w:rPr>
                <w:rFonts w:ascii="宋体" w:hAnsi="宋体" w:cs="宋体" w:eastAsia="宋体" w:hint="default"/>
                <w:sz w:val="18"/>
                <w:szCs w:val="18"/>
              </w:rPr>
            </w:pPr>
            <w:r>
              <w:rPr>
                <w:rFonts w:ascii="宋体" w:hAnsi="宋体" w:cs="宋体" w:eastAsia="宋体" w:hint="default"/>
                <w:sz w:val="18"/>
                <w:szCs w:val="18"/>
              </w:rPr>
              <w:t>计入当期损益的政府补助（与企业业务密 切相关，按照国家统一标准定额或定量享 受的政府补助除外）</w:t>
            </w:r>
          </w:p>
        </w:tc>
        <w:tc>
          <w:tcPr>
            <w:tcW w:w="307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6,170,396.86</w:t>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除增值税软件退税外的政府补助</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委托他人投资或管理资产的损益</w:t>
            </w:r>
          </w:p>
        </w:tc>
        <w:tc>
          <w:tcPr>
            <w:tcW w:w="307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2,048,388.38</w:t>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募集资金购买理财产品利息收入</w:t>
            </w:r>
          </w:p>
        </w:tc>
      </w:tr>
      <w:tr>
        <w:trPr>
          <w:trHeight w:val="714"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1" w:right="38"/>
              <w:jc w:val="left"/>
              <w:rPr>
                <w:rFonts w:ascii="宋体" w:hAnsi="宋体" w:cs="宋体" w:eastAsia="宋体" w:hint="default"/>
                <w:sz w:val="18"/>
                <w:szCs w:val="18"/>
              </w:rPr>
            </w:pPr>
            <w:r>
              <w:rPr>
                <w:rFonts w:ascii="宋体" w:hAnsi="宋体" w:cs="宋体" w:eastAsia="宋体" w:hint="default"/>
                <w:sz w:val="18"/>
                <w:szCs w:val="18"/>
              </w:rPr>
              <w:t>与公司正常经营业务无关的或有事项产生 的损益</w:t>
            </w:r>
          </w:p>
        </w:tc>
        <w:tc>
          <w:tcPr>
            <w:tcW w:w="307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6,402,000.00</w:t>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投资收益款</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除上述各项之外的其他营业外收入和支出</w:t>
            </w:r>
          </w:p>
        </w:tc>
        <w:tc>
          <w:tcPr>
            <w:tcW w:w="307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w w:val="95"/>
                <w:sz w:val="18"/>
              </w:rPr>
              <w:t>-994,558.02</w:t>
            </w:r>
            <w:r>
              <w:rPr>
                <w:rFonts w:ascii="Times New Roman"/>
                <w:sz w:val="18"/>
              </w:rPr>
            </w:r>
          </w:p>
        </w:tc>
        <w:tc>
          <w:tcPr>
            <w:tcW w:w="318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减：所得税影响额</w:t>
            </w:r>
          </w:p>
        </w:tc>
        <w:tc>
          <w:tcPr>
            <w:tcW w:w="307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2,010,060.19</w:t>
            </w:r>
          </w:p>
        </w:tc>
        <w:tc>
          <w:tcPr>
            <w:tcW w:w="318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少数股东权益影响额</w:t>
            </w:r>
          </w:p>
        </w:tc>
        <w:tc>
          <w:tcPr>
            <w:tcW w:w="307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117,964.74</w:t>
            </w:r>
          </w:p>
        </w:tc>
        <w:tc>
          <w:tcPr>
            <w:tcW w:w="318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071" w:type="dxa"/>
            <w:tcBorders>
              <w:top w:val="single" w:sz="4" w:space="0" w:color="000000"/>
              <w:left w:val="single" w:sz="13" w:space="0" w:color="D2D2D2"/>
              <w:bottom w:val="single" w:sz="4" w:space="0" w:color="000000"/>
              <w:right w:val="single" w:sz="9" w:space="0" w:color="D2D2D2"/>
            </w:tcBorders>
          </w:tcPr>
          <w:p>
            <w:pPr>
              <w:pStyle w:val="TableParagraph"/>
              <w:spacing w:line="240" w:lineRule="auto" w:before="92"/>
              <w:ind w:right="14"/>
              <w:jc w:val="right"/>
              <w:rPr>
                <w:rFonts w:ascii="Times New Roman" w:hAnsi="Times New Roman" w:cs="Times New Roman" w:eastAsia="Times New Roman" w:hint="default"/>
                <w:sz w:val="18"/>
                <w:szCs w:val="18"/>
              </w:rPr>
            </w:pPr>
            <w:r>
              <w:rPr>
                <w:rFonts w:ascii="Times New Roman"/>
                <w:spacing w:val="-1"/>
                <w:sz w:val="18"/>
              </w:rPr>
              <w:t>11,272,376.36</w:t>
            </w:r>
          </w:p>
        </w:tc>
        <w:tc>
          <w:tcPr>
            <w:tcW w:w="31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pacing w:val="-3"/>
          <w:sz w:val="18"/>
          <w:szCs w:val="18"/>
        </w:rPr>
        <w:t>对公司根据《公开发行证券的公司信息披露解释性公告第</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5"/>
          <w:sz w:val="18"/>
          <w:szCs w:val="18"/>
        </w:rPr>
        <w:t> </w:t>
      </w:r>
      <w:r>
        <w:rPr>
          <w:rFonts w:ascii="宋体" w:hAnsi="宋体" w:cs="宋体" w:eastAsia="宋体" w:hint="default"/>
          <w:spacing w:val="-7"/>
          <w:sz w:val="18"/>
          <w:szCs w:val="18"/>
        </w:rPr>
        <w:t>号</w:t>
      </w:r>
      <w:r>
        <w:rPr>
          <w:rFonts w:ascii="Times New Roman" w:hAnsi="Times New Roman" w:cs="Times New Roman" w:eastAsia="Times New Roman" w:hint="default"/>
          <w:spacing w:val="-7"/>
          <w:sz w:val="18"/>
          <w:szCs w:val="18"/>
        </w:rPr>
        <w:t>——</w:t>
      </w:r>
      <w:r>
        <w:rPr>
          <w:rFonts w:ascii="宋体" w:hAnsi="宋体" w:cs="宋体" w:eastAsia="宋体" w:hint="default"/>
          <w:spacing w:val="-7"/>
          <w:sz w:val="18"/>
          <w:szCs w:val="18"/>
        </w:rPr>
        <w:t>非经常性损益》定义界定的非经常性损益项目，以及把《公</w:t>
      </w:r>
    </w:p>
    <w:p>
      <w:pPr>
        <w:spacing w:line="302" w:lineRule="auto" w:before="61"/>
        <w:ind w:left="154" w:right="1118" w:firstLine="0"/>
        <w:jc w:val="left"/>
        <w:rPr>
          <w:rFonts w:ascii="宋体" w:hAnsi="宋体" w:cs="宋体" w:eastAsia="宋体" w:hint="default"/>
          <w:sz w:val="18"/>
          <w:szCs w:val="18"/>
        </w:rPr>
      </w:pPr>
      <w:r>
        <w:rPr>
          <w:rFonts w:ascii="宋体" w:hAnsi="宋体" w:cs="宋体" w:eastAsia="宋体" w:hint="default"/>
          <w:sz w:val="18"/>
          <w:szCs w:val="18"/>
        </w:rPr>
        <w:t>开发行证券的公司信息披露解释性公告第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6"/>
          <w:sz w:val="18"/>
          <w:szCs w:val="18"/>
        </w:rPr>
        <w:t> </w:t>
      </w:r>
      <w:r>
        <w:rPr>
          <w:rFonts w:ascii="宋体" w:hAnsi="宋体" w:cs="宋体" w:eastAsia="宋体" w:hint="default"/>
          <w:spacing w:val="-3"/>
          <w:sz w:val="18"/>
          <w:szCs w:val="18"/>
        </w:rPr>
        <w:t>号</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非经常性损益》中列举的非经常性损益项目界定为经常性损益的项目，应</w:t>
      </w:r>
      <w:r>
        <w:rPr>
          <w:rFonts w:ascii="宋体" w:hAnsi="宋体" w:cs="宋体" w:eastAsia="宋体" w:hint="default"/>
          <w:sz w:val="18"/>
          <w:szCs w:val="18"/>
        </w:rPr>
        <w:t> 说明原因。</w:t>
      </w:r>
    </w:p>
    <w:p>
      <w:pPr>
        <w:spacing w:before="69"/>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适用</w:t>
      </w:r>
      <w:r>
        <w:rPr>
          <w:rFonts w:ascii="Times New Roman" w:hAnsi="Times New Roman" w:cs="Times New Roman" w:eastAsia="Times New Roman" w:hint="default"/>
          <w:sz w:val="18"/>
          <w:szCs w:val="18"/>
        </w:rPr>
        <w:t>√</w:t>
      </w:r>
      <w:r>
        <w:rPr>
          <w:rFonts w:ascii="宋体" w:hAnsi="宋体" w:cs="宋体" w:eastAsia="宋体" w:hint="default"/>
          <w:sz w:val="18"/>
          <w:szCs w:val="18"/>
        </w:rPr>
        <w:t>不适用</w:t>
      </w:r>
    </w:p>
    <w:p>
      <w:pPr>
        <w:spacing w:line="240" w:lineRule="auto" w:before="10"/>
        <w:rPr>
          <w:rFonts w:ascii="宋体" w:hAnsi="宋体" w:cs="宋体" w:eastAsia="宋体" w:hint="default"/>
          <w:sz w:val="25"/>
          <w:szCs w:val="25"/>
        </w:rPr>
      </w:pPr>
    </w:p>
    <w:p>
      <w:pPr>
        <w:pStyle w:val="Heading4"/>
        <w:spacing w:line="240" w:lineRule="auto"/>
        <w:ind w:right="1117"/>
        <w:jc w:val="left"/>
        <w:rPr>
          <w:b w:val="0"/>
          <w:bCs w:val="0"/>
        </w:rPr>
      </w:pPr>
      <w:bookmarkStart w:name="2、净资产收益率及每股收益" w:id="465"/>
      <w:bookmarkEnd w:id="465"/>
      <w:r>
        <w:rPr>
          <w:b w:val="0"/>
          <w:bCs w:val="0"/>
        </w:rPr>
      </w:r>
      <w:r>
        <w:rPr>
          <w:rFonts w:ascii="Times New Roman" w:hAnsi="Times New Roman" w:cs="Times New Roman" w:eastAsia="Times New Roman" w:hint="default"/>
        </w:rPr>
        <w:t>2</w:t>
      </w:r>
      <w:r>
        <w:rPr/>
        <w:t>、净资产收益率及每股收益</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2662"/>
        <w:gridCol w:w="3081"/>
        <w:gridCol w:w="1913"/>
        <w:gridCol w:w="1913"/>
      </w:tblGrid>
      <w:tr>
        <w:trPr>
          <w:trHeight w:val="206" w:hRule="exact"/>
        </w:trPr>
        <w:tc>
          <w:tcPr>
            <w:tcW w:w="2662" w:type="dxa"/>
            <w:tcBorders>
              <w:top w:val="single" w:sz="4" w:space="0" w:color="000000"/>
              <w:left w:val="single" w:sz="4" w:space="0" w:color="000000"/>
              <w:bottom w:val="nil" w:sz="6" w:space="0" w:color="auto"/>
              <w:right w:val="single" w:sz="4" w:space="0" w:color="000000"/>
            </w:tcBorders>
            <w:shd w:val="clear" w:color="auto" w:fill="D2D2D2"/>
          </w:tcPr>
          <w:p>
            <w:pPr/>
          </w:p>
        </w:tc>
        <w:tc>
          <w:tcPr>
            <w:tcW w:w="3081" w:type="dxa"/>
            <w:tcBorders>
              <w:top w:val="single" w:sz="4" w:space="0" w:color="000000"/>
              <w:left w:val="single" w:sz="4" w:space="0" w:color="000000"/>
              <w:bottom w:val="nil" w:sz="6" w:space="0" w:color="auto"/>
              <w:right w:val="single" w:sz="4" w:space="0" w:color="000000"/>
            </w:tcBorders>
            <w:shd w:val="clear" w:color="auto" w:fill="D2D2D2"/>
          </w:tcPr>
          <w:p>
            <w:pPr/>
          </w:p>
        </w:tc>
        <w:tc>
          <w:tcPr>
            <w:tcW w:w="3826"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每股收益</w:t>
            </w:r>
          </w:p>
        </w:tc>
      </w:tr>
      <w:tr>
        <w:trPr>
          <w:trHeight w:val="191" w:hRule="exact"/>
        </w:trPr>
        <w:tc>
          <w:tcPr>
            <w:tcW w:w="266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876" w:right="0"/>
              <w:jc w:val="left"/>
              <w:rPr>
                <w:rFonts w:ascii="宋体" w:hAnsi="宋体" w:cs="宋体" w:eastAsia="宋体" w:hint="default"/>
                <w:sz w:val="18"/>
                <w:szCs w:val="18"/>
              </w:rPr>
            </w:pPr>
            <w:r>
              <w:rPr>
                <w:rFonts w:ascii="宋体" w:hAnsi="宋体" w:cs="宋体" w:eastAsia="宋体" w:hint="default"/>
                <w:sz w:val="18"/>
                <w:szCs w:val="18"/>
              </w:rPr>
              <w:t>报告期利润</w:t>
            </w:r>
          </w:p>
        </w:tc>
        <w:tc>
          <w:tcPr>
            <w:tcW w:w="308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635" w:right="0"/>
              <w:jc w:val="left"/>
              <w:rPr>
                <w:rFonts w:ascii="宋体" w:hAnsi="宋体" w:cs="宋体" w:eastAsia="宋体" w:hint="default"/>
                <w:sz w:val="18"/>
                <w:szCs w:val="18"/>
              </w:rPr>
            </w:pPr>
            <w:r>
              <w:rPr>
                <w:rFonts w:ascii="宋体" w:hAnsi="宋体" w:cs="宋体" w:eastAsia="宋体" w:hint="default"/>
                <w:sz w:val="18"/>
                <w:szCs w:val="18"/>
              </w:rPr>
              <w:t>加权平均净资产收益率</w:t>
            </w:r>
          </w:p>
        </w:tc>
        <w:tc>
          <w:tcPr>
            <w:tcW w:w="3826" w:type="dxa"/>
            <w:gridSpan w:val="2"/>
            <w:vMerge/>
            <w:tcBorders>
              <w:left w:val="single" w:sz="4" w:space="0" w:color="000000"/>
              <w:bottom w:val="single" w:sz="4" w:space="0" w:color="000000"/>
              <w:right w:val="single" w:sz="4" w:space="0" w:color="000000"/>
            </w:tcBorders>
            <w:shd w:val="clear" w:color="auto" w:fill="D2D2D2"/>
          </w:tcPr>
          <w:p>
            <w:pPr/>
          </w:p>
        </w:tc>
      </w:tr>
      <w:tr>
        <w:trPr>
          <w:trHeight w:val="202" w:hRule="exact"/>
        </w:trPr>
        <w:tc>
          <w:tcPr>
            <w:tcW w:w="2662" w:type="dxa"/>
            <w:vMerge/>
            <w:tcBorders>
              <w:left w:val="single" w:sz="4" w:space="0" w:color="000000"/>
              <w:bottom w:val="nil" w:sz="6" w:space="0" w:color="auto"/>
              <w:right w:val="single" w:sz="4" w:space="0" w:color="000000"/>
            </w:tcBorders>
            <w:shd w:val="clear" w:color="auto" w:fill="D2D2D2"/>
          </w:tcPr>
          <w:p>
            <w:pPr/>
          </w:p>
        </w:tc>
        <w:tc>
          <w:tcPr>
            <w:tcW w:w="3081" w:type="dxa"/>
            <w:vMerge/>
            <w:tcBorders>
              <w:left w:val="single" w:sz="4" w:space="0" w:color="000000"/>
              <w:bottom w:val="nil" w:sz="6" w:space="0" w:color="auto"/>
              <w:right w:val="single" w:sz="4" w:space="0" w:color="000000"/>
            </w:tcBorders>
            <w:shd w:val="clear" w:color="auto" w:fill="D2D2D2"/>
          </w:tcPr>
          <w:p>
            <w:pPr/>
          </w:p>
        </w:tc>
        <w:tc>
          <w:tcPr>
            <w:tcW w:w="19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7"/>
              <w:ind w:left="26" w:right="0"/>
              <w:jc w:val="left"/>
              <w:rPr>
                <w:rFonts w:ascii="宋体" w:hAnsi="宋体" w:cs="宋体" w:eastAsia="宋体" w:hint="default"/>
                <w:sz w:val="18"/>
                <w:szCs w:val="18"/>
              </w:rPr>
            </w:pPr>
            <w:r>
              <w:rPr>
                <w:rFonts w:ascii="宋体" w:hAnsi="宋体" w:cs="宋体" w:eastAsia="宋体" w:hint="default"/>
                <w:sz w:val="18"/>
                <w:szCs w:val="18"/>
              </w:rPr>
              <w:t>基本每股收益（元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9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7"/>
              <w:ind w:left="26" w:right="0"/>
              <w:jc w:val="left"/>
              <w:rPr>
                <w:rFonts w:ascii="宋体" w:hAnsi="宋体" w:cs="宋体" w:eastAsia="宋体" w:hint="default"/>
                <w:sz w:val="18"/>
                <w:szCs w:val="18"/>
              </w:rPr>
            </w:pPr>
            <w:r>
              <w:rPr>
                <w:rFonts w:ascii="宋体" w:hAnsi="宋体" w:cs="宋体" w:eastAsia="宋体" w:hint="default"/>
                <w:sz w:val="18"/>
                <w:szCs w:val="18"/>
              </w:rPr>
              <w:t>稀释每股收益（元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r>
      <w:tr>
        <w:trPr>
          <w:trHeight w:val="205" w:hRule="exact"/>
        </w:trPr>
        <w:tc>
          <w:tcPr>
            <w:tcW w:w="2662" w:type="dxa"/>
            <w:tcBorders>
              <w:top w:val="nil" w:sz="6" w:space="0" w:color="auto"/>
              <w:left w:val="single" w:sz="4" w:space="0" w:color="000000"/>
              <w:bottom w:val="single" w:sz="4" w:space="0" w:color="000000"/>
              <w:right w:val="single" w:sz="4" w:space="0" w:color="000000"/>
            </w:tcBorders>
            <w:shd w:val="clear" w:color="auto" w:fill="D2D2D2"/>
          </w:tcPr>
          <w:p>
            <w:pPr/>
          </w:p>
        </w:tc>
        <w:tc>
          <w:tcPr>
            <w:tcW w:w="3081" w:type="dxa"/>
            <w:tcBorders>
              <w:top w:val="nil" w:sz="6" w:space="0" w:color="auto"/>
              <w:left w:val="single" w:sz="4" w:space="0" w:color="000000"/>
              <w:bottom w:val="single" w:sz="4" w:space="0" w:color="000000"/>
              <w:right w:val="single" w:sz="4" w:space="0" w:color="000000"/>
            </w:tcBorders>
            <w:shd w:val="clear" w:color="auto" w:fill="D2D2D2"/>
          </w:tcPr>
          <w:p>
            <w:pPr/>
          </w:p>
        </w:tc>
        <w:tc>
          <w:tcPr>
            <w:tcW w:w="1913" w:type="dxa"/>
            <w:vMerge/>
            <w:tcBorders>
              <w:left w:val="single" w:sz="4" w:space="0" w:color="000000"/>
              <w:bottom w:val="single" w:sz="4" w:space="0" w:color="000000"/>
              <w:right w:val="single" w:sz="4" w:space="0" w:color="000000"/>
            </w:tcBorders>
            <w:shd w:val="clear" w:color="auto" w:fill="D2D2D2"/>
          </w:tcPr>
          <w:p>
            <w:pPr/>
          </w:p>
        </w:tc>
        <w:tc>
          <w:tcPr>
            <w:tcW w:w="1913"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2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84"/>
              <w:jc w:val="center"/>
              <w:rPr>
                <w:rFonts w:ascii="宋体" w:hAnsi="宋体" w:cs="宋体" w:eastAsia="宋体" w:hint="default"/>
                <w:sz w:val="18"/>
                <w:szCs w:val="18"/>
              </w:rPr>
            </w:pPr>
            <w:r>
              <w:rPr>
                <w:rFonts w:ascii="宋体" w:hAnsi="宋体" w:cs="宋体" w:eastAsia="宋体" w:hint="default"/>
                <w:sz w:val="18"/>
                <w:szCs w:val="18"/>
              </w:rPr>
              <w:t>归属于公司普通股股东的净利润</w:t>
            </w:r>
          </w:p>
        </w:tc>
        <w:tc>
          <w:tcPr>
            <w:tcW w:w="308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6.87%</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0.20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0.20</w:t>
            </w:r>
          </w:p>
        </w:tc>
      </w:tr>
      <w:tr>
        <w:trPr>
          <w:trHeight w:val="403" w:hRule="exact"/>
        </w:trPr>
        <w:tc>
          <w:tcPr>
            <w:tcW w:w="2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right="84"/>
              <w:jc w:val="center"/>
              <w:rPr>
                <w:rFonts w:ascii="宋体" w:hAnsi="宋体" w:cs="宋体" w:eastAsia="宋体" w:hint="default"/>
                <w:sz w:val="18"/>
                <w:szCs w:val="18"/>
              </w:rPr>
            </w:pPr>
            <w:r>
              <w:rPr>
                <w:rFonts w:ascii="宋体" w:hAnsi="宋体" w:cs="宋体" w:eastAsia="宋体" w:hint="default"/>
                <w:sz w:val="18"/>
                <w:szCs w:val="18"/>
              </w:rPr>
              <w:t>扣除非经常性损益后归属于公司</w:t>
            </w:r>
          </w:p>
        </w:tc>
        <w:tc>
          <w:tcPr>
            <w:tcW w:w="308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6.07%</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0.18</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0.18</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79" w:top="1060" w:bottom="1160" w:left="980" w:right="0"/>
        </w:sectPr>
      </w:pPr>
    </w:p>
    <w:p>
      <w:pPr>
        <w:spacing w:line="240" w:lineRule="auto" w:before="6"/>
        <w:rPr>
          <w:rFonts w:ascii="宋体" w:hAnsi="宋体" w:cs="宋体" w:eastAsia="宋体" w:hint="default"/>
          <w:b/>
          <w:bCs/>
          <w:sz w:val="28"/>
          <w:szCs w:val="28"/>
        </w:rPr>
      </w:pPr>
    </w:p>
    <w:tbl>
      <w:tblPr>
        <w:tblW w:w="0" w:type="auto"/>
        <w:jc w:val="left"/>
        <w:tblInd w:w="149" w:type="dxa"/>
        <w:tblLayout w:type="fixed"/>
        <w:tblCellMar>
          <w:top w:w="0" w:type="dxa"/>
          <w:left w:w="0" w:type="dxa"/>
          <w:bottom w:w="0" w:type="dxa"/>
          <w:right w:w="0" w:type="dxa"/>
        </w:tblCellMar>
        <w:tblLook w:val="01E0"/>
      </w:tblPr>
      <w:tblGrid>
        <w:gridCol w:w="2662"/>
        <w:gridCol w:w="3081"/>
        <w:gridCol w:w="1913"/>
        <w:gridCol w:w="1913"/>
      </w:tblGrid>
      <w:tr>
        <w:trPr>
          <w:trHeight w:val="362" w:hRule="exact"/>
        </w:trPr>
        <w:tc>
          <w:tcPr>
            <w:tcW w:w="2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普通股股东的净利润</w:t>
            </w:r>
          </w:p>
        </w:tc>
        <w:tc>
          <w:tcPr>
            <w:tcW w:w="3081"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b/>
          <w:bCs/>
          <w:sz w:val="19"/>
          <w:szCs w:val="19"/>
        </w:rPr>
      </w:pPr>
    </w:p>
    <w:p>
      <w:pPr>
        <w:pStyle w:val="Heading4"/>
        <w:spacing w:line="240" w:lineRule="auto" w:before="35"/>
        <w:ind w:right="1117"/>
        <w:jc w:val="left"/>
        <w:rPr>
          <w:b w:val="0"/>
          <w:bCs w:val="0"/>
        </w:rPr>
      </w:pPr>
      <w:bookmarkStart w:name="3、境内外会计准则下会计数据差异" w:id="466"/>
      <w:bookmarkEnd w:id="466"/>
      <w:r>
        <w:rPr>
          <w:b w:val="0"/>
          <w:bCs w:val="0"/>
        </w:rPr>
      </w:r>
      <w:r>
        <w:rPr>
          <w:rFonts w:ascii="Times New Roman" w:hAnsi="Times New Roman" w:cs="Times New Roman" w:eastAsia="Times New Roman" w:hint="default"/>
        </w:rPr>
        <w:t>3</w:t>
      </w:r>
      <w:r>
        <w:rPr/>
        <w:t>、境内外会计准则下会计数据差异</w:t>
      </w:r>
      <w:r>
        <w:rPr>
          <w:b w:val="0"/>
          <w:bCs w:val="0"/>
        </w:rPr>
      </w:r>
    </w:p>
    <w:p>
      <w:pPr>
        <w:spacing w:line="240" w:lineRule="auto" w:before="9"/>
        <w:rPr>
          <w:rFonts w:ascii="宋体" w:hAnsi="宋体" w:cs="宋体" w:eastAsia="宋体" w:hint="default"/>
          <w:b/>
          <w:bCs/>
          <w:sz w:val="24"/>
          <w:szCs w:val="24"/>
        </w:rPr>
      </w:pPr>
    </w:p>
    <w:p>
      <w:pPr>
        <w:pStyle w:val="Heading4"/>
        <w:spacing w:line="240" w:lineRule="auto"/>
        <w:ind w:right="1117"/>
        <w:jc w:val="left"/>
        <w:rPr>
          <w:b w:val="0"/>
          <w:bCs w:val="0"/>
        </w:rPr>
      </w:pPr>
      <w:bookmarkStart w:name="（1）同时按照国际会计准则与按中国会计准则披露的财务报告中净利润和净资产差异情况" w:id="467"/>
      <w:bookmarkEnd w:id="467"/>
      <w:r>
        <w:rPr>
          <w:b w:val="0"/>
          <w:bCs w:val="0"/>
        </w:rPr>
      </w:r>
      <w:r>
        <w:rPr/>
        <w:t>（</w:t>
      </w:r>
      <w:r>
        <w:rPr>
          <w:rFonts w:ascii="Times New Roman" w:hAnsi="Times New Roman" w:cs="Times New Roman" w:eastAsia="Times New Roman" w:hint="default"/>
        </w:rPr>
        <w:t>1</w:t>
      </w:r>
      <w:r>
        <w:rPr/>
        <w:t>）同时按照国际会计准则与按中国会计准则披露的财务报告中净利润和净资产差异情况</w:t>
      </w:r>
      <w:r>
        <w:rPr>
          <w:b w:val="0"/>
          <w:bCs w:val="0"/>
        </w:rPr>
      </w:r>
    </w:p>
    <w:p>
      <w:pPr>
        <w:spacing w:line="240" w:lineRule="auto" w:before="8"/>
        <w:rPr>
          <w:rFonts w:ascii="宋体" w:hAnsi="宋体" w:cs="宋体" w:eastAsia="宋体" w:hint="default"/>
          <w:b/>
          <w:bCs/>
          <w:sz w:val="26"/>
          <w:szCs w:val="26"/>
        </w:rPr>
      </w:pPr>
    </w:p>
    <w:p>
      <w:pPr>
        <w:spacing w:before="0"/>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适用</w:t>
      </w:r>
      <w:r>
        <w:rPr>
          <w:rFonts w:ascii="Times New Roman" w:hAnsi="Times New Roman" w:cs="Times New Roman" w:eastAsia="Times New Roman" w:hint="default"/>
          <w:sz w:val="18"/>
          <w:szCs w:val="18"/>
        </w:rPr>
        <w:t>√</w:t>
      </w:r>
      <w:r>
        <w:rPr>
          <w:rFonts w:ascii="宋体" w:hAnsi="宋体" w:cs="宋体" w:eastAsia="宋体" w:hint="default"/>
          <w:sz w:val="18"/>
          <w:szCs w:val="18"/>
        </w:rPr>
        <w:t>不适用</w:t>
      </w:r>
    </w:p>
    <w:p>
      <w:pPr>
        <w:spacing w:line="240" w:lineRule="auto" w:before="9"/>
        <w:rPr>
          <w:rFonts w:ascii="宋体" w:hAnsi="宋体" w:cs="宋体" w:eastAsia="宋体" w:hint="default"/>
          <w:sz w:val="25"/>
          <w:szCs w:val="25"/>
        </w:rPr>
      </w:pPr>
    </w:p>
    <w:p>
      <w:pPr>
        <w:pStyle w:val="Heading4"/>
        <w:spacing w:line="240" w:lineRule="auto"/>
        <w:ind w:right="1117"/>
        <w:jc w:val="left"/>
        <w:rPr>
          <w:b w:val="0"/>
          <w:bCs w:val="0"/>
        </w:rPr>
      </w:pPr>
      <w:bookmarkStart w:name="（2）同时按照境外会计准则与按中国会计准则披露的财务报告中净利润和净资产差异情况" w:id="468"/>
      <w:bookmarkEnd w:id="468"/>
      <w:r>
        <w:rPr>
          <w:b w:val="0"/>
          <w:bCs w:val="0"/>
        </w:rPr>
      </w:r>
      <w:r>
        <w:rPr/>
        <w:t>（</w:t>
      </w:r>
      <w:r>
        <w:rPr>
          <w:rFonts w:ascii="Times New Roman" w:hAnsi="Times New Roman" w:cs="Times New Roman" w:eastAsia="Times New Roman" w:hint="default"/>
        </w:rPr>
        <w:t>2</w:t>
      </w:r>
      <w:r>
        <w:rPr/>
        <w:t>）同时按照境外会计准则与按中国会计准则披露的财务报告中净利润和净资产差异情况</w:t>
      </w:r>
      <w:r>
        <w:rPr>
          <w:b w:val="0"/>
          <w:bCs w:val="0"/>
        </w:rPr>
      </w:r>
    </w:p>
    <w:p>
      <w:pPr>
        <w:spacing w:line="240" w:lineRule="auto" w:before="9"/>
        <w:rPr>
          <w:rFonts w:ascii="宋体" w:hAnsi="宋体" w:cs="宋体" w:eastAsia="宋体" w:hint="default"/>
          <w:b/>
          <w:bCs/>
          <w:sz w:val="26"/>
          <w:szCs w:val="26"/>
        </w:rPr>
      </w:pPr>
    </w:p>
    <w:p>
      <w:pPr>
        <w:spacing w:before="0"/>
        <w:ind w:left="154" w:right="111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适用</w:t>
      </w:r>
      <w:r>
        <w:rPr>
          <w:rFonts w:ascii="Times New Roman" w:hAnsi="Times New Roman" w:cs="Times New Roman" w:eastAsia="Times New Roman" w:hint="default"/>
          <w:sz w:val="18"/>
          <w:szCs w:val="18"/>
        </w:rPr>
        <w:t>√</w:t>
      </w:r>
      <w:r>
        <w:rPr>
          <w:rFonts w:ascii="宋体" w:hAnsi="宋体" w:cs="宋体" w:eastAsia="宋体" w:hint="default"/>
          <w:sz w:val="18"/>
          <w:szCs w:val="18"/>
        </w:rPr>
        <w:t>不适用</w:t>
      </w:r>
    </w:p>
    <w:p>
      <w:pPr>
        <w:spacing w:line="240" w:lineRule="auto" w:before="10"/>
        <w:rPr>
          <w:rFonts w:ascii="宋体" w:hAnsi="宋体" w:cs="宋体" w:eastAsia="宋体" w:hint="default"/>
          <w:sz w:val="25"/>
          <w:szCs w:val="25"/>
        </w:rPr>
      </w:pPr>
    </w:p>
    <w:p>
      <w:pPr>
        <w:pStyle w:val="Heading4"/>
        <w:spacing w:line="259" w:lineRule="auto"/>
        <w:ind w:right="1117"/>
        <w:jc w:val="left"/>
        <w:rPr>
          <w:b w:val="0"/>
          <w:bCs w:val="0"/>
        </w:rPr>
      </w:pPr>
      <w:bookmarkStart w:name="（3）境内外会计准则下会计数据差异原因说明，对已经境外审计机构审计的数据进行差异" w:id="469"/>
      <w:bookmarkEnd w:id="469"/>
      <w:r>
        <w:rPr>
          <w:b w:val="0"/>
          <w:bCs w:val="0"/>
        </w:rPr>
      </w:r>
      <w:r>
        <w:rPr/>
        <w:t>（</w:t>
      </w:r>
      <w:r>
        <w:rPr>
          <w:rFonts w:ascii="Times New Roman" w:hAnsi="Times New Roman" w:cs="Times New Roman" w:eastAsia="Times New Roman" w:hint="default"/>
        </w:rPr>
        <w:t>3</w:t>
      </w:r>
      <w:r>
        <w:rPr/>
        <w:t>）境内外会计准则下会计数据差异原因说明，对已经境外审计机构审计的数据进行差异调节的，应注</w:t>
      </w:r>
      <w:r>
        <w:rPr>
          <w:spacing w:val="-74"/>
        </w:rPr>
        <w:t> </w:t>
      </w:r>
      <w:r>
        <w:rPr>
          <w:spacing w:val="-74"/>
        </w:rPr>
      </w:r>
      <w:r>
        <w:rPr/>
        <w:t>明该境外机构的名称</w:t>
      </w:r>
      <w:r>
        <w:rPr>
          <w:b w:val="0"/>
          <w:bCs w:val="0"/>
        </w:rPr>
      </w:r>
    </w:p>
    <w:p>
      <w:pPr>
        <w:spacing w:line="240" w:lineRule="auto" w:before="8"/>
        <w:rPr>
          <w:rFonts w:ascii="宋体" w:hAnsi="宋体" w:cs="宋体" w:eastAsia="宋体" w:hint="default"/>
          <w:b/>
          <w:bCs/>
          <w:sz w:val="24"/>
          <w:szCs w:val="24"/>
        </w:rPr>
      </w:pPr>
    </w:p>
    <w:p>
      <w:pPr>
        <w:pStyle w:val="Heading4"/>
        <w:spacing w:line="240" w:lineRule="auto"/>
        <w:ind w:right="1117"/>
        <w:jc w:val="left"/>
        <w:rPr>
          <w:b w:val="0"/>
          <w:bCs w:val="0"/>
        </w:rPr>
      </w:pPr>
      <w:bookmarkStart w:name="4、其他" w:id="470"/>
      <w:bookmarkEnd w:id="470"/>
      <w:r>
        <w:rPr>
          <w:b w:val="0"/>
          <w:bCs w:val="0"/>
        </w:rPr>
      </w:r>
      <w:r>
        <w:rPr>
          <w:rFonts w:ascii="Times New Roman" w:hAnsi="Times New Roman" w:cs="Times New Roman" w:eastAsia="Times New Roman" w:hint="default"/>
        </w:rPr>
        <w:t>4</w:t>
      </w:r>
      <w:r>
        <w:rPr/>
        <w:t>、其他</w:t>
      </w:r>
      <w:r>
        <w:rPr>
          <w:b w:val="0"/>
          <w:bCs w:val="0"/>
        </w:rPr>
      </w:r>
    </w:p>
    <w:p>
      <w:pPr>
        <w:spacing w:after="0" w:line="240" w:lineRule="auto"/>
        <w:jc w:val="left"/>
        <w:sectPr>
          <w:pgSz w:w="11910" w:h="16840"/>
          <w:pgMar w:header="877" w:footer="979" w:top="1060" w:bottom="1160" w:left="980" w:right="0"/>
        </w:sectPr>
      </w:pPr>
    </w:p>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20"/>
          <w:szCs w:val="20"/>
        </w:rPr>
      </w:pPr>
    </w:p>
    <w:p>
      <w:pPr>
        <w:pStyle w:val="Heading1"/>
        <w:spacing w:line="240" w:lineRule="auto"/>
        <w:ind w:left="3366" w:right="1117"/>
        <w:jc w:val="left"/>
        <w:rPr>
          <w:b w:val="0"/>
          <w:bCs w:val="0"/>
        </w:rPr>
      </w:pPr>
      <w:bookmarkStart w:name="第十二节备查文件目录" w:id="471"/>
      <w:bookmarkEnd w:id="471"/>
      <w:r>
        <w:rPr>
          <w:b w:val="0"/>
          <w:bCs w:val="0"/>
        </w:rPr>
      </w:r>
      <w:bookmarkStart w:name="_bookmark10" w:id="472"/>
      <w:bookmarkEnd w:id="472"/>
      <w:r>
        <w:rPr>
          <w:b w:val="0"/>
          <w:bCs w:val="0"/>
        </w:rPr>
      </w:r>
      <w:r>
        <w:rPr/>
        <w:t>第十二节备查文件目录</w:t>
      </w:r>
      <w:r>
        <w:rPr>
          <w:b w:val="0"/>
          <w:bCs w:val="0"/>
        </w:rPr>
      </w:r>
    </w:p>
    <w:p>
      <w:pPr>
        <w:spacing w:line="240" w:lineRule="auto" w:before="7"/>
        <w:rPr>
          <w:rFonts w:ascii="宋体" w:hAnsi="宋体" w:cs="宋体" w:eastAsia="宋体" w:hint="default"/>
          <w:b/>
          <w:bCs/>
          <w:sz w:val="46"/>
          <w:szCs w:val="46"/>
        </w:rPr>
      </w:pPr>
    </w:p>
    <w:p>
      <w:pPr>
        <w:pStyle w:val="BodyText"/>
        <w:spacing w:line="408" w:lineRule="auto" w:before="0"/>
        <w:ind w:right="2562"/>
        <w:jc w:val="left"/>
      </w:pPr>
      <w:r>
        <w:rPr/>
        <w:t>一、载有公司法定代表人、主管会计工作负责人、会计主管人员签名并盖章的财务报表。 二、载有会计师事务所盖章、注册会计师签名并盖章的审计报告原件。 三、报告期内在中国证监会指定网站上公开披露过的所有公司文件的正本及公告的原稿。 四、经公司法定代表人签名的</w:t>
      </w:r>
      <w:r>
        <w:rPr>
          <w:rFonts w:ascii="Times New Roman" w:hAnsi="Times New Roman" w:cs="Times New Roman" w:eastAsia="Times New Roman" w:hint="default"/>
        </w:rPr>
        <w:t>2018</w:t>
      </w:r>
      <w:r>
        <w:rPr/>
        <w:t>年度报告原文件。</w:t>
      </w:r>
    </w:p>
    <w:p>
      <w:pPr>
        <w:pStyle w:val="BodyText"/>
        <w:spacing w:line="408" w:lineRule="auto" w:before="14"/>
        <w:ind w:right="6552"/>
        <w:jc w:val="left"/>
      </w:pPr>
      <w:r>
        <w:rPr/>
        <w:t>五、其他相关资料。 以上备查文件的备置地点：公司证券事务部。</w:t>
      </w:r>
    </w:p>
    <w:sectPr>
      <w:pgSz w:w="11910" w:h="16840"/>
      <w:pgMar w:header="877" w:footer="979" w:top="1060" w:bottom="1160" w:left="98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宋体">
    <w:altName w:val="宋体"/>
    <w:charset w:val="86"/>
    <w:family w:val="auto"/>
    <w:pitch w:val="variable"/>
  </w:font>
  <w:font w:name="Microsoft JhengHei">
    <w:altName w:val="Microsoft JhengHei"/>
    <w:charset w:val="0"/>
    <w:family w:val="swiss"/>
    <w:pitch w:val="variable"/>
  </w:font>
  <w:font w:name="黑体">
    <w:altName w:val="黑体"/>
    <w:charset w:val="86"/>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223152" type="#_x0000_t75" stroked="false">
          <v:imagedata r:id="rId1" o:title=""/>
        </v:shape>
      </w:pict>
    </w:r>
    <w:r>
      <w:rPr/>
      <w:pict>
        <v:shape style="position:absolute;margin-left:533.179993pt;margin-top:795.517944pt;width:6.5pt;height:11pt;mso-position-horizontal-relative:page;mso-position-vertical-relative:page;z-index:-1223128"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1</w:t>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222576" type="#_x0000_t75" stroked="false">
          <v:imagedata r:id="rId1" o:title=""/>
        </v:shape>
      </w:pict>
    </w:r>
    <w:r>
      <w:rPr/>
      <w:pict>
        <v:shape style="position:absolute;margin-left:524.179993pt;margin-top:781.957947pt;width:15.5pt;height:11pt;mso-position-horizontal-relative:page;mso-position-vertical-relative:page;z-index:-1222552"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200</w:t>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222528" type="#_x0000_t75" stroked="false">
          <v:imagedata r:id="rId1" o:title=""/>
        </v:shape>
      </w:pict>
    </w:r>
    <w:r>
      <w:rPr/>
      <w:pict>
        <v:shape style="position:absolute;margin-left:523.179993pt;margin-top:781.957947pt;width:17.5pt;height:11pt;mso-position-horizontal-relative:page;mso-position-vertical-relative:page;z-index:-122250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201</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223104" type="#_x0000_t75" stroked="false">
          <v:imagedata r:id="rId1" o:title=""/>
        </v:shape>
      </w:pict>
    </w:r>
    <w:r>
      <w:rPr/>
      <w:pict>
        <v:shape style="position:absolute;margin-left:527.679993pt;margin-top:781.957947pt;width:13pt;height:11pt;mso-position-horizontal-relative:page;mso-position-vertical-relative:page;z-index:-122308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10</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89.234558pt;margin-top:570.43042pt;width:42.067787pt;height:18.946561pt;mso-position-horizontal-relative:page;mso-position-vertical-relative:page;z-index:-1223032" type="#_x0000_t75" stroked="false">
          <v:imagedata r:id="rId1" o:title=""/>
        </v:shape>
      </w:pict>
    </w:r>
    <w:r>
      <w:rPr/>
      <w:pict>
        <v:shape style="position:absolute;margin-left:758.97998pt;margin-top:535.357971pt;width:13pt;height:11pt;mso-position-horizontal-relative:page;mso-position-vertical-relative:page;z-index:-122300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46</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222936" type="#_x0000_t75" stroked="false">
          <v:imagedata r:id="rId1" o:title=""/>
        </v:shape>
      </w:pict>
    </w:r>
    <w:r>
      <w:rPr/>
      <w:pict>
        <v:shape style="position:absolute;margin-left:527.679993pt;margin-top:781.957947pt;width:13pt;height:11pt;mso-position-horizontal-relative:page;mso-position-vertical-relative:page;z-index:-122291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52</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89.234558pt;margin-top:570.43042pt;width:42.067787pt;height:18.946561pt;mso-position-horizontal-relative:page;mso-position-vertical-relative:page;z-index:-1222864" type="#_x0000_t75" stroked="false">
          <v:imagedata r:id="rId1" o:title=""/>
        </v:shape>
      </w:pict>
    </w:r>
    <w:r>
      <w:rPr/>
      <w:pict>
        <v:shape style="position:absolute;margin-left:758.97998pt;margin-top:535.357971pt;width:13pt;height:11pt;mso-position-horizontal-relative:page;mso-position-vertical-relative:page;z-index:-122284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74</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222768" type="#_x0000_t75" stroked="false">
          <v:imagedata r:id="rId1" o:title=""/>
        </v:shape>
      </w:pict>
    </w:r>
    <w:r>
      <w:rPr/>
      <w:pict>
        <v:shape style="position:absolute;margin-left:527.679993pt;margin-top:781.957947pt;width:13pt;height:11pt;mso-position-horizontal-relative:page;mso-position-vertical-relative:page;z-index:-122274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97</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222720" type="#_x0000_t75" stroked="false">
          <v:imagedata r:id="rId1" o:title=""/>
        </v:shape>
      </w:pict>
    </w:r>
    <w:r>
      <w:rPr/>
      <w:pict>
        <v:shape style="position:absolute;margin-left:524.179993pt;margin-top:781.957947pt;width:15.5pt;height:11pt;mso-position-horizontal-relative:page;mso-position-vertical-relative:page;z-index:-1222696"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100</w:t>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222672" type="#_x0000_t75" stroked="false">
          <v:imagedata r:id="rId1" o:title=""/>
        </v:shape>
      </w:pict>
    </w:r>
    <w:r>
      <w:rPr/>
      <w:pict>
        <v:shape style="position:absolute;margin-left:523.179993pt;margin-top:781.957947pt;width:17.5pt;height:11pt;mso-position-horizontal-relative:page;mso-position-vertical-relative:page;z-index:-122264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101</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222624" type="#_x0000_t75" stroked="false">
          <v:imagedata r:id="rId1" o:title=""/>
        </v:shape>
      </w:pict>
    </w:r>
    <w:r>
      <w:rPr/>
      <w:pict>
        <v:shape style="position:absolute;margin-left:523.179993pt;margin-top:781.957947pt;width:17.5pt;height:11pt;mso-position-horizontal-relative:page;mso-position-vertical-relative:page;z-index:-122260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167</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type id="_x0000_t202" o:spt="202" coordsize="21600,21600" path="m,l,21600r21600,l21600,xe">
          <v:stroke joinstyle="miter"/>
          <v:path gradientshapeok="t" o:connecttype="rect"/>
        </v:shapetype>
        <v:shape style="position:absolute;margin-left:353.220001pt;margin-top:36.325607pt;width:186.5pt;height:11.5pt;mso-position-horizontal-relative:page;mso-position-vertical-relative:page;z-index:-1223176"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新开普电子股份有限公司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年年度报告全文</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84.520020pt;margin-top:42.865631pt;width:186.5pt;height:11.5pt;mso-position-horizontal-relative:page;mso-position-vertical-relative:page;z-index:-1223056"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新开普电子股份有限公司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年年度报告全文</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19"/>
        <w:szCs w:val="19"/>
      </w:rPr>
    </w:pPr>
    <w:r>
      <w:rPr/>
      <w:pict>
        <v:group style="position:absolute;margin-left:55.200001pt;margin-top:55.619984pt;width:485pt;height:.1pt;mso-position-horizontal-relative:page;mso-position-vertical-relative:page;z-index:-1222984" coordorigin="1104,1112" coordsize="9700,2">
          <v:shape style="position:absolute;left:1104;top:1112;width:9700;height:2" coordorigin="1104,1112" coordsize="9700,0" path="m1104,1112l10804,1112e" filled="false" stroked="true" strokeweight=".72pt" strokecolor="#000000">
            <v:path arrowok="t"/>
          </v:shape>
          <w10:wrap type="none"/>
        </v:group>
      </w:pict>
    </w:r>
    <w:r>
      <w:rPr/>
      <w:pict>
        <v:shape style="position:absolute;margin-left:353.220001pt;margin-top:42.865608pt;width:186.5pt;height:11.5pt;mso-position-horizontal-relative:page;mso-position-vertical-relative:page;z-index:-1222960"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新开普电子股份有限公司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年年度报告全文</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84.520020pt;margin-top:42.865631pt;width:186.5pt;height:11.5pt;mso-position-horizontal-relative:page;mso-position-vertical-relative:page;z-index:-1222888"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新开普电子股份有限公司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年年度报告全文</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19"/>
        <w:szCs w:val="19"/>
      </w:rPr>
    </w:pPr>
    <w:r>
      <w:rPr/>
      <w:pict>
        <v:group style="position:absolute;margin-left:55.200001pt;margin-top:55.619984pt;width:485pt;height:.1pt;mso-position-horizontal-relative:page;mso-position-vertical-relative:page;z-index:-1222816" coordorigin="1104,1112" coordsize="9700,2">
          <v:shape style="position:absolute;left:1104;top:1112;width:9700;height:2" coordorigin="1104,1112" coordsize="9700,0" path="m1104,1112l10804,1112e" filled="false" stroked="true" strokeweight=".72pt" strokecolor="#000000">
            <v:path arrowok="t"/>
          </v:shape>
          <w10:wrap type="none"/>
        </v:group>
      </w:pict>
    </w:r>
    <w:r>
      <w:rPr/>
      <w:pict>
        <v:shape style="position:absolute;margin-left:353.220001pt;margin-top:42.865608pt;width:186.5pt;height:11.5pt;mso-position-horizontal-relative:page;mso-position-vertical-relative:page;z-index:-1222792"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新开普电子股份有限公司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年年度报告全文</w:t>
                </w:r>
              </w:p>
            </w:txbxContent>
          </v:textbox>
          <w10:wrap type="none"/>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TOC1" w:type="paragraph">
    <w:name w:val="TOC 1"/>
    <w:basedOn w:val="Normal"/>
    <w:uiPriority w:val="1"/>
    <w:qFormat/>
    <w:pPr>
      <w:spacing w:before="159"/>
      <w:ind w:left="154"/>
    </w:pPr>
    <w:rPr>
      <w:rFonts w:ascii="宋体" w:hAnsi="宋体" w:eastAsia="宋体"/>
      <w:b/>
      <w:bCs/>
      <w:sz w:val="24"/>
      <w:szCs w:val="24"/>
    </w:rPr>
  </w:style>
  <w:style w:styleId="BodyText" w:type="paragraph">
    <w:name w:val="Body Text"/>
    <w:basedOn w:val="Normal"/>
    <w:uiPriority w:val="1"/>
    <w:qFormat/>
    <w:pPr>
      <w:spacing w:before="46"/>
      <w:ind w:left="154"/>
    </w:pPr>
    <w:rPr>
      <w:rFonts w:ascii="宋体" w:hAnsi="宋体" w:eastAsia="宋体"/>
      <w:sz w:val="21"/>
      <w:szCs w:val="21"/>
    </w:rPr>
  </w:style>
  <w:style w:styleId="Heading1" w:type="paragraph">
    <w:name w:val="Heading 1"/>
    <w:basedOn w:val="Normal"/>
    <w:uiPriority w:val="1"/>
    <w:qFormat/>
    <w:pPr>
      <w:spacing w:before="1"/>
      <w:outlineLvl w:val="1"/>
    </w:pPr>
    <w:rPr>
      <w:rFonts w:ascii="宋体" w:hAnsi="宋体" w:eastAsia="宋体"/>
      <w:b/>
      <w:bCs/>
      <w:sz w:val="32"/>
      <w:szCs w:val="32"/>
    </w:rPr>
  </w:style>
  <w:style w:styleId="Heading2" w:type="paragraph">
    <w:name w:val="Heading 2"/>
    <w:basedOn w:val="Normal"/>
    <w:uiPriority w:val="1"/>
    <w:qFormat/>
    <w:pPr>
      <w:ind w:left="154"/>
      <w:outlineLvl w:val="2"/>
    </w:pPr>
    <w:rPr>
      <w:rFonts w:ascii="宋体" w:hAnsi="宋体" w:eastAsia="宋体"/>
      <w:b/>
      <w:bCs/>
      <w:sz w:val="24"/>
      <w:szCs w:val="24"/>
    </w:rPr>
  </w:style>
  <w:style w:styleId="Heading3" w:type="paragraph">
    <w:name w:val="Heading 3"/>
    <w:basedOn w:val="Normal"/>
    <w:uiPriority w:val="1"/>
    <w:qFormat/>
    <w:pPr>
      <w:spacing w:before="36"/>
      <w:ind w:left="154"/>
      <w:outlineLvl w:val="3"/>
    </w:pPr>
    <w:rPr>
      <w:rFonts w:ascii="宋体" w:hAnsi="宋体" w:eastAsia="宋体"/>
      <w:sz w:val="24"/>
      <w:szCs w:val="24"/>
    </w:rPr>
  </w:style>
  <w:style w:styleId="Heading4" w:type="paragraph">
    <w:name w:val="Heading 4"/>
    <w:basedOn w:val="Normal"/>
    <w:uiPriority w:val="1"/>
    <w:qFormat/>
    <w:pPr>
      <w:ind w:left="154"/>
      <w:outlineLvl w:val="4"/>
    </w:pPr>
    <w:rPr>
      <w:rFonts w:ascii="宋体" w:hAnsi="宋体" w:eastAsia="宋体"/>
      <w:b/>
      <w:bCs/>
      <w:sz w:val="21"/>
      <w:szCs w:val="21"/>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2.jpeg"/><Relationship Id="rId8" Type="http://schemas.openxmlformats.org/officeDocument/2006/relationships/footer" Target="footer2.xml"/><Relationship Id="rId9" Type="http://schemas.openxmlformats.org/officeDocument/2006/relationships/hyperlink" Target="http://www.newcapec.com.cn/" TargetMode="External"/><Relationship Id="rId10" Type="http://schemas.openxmlformats.org/officeDocument/2006/relationships/hyperlink" Target="mailto:zqswb@newcapec.net" TargetMode="External"/><Relationship Id="rId11" Type="http://schemas.openxmlformats.org/officeDocument/2006/relationships/hyperlink" Target="mailto:zhaoxuan@newcapec.net" TargetMode="External"/><Relationship Id="rId12" Type="http://schemas.openxmlformats.org/officeDocument/2006/relationships/hyperlink" Target="mailto:zhaoxin@newcapec.net" TargetMode="External"/><Relationship Id="rId13" Type="http://schemas.openxmlformats.org/officeDocument/2006/relationships/image" Target="media/image3.jpeg"/><Relationship Id="rId14" Type="http://schemas.openxmlformats.org/officeDocument/2006/relationships/image" Target="media/image4.png"/><Relationship Id="rId15" Type="http://schemas.openxmlformats.org/officeDocument/2006/relationships/image" Target="media/image5.jpeg"/><Relationship Id="rId16" Type="http://schemas.openxmlformats.org/officeDocument/2006/relationships/image" Target="media/image6.jpeg"/><Relationship Id="rId17" Type="http://schemas.openxmlformats.org/officeDocument/2006/relationships/image" Target="media/image7.jpeg"/><Relationship Id="rId18" Type="http://schemas.openxmlformats.org/officeDocument/2006/relationships/image" Target="media/image8.jpeg"/><Relationship Id="rId19" Type="http://schemas.openxmlformats.org/officeDocument/2006/relationships/image" Target="media/image9.jpeg"/><Relationship Id="rId20" Type="http://schemas.openxmlformats.org/officeDocument/2006/relationships/image" Target="media/image10.jpeg"/><Relationship Id="rId21" Type="http://schemas.openxmlformats.org/officeDocument/2006/relationships/image" Target="media/image11.jpeg"/><Relationship Id="rId22" Type="http://schemas.openxmlformats.org/officeDocument/2006/relationships/image" Target="media/image12.jpeg"/><Relationship Id="rId23" Type="http://schemas.openxmlformats.org/officeDocument/2006/relationships/image" Target="media/image13.jpeg"/><Relationship Id="rId24" Type="http://schemas.openxmlformats.org/officeDocument/2006/relationships/image" Target="media/image14.jpeg"/><Relationship Id="rId25" Type="http://schemas.openxmlformats.org/officeDocument/2006/relationships/image" Target="media/image15.jpeg"/><Relationship Id="rId26" Type="http://schemas.openxmlformats.org/officeDocument/2006/relationships/image" Target="media/image16.jpeg"/><Relationship Id="rId27" Type="http://schemas.openxmlformats.org/officeDocument/2006/relationships/image" Target="media/image17.jpeg"/><Relationship Id="rId28" Type="http://schemas.openxmlformats.org/officeDocument/2006/relationships/image" Target="media/image18.jpeg"/><Relationship Id="rId29" Type="http://schemas.openxmlformats.org/officeDocument/2006/relationships/image" Target="media/image19.jpeg"/><Relationship Id="rId30" Type="http://schemas.openxmlformats.org/officeDocument/2006/relationships/image" Target="media/image20.jpeg"/><Relationship Id="rId31" Type="http://schemas.openxmlformats.org/officeDocument/2006/relationships/header" Target="header2.xml"/><Relationship Id="rId32" Type="http://schemas.openxmlformats.org/officeDocument/2006/relationships/footer" Target="footer3.xml"/><Relationship Id="rId33" Type="http://schemas.openxmlformats.org/officeDocument/2006/relationships/header" Target="header3.xml"/><Relationship Id="rId34" Type="http://schemas.openxmlformats.org/officeDocument/2006/relationships/footer" Target="footer4.xml"/><Relationship Id="rId35" Type="http://schemas.openxmlformats.org/officeDocument/2006/relationships/header" Target="header4.xml"/><Relationship Id="rId36" Type="http://schemas.openxmlformats.org/officeDocument/2006/relationships/footer" Target="footer5.xml"/><Relationship Id="rId37" Type="http://schemas.openxmlformats.org/officeDocument/2006/relationships/header" Target="header5.xml"/><Relationship Id="rId38" Type="http://schemas.openxmlformats.org/officeDocument/2006/relationships/footer" Target="footer6.xml"/><Relationship Id="rId39" Type="http://schemas.openxmlformats.org/officeDocument/2006/relationships/footer" Target="footer7.xml"/><Relationship Id="rId40" Type="http://schemas.openxmlformats.org/officeDocument/2006/relationships/footer" Target="footer8.xml"/><Relationship Id="rId41" Type="http://schemas.openxmlformats.org/officeDocument/2006/relationships/image" Target="media/image21.jpeg"/><Relationship Id="rId42" Type="http://schemas.openxmlformats.org/officeDocument/2006/relationships/hyperlink" Target="http://www.cninfo.com.cn/" TargetMode="External"/><Relationship Id="rId43" Type="http://schemas.openxmlformats.org/officeDocument/2006/relationships/footer" Target="footer9.xml"/><Relationship Id="rId44" Type="http://schemas.openxmlformats.org/officeDocument/2006/relationships/footer" Target="footer10.xml"/><Relationship Id="rId45" Type="http://schemas.openxmlformats.org/officeDocument/2006/relationships/footer" Target="footer11.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footer10.xml.rels><?xml version="1.0" encoding="UTF-8" standalone="yes"?>
<Relationships xmlns="http://schemas.openxmlformats.org/package/2006/relationships"><Relationship Id="rId1" Type="http://schemas.openxmlformats.org/officeDocument/2006/relationships/image" Target="media/image1.jpeg"/></Relationships>

</file>

<file path=word/_rels/footer11.xml.rels><?xml version="1.0" encoding="UTF-8" standalone="yes"?>
<Relationships xmlns="http://schemas.openxmlformats.org/package/2006/relationships"><Relationship Id="rId1" Type="http://schemas.openxmlformats.org/officeDocument/2006/relationships/image" Target="media/image1.jpeg"/></Relationships>

</file>

<file path=word/_rels/footer2.xml.rels><?xml version="1.0" encoding="UTF-8" standalone="yes"?>
<Relationships xmlns="http://schemas.openxmlformats.org/package/2006/relationships"><Relationship Id="rId1" Type="http://schemas.openxmlformats.org/officeDocument/2006/relationships/image" Target="media/image1.jpeg"/></Relationships>

</file>

<file path=word/_rels/footer3.xml.rels><?xml version="1.0" encoding="UTF-8" standalone="yes"?>
<Relationships xmlns="http://schemas.openxmlformats.org/package/2006/relationships"><Relationship Id="rId1" Type="http://schemas.openxmlformats.org/officeDocument/2006/relationships/image" Target="media/image1.jpeg"/></Relationships>

</file>

<file path=word/_rels/footer4.xml.rels><?xml version="1.0" encoding="UTF-8" standalone="yes"?>
<Relationships xmlns="http://schemas.openxmlformats.org/package/2006/relationships"><Relationship Id="rId1" Type="http://schemas.openxmlformats.org/officeDocument/2006/relationships/image" Target="media/image1.jpeg"/></Relationships>

</file>

<file path=word/_rels/footer5.xml.rels><?xml version="1.0" encoding="UTF-8" standalone="yes"?>
<Relationships xmlns="http://schemas.openxmlformats.org/package/2006/relationships"><Relationship Id="rId1" Type="http://schemas.openxmlformats.org/officeDocument/2006/relationships/image" Target="media/image1.jpeg"/></Relationships>

</file>

<file path=word/_rels/footer6.xml.rels><?xml version="1.0" encoding="UTF-8" standalone="yes"?>
<Relationships xmlns="http://schemas.openxmlformats.org/package/2006/relationships"><Relationship Id="rId1" Type="http://schemas.openxmlformats.org/officeDocument/2006/relationships/image" Target="media/image1.jpeg"/></Relationships>

</file>

<file path=word/_rels/footer7.xml.rels><?xml version="1.0" encoding="UTF-8" standalone="yes"?>
<Relationships xmlns="http://schemas.openxmlformats.org/package/2006/relationships"><Relationship Id="rId1" Type="http://schemas.openxmlformats.org/officeDocument/2006/relationships/image" Target="media/image1.jpeg"/></Relationships>

</file>

<file path=word/_rels/footer8.xml.rels><?xml version="1.0" encoding="UTF-8" standalone="yes"?>
<Relationships xmlns="http://schemas.openxmlformats.org/package/2006/relationships"><Relationship Id="rId1" Type="http://schemas.openxmlformats.org/officeDocument/2006/relationships/image" Target="media/image1.jpeg"/></Relationships>

</file>

<file path=word/_rels/footer9.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新开普电子股份有限公司</dc:creator>
  <dc:title>新开普电子股份有限公司2018年年度报告全文</dc:title>
  <dcterms:created xsi:type="dcterms:W3CDTF">2020-05-04T21:50:16Z</dcterms:created>
  <dcterms:modified xsi:type="dcterms:W3CDTF">2020-05-04T21:50:16Z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2019-04-01T00:00:00Z</vt:filetime>
  </property>
  <property fmtid="{D5CDD505-2E9C-101B-9397-08002B2CF9AE}" pid="3" name="Creator">
    <vt:lpwstr>Microsoft® Office Word 2007</vt:lpwstr>
  </property>
  <property fmtid="{D5CDD505-2E9C-101B-9397-08002B2CF9AE}" pid="4" name="LastSaved">
    <vt:filetime>2020-05-04T00:00:00Z</vt:filetime>
  </property>
</Properties>
</file>